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01177" w:rsidRDefault="00401177">
      <w:pPr>
        <w:pStyle w:val="Heading6"/>
      </w:pPr>
      <w:bookmarkStart w:id="0" w:name="_GoBack"/>
      <w:bookmarkEnd w:id="0"/>
      <w:r>
        <w:t>OMB Approval No</w:t>
      </w:r>
      <w:r w:rsidR="00A444D6">
        <w:t xml:space="preserve">.  </w:t>
      </w:r>
      <w:r w:rsidR="00915228">
        <w:t>1205-0436</w:t>
      </w:r>
    </w:p>
    <w:p w:rsidR="00401177" w:rsidRDefault="00401177">
      <w:pPr>
        <w:ind w:left="360"/>
        <w:jc w:val="right"/>
        <w:rPr>
          <w:sz w:val="24"/>
        </w:rPr>
      </w:pPr>
      <w:r>
        <w:rPr>
          <w:sz w:val="24"/>
        </w:rPr>
        <w:t xml:space="preserve">Expiration Date:  </w:t>
      </w:r>
      <w:r w:rsidR="0045342D">
        <w:rPr>
          <w:sz w:val="24"/>
        </w:rPr>
        <w:t>11</w:t>
      </w:r>
      <w:r w:rsidR="00915228">
        <w:rPr>
          <w:sz w:val="24"/>
        </w:rPr>
        <w:t>/30/20</w:t>
      </w:r>
      <w:r w:rsidR="0045342D">
        <w:rPr>
          <w:sz w:val="24"/>
        </w:rPr>
        <w:t>13</w:t>
      </w:r>
    </w:p>
    <w:p w:rsidR="00401177" w:rsidRDefault="00401177">
      <w:pPr>
        <w:jc w:val="center"/>
        <w:rPr>
          <w:b/>
          <w:sz w:val="28"/>
        </w:rPr>
      </w:pPr>
    </w:p>
    <w:p w:rsidR="00E20483" w:rsidRDefault="00E20483">
      <w:pPr>
        <w:jc w:val="center"/>
        <w:rPr>
          <w:b/>
          <w:sz w:val="28"/>
        </w:rPr>
      </w:pPr>
      <w:r>
        <w:rPr>
          <w:b/>
          <w:sz w:val="28"/>
        </w:rPr>
        <w:t>ABBREVIATED SUPPORTING STATEMENT</w:t>
      </w:r>
    </w:p>
    <w:p w:rsidR="00401177" w:rsidRDefault="00401177">
      <w:pPr>
        <w:jc w:val="center"/>
        <w:rPr>
          <w:b/>
          <w:sz w:val="28"/>
        </w:rPr>
      </w:pPr>
      <w:r>
        <w:rPr>
          <w:b/>
          <w:sz w:val="28"/>
        </w:rPr>
        <w:t>CLEARANCE FORM</w:t>
      </w:r>
    </w:p>
    <w:p w:rsidR="00401177" w:rsidRDefault="00401177">
      <w:pPr>
        <w:ind w:left="360"/>
        <w:jc w:val="center"/>
        <w:rPr>
          <w:b/>
          <w:sz w:val="28"/>
        </w:rPr>
      </w:pPr>
    </w:p>
    <w:p w:rsidR="00401177" w:rsidRDefault="00401177" w:rsidP="00562C6D">
      <w:pPr>
        <w:ind w:left="360"/>
        <w:rPr>
          <w:sz w:val="24"/>
        </w:rPr>
      </w:pPr>
      <w:r>
        <w:rPr>
          <w:b/>
          <w:sz w:val="28"/>
        </w:rPr>
        <w:t>A</w:t>
      </w:r>
      <w:r w:rsidR="00A444D6">
        <w:rPr>
          <w:b/>
          <w:sz w:val="28"/>
        </w:rPr>
        <w:t xml:space="preserve">.  </w:t>
      </w:r>
      <w:r>
        <w:rPr>
          <w:b/>
          <w:sz w:val="28"/>
        </w:rPr>
        <w:t>SUPPLEMENTAL SUPPORTING STATEMENT</w:t>
      </w:r>
    </w:p>
    <w:tbl>
      <w:tblPr>
        <w:tblW w:w="110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368"/>
        <w:gridCol w:w="3600"/>
        <w:gridCol w:w="6109"/>
      </w:tblGrid>
      <w:tr w:rsidR="00401177" w:rsidTr="00532587">
        <w:tc>
          <w:tcPr>
            <w:tcW w:w="1368" w:type="dxa"/>
            <w:tcBorders>
              <w:right w:val="nil"/>
            </w:tcBorders>
          </w:tcPr>
          <w:p w:rsidR="00401177" w:rsidRDefault="00401177">
            <w:pPr>
              <w:rPr>
                <w:b/>
                <w:sz w:val="24"/>
              </w:rPr>
            </w:pPr>
            <w:r>
              <w:rPr>
                <w:b/>
                <w:sz w:val="24"/>
              </w:rPr>
              <w:t>A.1</w:t>
            </w:r>
            <w:r w:rsidR="00A444D6">
              <w:rPr>
                <w:b/>
                <w:sz w:val="24"/>
              </w:rPr>
              <w:t xml:space="preserve">.  </w:t>
            </w:r>
            <w:r>
              <w:rPr>
                <w:b/>
                <w:sz w:val="24"/>
              </w:rPr>
              <w:t>Title:</w:t>
            </w:r>
            <w:r w:rsidR="008A7DEB">
              <w:rPr>
                <w:b/>
                <w:sz w:val="24"/>
              </w:rPr>
              <w:t xml:space="preserve">  </w:t>
            </w:r>
          </w:p>
        </w:tc>
        <w:tc>
          <w:tcPr>
            <w:tcW w:w="9709" w:type="dxa"/>
            <w:gridSpan w:val="2"/>
            <w:tcBorders>
              <w:left w:val="nil"/>
            </w:tcBorders>
          </w:tcPr>
          <w:p w:rsidR="00401177" w:rsidRDefault="006863B5" w:rsidP="00925F97">
            <w:pPr>
              <w:ind w:left="-108" w:firstLine="108"/>
              <w:rPr>
                <w:b/>
                <w:sz w:val="24"/>
              </w:rPr>
            </w:pPr>
            <w:r w:rsidRPr="006863B5">
              <w:rPr>
                <w:b/>
                <w:sz w:val="24"/>
              </w:rPr>
              <w:t>Unemployment Insurance Lower-Authority Appeal Information Technology Assessment</w:t>
            </w:r>
          </w:p>
        </w:tc>
      </w:tr>
      <w:tr w:rsidR="00401177" w:rsidTr="00532587">
        <w:tc>
          <w:tcPr>
            <w:tcW w:w="4968" w:type="dxa"/>
            <w:gridSpan w:val="2"/>
          </w:tcPr>
          <w:p w:rsidR="00401177" w:rsidRDefault="00401177">
            <w:pPr>
              <w:rPr>
                <w:sz w:val="24"/>
              </w:rPr>
            </w:pPr>
            <w:r>
              <w:rPr>
                <w:b/>
                <w:sz w:val="24"/>
              </w:rPr>
              <w:t>A.2</w:t>
            </w:r>
            <w:r w:rsidR="00A444D6">
              <w:rPr>
                <w:b/>
                <w:sz w:val="24"/>
              </w:rPr>
              <w:t xml:space="preserve">.  </w:t>
            </w:r>
            <w:r>
              <w:rPr>
                <w:b/>
                <w:sz w:val="24"/>
              </w:rPr>
              <w:t>Compliance with 5 CFR 1320.5:</w:t>
            </w:r>
            <w:r>
              <w:rPr>
                <w:sz w:val="24"/>
              </w:rPr>
              <w:t xml:space="preserve">  </w:t>
            </w:r>
          </w:p>
          <w:p w:rsidR="00401177" w:rsidRDefault="00401177">
            <w:pPr>
              <w:rPr>
                <w:b/>
                <w:sz w:val="24"/>
              </w:rPr>
            </w:pPr>
            <w:r>
              <w:rPr>
                <w:sz w:val="24"/>
              </w:rPr>
              <w:tab/>
              <w:t>Yes __</w:t>
            </w:r>
            <w:r w:rsidR="00FB33E0">
              <w:rPr>
                <w:sz w:val="24"/>
                <w:u w:val="single"/>
              </w:rPr>
              <w:t>X</w:t>
            </w:r>
            <w:r>
              <w:rPr>
                <w:sz w:val="24"/>
              </w:rPr>
              <w:t>_ No _____</w:t>
            </w:r>
          </w:p>
        </w:tc>
        <w:tc>
          <w:tcPr>
            <w:tcW w:w="6109" w:type="dxa"/>
          </w:tcPr>
          <w:p w:rsidR="00401177" w:rsidRDefault="00401177">
            <w:pPr>
              <w:rPr>
                <w:sz w:val="24"/>
              </w:rPr>
            </w:pPr>
            <w:r>
              <w:rPr>
                <w:b/>
                <w:sz w:val="24"/>
              </w:rPr>
              <w:t>A.3</w:t>
            </w:r>
            <w:r w:rsidR="00A444D6">
              <w:rPr>
                <w:b/>
                <w:sz w:val="24"/>
              </w:rPr>
              <w:t xml:space="preserve">.  </w:t>
            </w:r>
            <w:r>
              <w:rPr>
                <w:b/>
                <w:sz w:val="24"/>
              </w:rPr>
              <w:t>Assurances of confidentiality:</w:t>
            </w:r>
            <w:r>
              <w:rPr>
                <w:sz w:val="24"/>
              </w:rPr>
              <w:t xml:space="preserve">  </w:t>
            </w:r>
          </w:p>
          <w:p w:rsidR="00401177" w:rsidRDefault="003C787F" w:rsidP="003C787F">
            <w:pPr>
              <w:rPr>
                <w:b/>
                <w:sz w:val="24"/>
              </w:rPr>
            </w:pPr>
            <w:r>
              <w:rPr>
                <w:sz w:val="24"/>
              </w:rPr>
              <w:t>None</w:t>
            </w:r>
          </w:p>
        </w:tc>
      </w:tr>
      <w:tr w:rsidR="00401177" w:rsidTr="00532587">
        <w:tc>
          <w:tcPr>
            <w:tcW w:w="4968" w:type="dxa"/>
            <w:gridSpan w:val="2"/>
          </w:tcPr>
          <w:p w:rsidR="00401177" w:rsidRPr="0045342D" w:rsidRDefault="00401177">
            <w:pPr>
              <w:rPr>
                <w:bCs/>
                <w:sz w:val="24"/>
              </w:rPr>
            </w:pPr>
            <w:r>
              <w:rPr>
                <w:b/>
                <w:sz w:val="24"/>
              </w:rPr>
              <w:t>A.4</w:t>
            </w:r>
            <w:r w:rsidR="00A444D6">
              <w:rPr>
                <w:b/>
                <w:sz w:val="24"/>
              </w:rPr>
              <w:t xml:space="preserve">.  </w:t>
            </w:r>
            <w:r>
              <w:rPr>
                <w:b/>
                <w:sz w:val="24"/>
              </w:rPr>
              <w:t>Federal cost</w:t>
            </w:r>
            <w:r>
              <w:rPr>
                <w:bCs/>
                <w:sz w:val="24"/>
              </w:rPr>
              <w:t xml:space="preserve">:  </w:t>
            </w:r>
            <w:r w:rsidRPr="004F120C">
              <w:rPr>
                <w:bCs/>
                <w:sz w:val="24"/>
              </w:rPr>
              <w:t>$</w:t>
            </w:r>
            <w:r w:rsidR="00F1502B">
              <w:rPr>
                <w:bCs/>
                <w:sz w:val="24"/>
              </w:rPr>
              <w:t>79,620</w:t>
            </w:r>
            <w:r w:rsidR="00584C5E">
              <w:rPr>
                <w:rStyle w:val="FootnoteReference"/>
              </w:rPr>
              <w:footnoteReference w:id="1"/>
            </w:r>
          </w:p>
          <w:p w:rsidR="00401177" w:rsidRDefault="00401177">
            <w:pPr>
              <w:rPr>
                <w:b/>
                <w:sz w:val="24"/>
              </w:rPr>
            </w:pPr>
          </w:p>
        </w:tc>
        <w:tc>
          <w:tcPr>
            <w:tcW w:w="6109" w:type="dxa"/>
          </w:tcPr>
          <w:p w:rsidR="00925F97" w:rsidRDefault="00401177" w:rsidP="00F1502B">
            <w:pPr>
              <w:pStyle w:val="BodyText2"/>
            </w:pPr>
            <w:r>
              <w:t>A.5</w:t>
            </w:r>
            <w:r w:rsidR="00A444D6">
              <w:t xml:space="preserve">.  </w:t>
            </w:r>
            <w:r>
              <w:t>Requested expiration date (Month/Year):</w:t>
            </w:r>
            <w:r w:rsidR="0045342D">
              <w:t xml:space="preserve"> </w:t>
            </w:r>
          </w:p>
          <w:p w:rsidR="00401177" w:rsidRDefault="00F1502B" w:rsidP="00925F97">
            <w:pPr>
              <w:pStyle w:val="BodyText2"/>
              <w:jc w:val="center"/>
              <w:rPr>
                <w:b w:val="0"/>
              </w:rPr>
            </w:pPr>
            <w:r w:rsidRPr="00F1502B">
              <w:rPr>
                <w:b w:val="0"/>
              </w:rPr>
              <w:t>S</w:t>
            </w:r>
            <w:r>
              <w:rPr>
                <w:b w:val="0"/>
              </w:rPr>
              <w:t xml:space="preserve">eptember </w:t>
            </w:r>
            <w:r w:rsidR="0045342D" w:rsidRPr="0045342D">
              <w:rPr>
                <w:b w:val="0"/>
              </w:rPr>
              <w:t>2013</w:t>
            </w:r>
          </w:p>
        </w:tc>
      </w:tr>
      <w:tr w:rsidR="00401177" w:rsidTr="00532587">
        <w:tc>
          <w:tcPr>
            <w:tcW w:w="4968" w:type="dxa"/>
            <w:gridSpan w:val="2"/>
          </w:tcPr>
          <w:p w:rsidR="00401177" w:rsidRDefault="00401177">
            <w:pPr>
              <w:rPr>
                <w:b/>
                <w:sz w:val="24"/>
              </w:rPr>
            </w:pPr>
            <w:r>
              <w:rPr>
                <w:b/>
                <w:sz w:val="24"/>
              </w:rPr>
              <w:t>A.6</w:t>
            </w:r>
            <w:r w:rsidR="00A444D6">
              <w:rPr>
                <w:b/>
                <w:sz w:val="24"/>
              </w:rPr>
              <w:t xml:space="preserve">.  </w:t>
            </w:r>
            <w:r>
              <w:rPr>
                <w:b/>
                <w:sz w:val="24"/>
              </w:rPr>
              <w:t>Burden Hour estimates:</w:t>
            </w:r>
          </w:p>
          <w:p w:rsidR="0045342D" w:rsidRPr="0045342D" w:rsidRDefault="0045342D" w:rsidP="00D11667">
            <w:pPr>
              <w:tabs>
                <w:tab w:val="left" w:pos="522"/>
                <w:tab w:val="left" w:pos="882"/>
                <w:tab w:val="left" w:pos="1152"/>
                <w:tab w:val="left" w:pos="1422"/>
                <w:tab w:val="right" w:pos="4500"/>
              </w:tabs>
              <w:ind w:left="180"/>
              <w:rPr>
                <w:bCs/>
                <w:sz w:val="22"/>
              </w:rPr>
            </w:pPr>
            <w:r w:rsidRPr="0045342D">
              <w:rPr>
                <w:bCs/>
                <w:sz w:val="22"/>
              </w:rPr>
              <w:t>a</w:t>
            </w:r>
            <w:r w:rsidR="00A444D6">
              <w:rPr>
                <w:bCs/>
                <w:sz w:val="22"/>
              </w:rPr>
              <w:t xml:space="preserve">.  </w:t>
            </w:r>
            <w:r w:rsidR="00E745BA">
              <w:rPr>
                <w:bCs/>
                <w:sz w:val="22"/>
              </w:rPr>
              <w:t xml:space="preserve">Number of Respondents:      </w:t>
            </w:r>
            <w:r w:rsidR="00E745BA">
              <w:rPr>
                <w:bCs/>
                <w:sz w:val="22"/>
              </w:rPr>
              <w:tab/>
            </w:r>
            <w:r w:rsidR="00043049">
              <w:rPr>
                <w:bCs/>
                <w:sz w:val="22"/>
              </w:rPr>
              <w:t>4</w:t>
            </w:r>
            <w:r w:rsidR="00311E52">
              <w:rPr>
                <w:bCs/>
                <w:sz w:val="22"/>
              </w:rPr>
              <w:t>4</w:t>
            </w:r>
          </w:p>
          <w:p w:rsidR="0045342D" w:rsidRPr="0045342D" w:rsidRDefault="0045342D" w:rsidP="00D11667">
            <w:pPr>
              <w:tabs>
                <w:tab w:val="left" w:pos="522"/>
                <w:tab w:val="left" w:pos="882"/>
                <w:tab w:val="left" w:pos="1152"/>
                <w:tab w:val="left" w:pos="1422"/>
                <w:tab w:val="right" w:pos="4500"/>
              </w:tabs>
              <w:ind w:left="180"/>
              <w:rPr>
                <w:bCs/>
                <w:sz w:val="22"/>
              </w:rPr>
            </w:pPr>
            <w:r w:rsidRPr="0045342D">
              <w:rPr>
                <w:bCs/>
                <w:sz w:val="22"/>
              </w:rPr>
              <w:tab/>
              <w:t xml:space="preserve"> a.1</w:t>
            </w:r>
            <w:r w:rsidR="00A444D6">
              <w:rPr>
                <w:bCs/>
                <w:sz w:val="22"/>
              </w:rPr>
              <w:t xml:space="preserve">.  </w:t>
            </w:r>
            <w:r w:rsidRPr="0045342D">
              <w:rPr>
                <w:bCs/>
                <w:sz w:val="22"/>
              </w:rPr>
              <w:t>% Received Electronically:</w:t>
            </w:r>
            <w:r w:rsidRPr="0045342D">
              <w:rPr>
                <w:bCs/>
                <w:sz w:val="22"/>
              </w:rPr>
              <w:tab/>
              <w:t>100%</w:t>
            </w:r>
          </w:p>
          <w:p w:rsidR="0045342D" w:rsidRPr="0045342D" w:rsidRDefault="0045342D" w:rsidP="00D11667">
            <w:pPr>
              <w:pStyle w:val="BodyText"/>
              <w:tabs>
                <w:tab w:val="left" w:pos="522"/>
                <w:tab w:val="left" w:pos="882"/>
                <w:tab w:val="left" w:pos="1152"/>
                <w:tab w:val="left" w:pos="4032"/>
                <w:tab w:val="right" w:pos="4500"/>
              </w:tabs>
              <w:ind w:left="180"/>
              <w:rPr>
                <w:bCs/>
                <w:sz w:val="22"/>
              </w:rPr>
            </w:pPr>
            <w:r w:rsidRPr="0045342D">
              <w:rPr>
                <w:bCs/>
                <w:sz w:val="22"/>
              </w:rPr>
              <w:t>b</w:t>
            </w:r>
            <w:r w:rsidR="00A444D6">
              <w:rPr>
                <w:bCs/>
                <w:sz w:val="22"/>
              </w:rPr>
              <w:t xml:space="preserve">.  </w:t>
            </w:r>
            <w:r w:rsidRPr="0045342D">
              <w:rPr>
                <w:bCs/>
                <w:sz w:val="22"/>
              </w:rPr>
              <w:t xml:space="preserve">Frequency: </w:t>
            </w:r>
            <w:r w:rsidRPr="0045342D">
              <w:rPr>
                <w:bCs/>
                <w:sz w:val="22"/>
              </w:rPr>
              <w:tab/>
              <w:t>Once</w:t>
            </w:r>
          </w:p>
          <w:p w:rsidR="0045342D" w:rsidRPr="0094214B" w:rsidRDefault="0045342D" w:rsidP="00D11667">
            <w:pPr>
              <w:tabs>
                <w:tab w:val="left" w:pos="522"/>
                <w:tab w:val="left" w:pos="882"/>
                <w:tab w:val="left" w:pos="1152"/>
                <w:tab w:val="left" w:pos="1422"/>
                <w:tab w:val="right" w:pos="4500"/>
              </w:tabs>
              <w:ind w:left="180"/>
              <w:rPr>
                <w:bCs/>
                <w:sz w:val="22"/>
              </w:rPr>
            </w:pPr>
            <w:r w:rsidRPr="0045342D">
              <w:rPr>
                <w:bCs/>
                <w:sz w:val="22"/>
              </w:rPr>
              <w:t>c</w:t>
            </w:r>
            <w:r w:rsidR="00A444D6">
              <w:rPr>
                <w:bCs/>
                <w:sz w:val="22"/>
              </w:rPr>
              <w:t xml:space="preserve">.  </w:t>
            </w:r>
            <w:r w:rsidRPr="0045342D">
              <w:rPr>
                <w:bCs/>
                <w:sz w:val="22"/>
              </w:rPr>
              <w:t>Average Response Time:</w:t>
            </w:r>
            <w:r w:rsidRPr="0045342D">
              <w:rPr>
                <w:bCs/>
                <w:sz w:val="22"/>
              </w:rPr>
              <w:tab/>
            </w:r>
            <w:r w:rsidR="003D4863">
              <w:rPr>
                <w:bCs/>
                <w:sz w:val="22"/>
              </w:rPr>
              <w:t xml:space="preserve">   </w:t>
            </w:r>
            <w:r w:rsidR="0094214B" w:rsidRPr="0094214B">
              <w:rPr>
                <w:bCs/>
                <w:sz w:val="22"/>
              </w:rPr>
              <w:t>3</w:t>
            </w:r>
            <w:r w:rsidR="00F1502B">
              <w:rPr>
                <w:bCs/>
                <w:sz w:val="22"/>
              </w:rPr>
              <w:t>6</w:t>
            </w:r>
            <w:r w:rsidRPr="0094214B">
              <w:rPr>
                <w:bCs/>
                <w:sz w:val="22"/>
              </w:rPr>
              <w:t xml:space="preserve"> minutes</w:t>
            </w:r>
          </w:p>
          <w:p w:rsidR="00401177" w:rsidRDefault="00E745BA" w:rsidP="00311E52">
            <w:pPr>
              <w:tabs>
                <w:tab w:val="left" w:pos="522"/>
                <w:tab w:val="left" w:pos="3510"/>
              </w:tabs>
              <w:ind w:left="180"/>
              <w:rPr>
                <w:b/>
                <w:sz w:val="24"/>
              </w:rPr>
            </w:pPr>
            <w:r w:rsidRPr="0094214B">
              <w:rPr>
                <w:bCs/>
                <w:sz w:val="22"/>
              </w:rPr>
              <w:t>d</w:t>
            </w:r>
            <w:r w:rsidR="00A444D6">
              <w:rPr>
                <w:bCs/>
                <w:sz w:val="22"/>
              </w:rPr>
              <w:t xml:space="preserve">.  </w:t>
            </w:r>
            <w:r w:rsidR="0045342D" w:rsidRPr="0094214B">
              <w:rPr>
                <w:bCs/>
                <w:sz w:val="22"/>
              </w:rPr>
              <w:t>Tot</w:t>
            </w:r>
            <w:r w:rsidRPr="0094214B">
              <w:rPr>
                <w:bCs/>
                <w:sz w:val="22"/>
              </w:rPr>
              <w:t xml:space="preserve">al Annual Burden Hours:     </w:t>
            </w:r>
            <w:r w:rsidRPr="0094214B">
              <w:rPr>
                <w:bCs/>
                <w:sz w:val="22"/>
              </w:rPr>
              <w:tab/>
            </w:r>
            <w:r w:rsidR="005C3C2D">
              <w:rPr>
                <w:bCs/>
                <w:sz w:val="22"/>
              </w:rPr>
              <w:t>2</w:t>
            </w:r>
            <w:r w:rsidR="00311E52">
              <w:rPr>
                <w:bCs/>
                <w:sz w:val="22"/>
              </w:rPr>
              <w:t>6.4</w:t>
            </w:r>
            <w:r w:rsidR="00F1502B">
              <w:rPr>
                <w:bCs/>
                <w:sz w:val="22"/>
              </w:rPr>
              <w:t xml:space="preserve"> </w:t>
            </w:r>
            <w:r w:rsidR="0045342D" w:rsidRPr="0094214B">
              <w:rPr>
                <w:bCs/>
                <w:sz w:val="22"/>
              </w:rPr>
              <w:t>hours</w:t>
            </w:r>
            <w:r w:rsidR="0045342D" w:rsidRPr="0045342D">
              <w:rPr>
                <w:b/>
                <w:sz w:val="28"/>
              </w:rPr>
              <w:t xml:space="preserve"> </w:t>
            </w:r>
          </w:p>
        </w:tc>
        <w:tc>
          <w:tcPr>
            <w:tcW w:w="6109" w:type="dxa"/>
          </w:tcPr>
          <w:p w:rsidR="00401177" w:rsidRDefault="00401177">
            <w:pPr>
              <w:rPr>
                <w:b/>
                <w:bCs/>
                <w:sz w:val="24"/>
              </w:rPr>
            </w:pPr>
            <w:r>
              <w:rPr>
                <w:b/>
                <w:bCs/>
                <w:sz w:val="24"/>
              </w:rPr>
              <w:t>A7</w:t>
            </w:r>
            <w:r w:rsidR="00A444D6">
              <w:rPr>
                <w:b/>
                <w:bCs/>
                <w:sz w:val="24"/>
              </w:rPr>
              <w:t xml:space="preserve">.  </w:t>
            </w:r>
            <w:r>
              <w:rPr>
                <w:b/>
                <w:bCs/>
                <w:sz w:val="24"/>
              </w:rPr>
              <w:t>Does the collection of information employ statistical methods?</w:t>
            </w:r>
          </w:p>
          <w:p w:rsidR="00401177" w:rsidRPr="00E745BA" w:rsidRDefault="00E745BA" w:rsidP="00925F97">
            <w:pPr>
              <w:ind w:left="511"/>
              <w:rPr>
                <w:bCs/>
                <w:sz w:val="24"/>
              </w:rPr>
            </w:pPr>
            <w:r>
              <w:rPr>
                <w:sz w:val="24"/>
              </w:rPr>
              <w:t>___X__</w:t>
            </w:r>
            <w:r w:rsidR="00D11667">
              <w:rPr>
                <w:sz w:val="24"/>
              </w:rPr>
              <w:t xml:space="preserve"> </w:t>
            </w:r>
            <w:r w:rsidR="00401177" w:rsidRPr="00E745BA">
              <w:rPr>
                <w:bCs/>
                <w:sz w:val="24"/>
              </w:rPr>
              <w:t xml:space="preserve">No </w:t>
            </w:r>
          </w:p>
          <w:p w:rsidR="00401177" w:rsidRDefault="00401177" w:rsidP="00925F97">
            <w:pPr>
              <w:ind w:left="511"/>
              <w:rPr>
                <w:b/>
                <w:sz w:val="24"/>
              </w:rPr>
            </w:pPr>
            <w:r>
              <w:rPr>
                <w:b/>
                <w:sz w:val="24"/>
              </w:rPr>
              <w:t>_______</w:t>
            </w:r>
            <w:r>
              <w:rPr>
                <w:bCs/>
                <w:sz w:val="24"/>
              </w:rPr>
              <w:t>Yes (Complete Section B and attach BLS review sheet).</w:t>
            </w:r>
          </w:p>
        </w:tc>
      </w:tr>
      <w:tr w:rsidR="00401177" w:rsidTr="00532587">
        <w:tc>
          <w:tcPr>
            <w:tcW w:w="11077" w:type="dxa"/>
            <w:gridSpan w:val="3"/>
          </w:tcPr>
          <w:p w:rsidR="00925F97" w:rsidRDefault="00925F97" w:rsidP="00F1502B">
            <w:pPr>
              <w:pStyle w:val="BodyText"/>
              <w:rPr>
                <w:sz w:val="22"/>
                <w:szCs w:val="22"/>
              </w:rPr>
            </w:pPr>
          </w:p>
          <w:p w:rsidR="00E852C7" w:rsidRDefault="0033793B" w:rsidP="00F1502B">
            <w:pPr>
              <w:pStyle w:val="BodyText"/>
              <w:rPr>
                <w:sz w:val="22"/>
                <w:szCs w:val="22"/>
              </w:rPr>
            </w:pPr>
            <w:r>
              <w:rPr>
                <w:sz w:val="22"/>
                <w:szCs w:val="22"/>
              </w:rPr>
              <w:t xml:space="preserve">The Workforce Investment Act (WIA) serves individuals from a wide variety of background and skills.  Both the Adult and Dislocated worker programs serve individuals who are receiving unemployment insurance (UI) benefits.  The latest data from the </w:t>
            </w:r>
            <w:r w:rsidR="00221D04" w:rsidRPr="00221D04">
              <w:rPr>
                <w:sz w:val="22"/>
                <w:szCs w:val="22"/>
              </w:rPr>
              <w:t xml:space="preserve">Workforce Investment Act Standardized Record Data </w:t>
            </w:r>
            <w:r>
              <w:rPr>
                <w:sz w:val="22"/>
                <w:szCs w:val="22"/>
              </w:rPr>
              <w:t xml:space="preserve">system indicated that as many as 40 percent of WIA exiters have, or are currently receiving, UI.  Many of the WIA clients use UI benefits to support themselves while receiving WIA intensive services including training.  It is critical to the success of the individuals who qualify for benefits </w:t>
            </w:r>
            <w:r w:rsidR="00225338">
              <w:rPr>
                <w:sz w:val="22"/>
                <w:szCs w:val="22"/>
              </w:rPr>
              <w:t xml:space="preserve">to </w:t>
            </w:r>
            <w:r>
              <w:rPr>
                <w:sz w:val="22"/>
                <w:szCs w:val="22"/>
              </w:rPr>
              <w:t xml:space="preserve">receive them in a timely manner.  Delays in any component of the UI </w:t>
            </w:r>
            <w:r w:rsidR="00E852C7">
              <w:rPr>
                <w:sz w:val="22"/>
                <w:szCs w:val="22"/>
              </w:rPr>
              <w:t>eligibility</w:t>
            </w:r>
            <w:r>
              <w:rPr>
                <w:sz w:val="22"/>
                <w:szCs w:val="22"/>
              </w:rPr>
              <w:t xml:space="preserve"> and payment process can have a </w:t>
            </w:r>
            <w:r w:rsidR="00E852C7">
              <w:rPr>
                <w:sz w:val="22"/>
                <w:szCs w:val="22"/>
              </w:rPr>
              <w:t>significant</w:t>
            </w:r>
            <w:r>
              <w:rPr>
                <w:sz w:val="22"/>
                <w:szCs w:val="22"/>
              </w:rPr>
              <w:t xml:space="preserve"> </w:t>
            </w:r>
            <w:r w:rsidR="00E852C7">
              <w:rPr>
                <w:sz w:val="22"/>
                <w:szCs w:val="22"/>
              </w:rPr>
              <w:t>impact</w:t>
            </w:r>
            <w:r>
              <w:rPr>
                <w:sz w:val="22"/>
                <w:szCs w:val="22"/>
              </w:rPr>
              <w:t xml:space="preserve"> o</w:t>
            </w:r>
            <w:r w:rsidR="00E852C7">
              <w:rPr>
                <w:sz w:val="22"/>
                <w:szCs w:val="22"/>
              </w:rPr>
              <w:t>n</w:t>
            </w:r>
            <w:r>
              <w:rPr>
                <w:sz w:val="22"/>
                <w:szCs w:val="22"/>
              </w:rPr>
              <w:t xml:space="preserve"> their success and timely </w:t>
            </w:r>
            <w:r w:rsidR="00E852C7">
              <w:rPr>
                <w:sz w:val="22"/>
                <w:szCs w:val="22"/>
              </w:rPr>
              <w:t>return</w:t>
            </w:r>
            <w:r>
              <w:rPr>
                <w:sz w:val="22"/>
                <w:szCs w:val="22"/>
              </w:rPr>
              <w:t xml:space="preserve"> to the labor market.  </w:t>
            </w:r>
            <w:r w:rsidR="00E852C7">
              <w:rPr>
                <w:sz w:val="22"/>
                <w:szCs w:val="22"/>
              </w:rPr>
              <w:t>A</w:t>
            </w:r>
            <w:r>
              <w:rPr>
                <w:sz w:val="22"/>
                <w:szCs w:val="22"/>
              </w:rPr>
              <w:t xml:space="preserve"> </w:t>
            </w:r>
            <w:r w:rsidR="00E852C7">
              <w:rPr>
                <w:sz w:val="22"/>
                <w:szCs w:val="22"/>
              </w:rPr>
              <w:t xml:space="preserve">properly functioning UI </w:t>
            </w:r>
            <w:r>
              <w:rPr>
                <w:sz w:val="22"/>
                <w:szCs w:val="22"/>
              </w:rPr>
              <w:t xml:space="preserve">Lower </w:t>
            </w:r>
            <w:r w:rsidR="00E852C7">
              <w:rPr>
                <w:sz w:val="22"/>
                <w:szCs w:val="22"/>
              </w:rPr>
              <w:t>Authority</w:t>
            </w:r>
            <w:r>
              <w:rPr>
                <w:sz w:val="22"/>
                <w:szCs w:val="22"/>
              </w:rPr>
              <w:t xml:space="preserve"> Appeals </w:t>
            </w:r>
            <w:r w:rsidR="00E852C7">
              <w:rPr>
                <w:sz w:val="22"/>
                <w:szCs w:val="22"/>
              </w:rPr>
              <w:t>(LAA) process</w:t>
            </w:r>
            <w:r>
              <w:rPr>
                <w:sz w:val="22"/>
                <w:szCs w:val="22"/>
              </w:rPr>
              <w:t xml:space="preserve"> is a ke</w:t>
            </w:r>
            <w:r w:rsidR="00E852C7">
              <w:rPr>
                <w:sz w:val="22"/>
                <w:szCs w:val="22"/>
              </w:rPr>
              <w:t>y</w:t>
            </w:r>
            <w:r>
              <w:rPr>
                <w:sz w:val="22"/>
                <w:szCs w:val="22"/>
              </w:rPr>
              <w:t xml:space="preserve"> factor in determining an </w:t>
            </w:r>
            <w:r w:rsidR="00E852C7">
              <w:rPr>
                <w:sz w:val="22"/>
                <w:szCs w:val="22"/>
              </w:rPr>
              <w:t>individual’s</w:t>
            </w:r>
            <w:r>
              <w:rPr>
                <w:sz w:val="22"/>
                <w:szCs w:val="22"/>
              </w:rPr>
              <w:t xml:space="preserve"> </w:t>
            </w:r>
            <w:r w:rsidR="00E852C7">
              <w:rPr>
                <w:sz w:val="22"/>
                <w:szCs w:val="22"/>
              </w:rPr>
              <w:t>entitlement to UI and therefore their ability to successfully complete a WIA program.</w:t>
            </w:r>
            <w:r>
              <w:rPr>
                <w:sz w:val="22"/>
                <w:szCs w:val="22"/>
              </w:rPr>
              <w:t xml:space="preserve">  </w:t>
            </w:r>
          </w:p>
          <w:p w:rsidR="00E852C7" w:rsidRDefault="00E852C7" w:rsidP="00F1502B">
            <w:pPr>
              <w:pStyle w:val="BodyText"/>
              <w:rPr>
                <w:sz w:val="22"/>
                <w:szCs w:val="22"/>
              </w:rPr>
            </w:pPr>
          </w:p>
          <w:p w:rsidR="00E852C7" w:rsidRPr="00E852C7" w:rsidRDefault="00E852C7" w:rsidP="00E852C7">
            <w:pPr>
              <w:pStyle w:val="BodyText"/>
              <w:rPr>
                <w:sz w:val="22"/>
                <w:szCs w:val="22"/>
              </w:rPr>
            </w:pPr>
            <w:r>
              <w:rPr>
                <w:sz w:val="22"/>
                <w:szCs w:val="22"/>
              </w:rPr>
              <w:t>The Office of Unemployment Insurance (</w:t>
            </w:r>
            <w:r w:rsidRPr="00E852C7">
              <w:rPr>
                <w:sz w:val="22"/>
                <w:szCs w:val="22"/>
              </w:rPr>
              <w:t>OUI</w:t>
            </w:r>
            <w:r>
              <w:rPr>
                <w:sz w:val="22"/>
                <w:szCs w:val="22"/>
              </w:rPr>
              <w:t>)</w:t>
            </w:r>
            <w:r w:rsidRPr="00E852C7">
              <w:rPr>
                <w:sz w:val="22"/>
                <w:szCs w:val="22"/>
              </w:rPr>
              <w:t xml:space="preserve"> has developed national LAA time lapse measures to capture how timely a hearing is held, and a decision rendered.  The Acceptable Level of Performance (ALP) is</w:t>
            </w:r>
            <w:r w:rsidR="00311E52">
              <w:rPr>
                <w:sz w:val="22"/>
                <w:szCs w:val="22"/>
              </w:rPr>
              <w:t xml:space="preserve">: </w:t>
            </w:r>
            <w:r w:rsidRPr="00E852C7">
              <w:rPr>
                <w:sz w:val="22"/>
                <w:szCs w:val="22"/>
              </w:rPr>
              <w:t xml:space="preserve"> 60 percent of appeals must be disposed of as completed cases within 30 days of the appeal date and 80 percent of completed case appeals must be disposed of within 45 days of </w:t>
            </w:r>
            <w:r w:rsidR="00311E52">
              <w:rPr>
                <w:sz w:val="22"/>
                <w:szCs w:val="22"/>
              </w:rPr>
              <w:t xml:space="preserve">the </w:t>
            </w:r>
            <w:r w:rsidRPr="00E852C7">
              <w:rPr>
                <w:sz w:val="22"/>
                <w:szCs w:val="22"/>
              </w:rPr>
              <w:t>appeal date.  Case Aging measures the average age (in days) of appealed cases that are pending disposition.  This measure shows the average age of all cases that have been appealed but not yet heard or decided, i.e., the average age of cases still waiting (in days) for a hearing and a written decision.  The average age of pending cases ALP is 30 days – meaning cases should not be pending for more than 30 days.</w:t>
            </w:r>
          </w:p>
          <w:p w:rsidR="00E852C7" w:rsidRPr="00E852C7" w:rsidRDefault="00E852C7" w:rsidP="00E852C7">
            <w:pPr>
              <w:pStyle w:val="BodyText"/>
              <w:rPr>
                <w:sz w:val="22"/>
                <w:szCs w:val="22"/>
              </w:rPr>
            </w:pPr>
          </w:p>
          <w:p w:rsidR="00E852C7" w:rsidRPr="00E852C7" w:rsidRDefault="00E852C7" w:rsidP="00E852C7">
            <w:pPr>
              <w:pStyle w:val="BodyText"/>
              <w:rPr>
                <w:sz w:val="22"/>
                <w:szCs w:val="22"/>
              </w:rPr>
            </w:pPr>
            <w:r w:rsidRPr="00E852C7">
              <w:rPr>
                <w:sz w:val="22"/>
                <w:szCs w:val="22"/>
              </w:rPr>
              <w:t xml:space="preserve">The number of states consistently not meeting UI LAA ALP measures is growing.  For calendar year 2010, there were only twelve states meeting the 30-day timeliness measure, seventeen states meeting the 45-day timeliness measure, and twenty-four states meeting the 30-day case aging measure.  </w:t>
            </w:r>
          </w:p>
          <w:p w:rsidR="00E852C7" w:rsidRPr="00E852C7" w:rsidRDefault="00E852C7" w:rsidP="00E852C7">
            <w:pPr>
              <w:pStyle w:val="BodyText"/>
              <w:rPr>
                <w:sz w:val="22"/>
                <w:szCs w:val="22"/>
              </w:rPr>
            </w:pPr>
          </w:p>
          <w:p w:rsidR="00E852C7" w:rsidRDefault="00E852C7" w:rsidP="00E852C7">
            <w:pPr>
              <w:pStyle w:val="BodyText"/>
              <w:rPr>
                <w:sz w:val="22"/>
                <w:szCs w:val="22"/>
              </w:rPr>
            </w:pPr>
            <w:r w:rsidRPr="00E852C7">
              <w:rPr>
                <w:sz w:val="22"/>
                <w:szCs w:val="22"/>
              </w:rPr>
              <w:t>For calendar year 2010, only 52 percent of appeals filed were able to be docketed for a hearing, have the hearing heard, and a written decision issued within the 45 day performance time frame from the date the appeal was first filed.  A full assessment of states LAA processing is needed to see where technology</w:t>
            </w:r>
            <w:r w:rsidR="00311E52">
              <w:rPr>
                <w:sz w:val="22"/>
                <w:szCs w:val="22"/>
              </w:rPr>
              <w:t xml:space="preserve"> and innovations</w:t>
            </w:r>
            <w:r w:rsidRPr="00E852C7">
              <w:rPr>
                <w:sz w:val="22"/>
                <w:szCs w:val="22"/>
              </w:rPr>
              <w:t xml:space="preserve"> can improve processes, procedures, and practices for the UI appeals process from scheduling a hearing to conducting the hearing including rendering decisions, interfacing with legacy UI Claims IT systems and Higher Level Appeals Authorities.</w:t>
            </w:r>
          </w:p>
          <w:p w:rsidR="00E852C7" w:rsidRDefault="00E852C7" w:rsidP="00E852C7">
            <w:pPr>
              <w:pStyle w:val="BodyText"/>
              <w:rPr>
                <w:sz w:val="22"/>
                <w:szCs w:val="22"/>
              </w:rPr>
            </w:pPr>
          </w:p>
          <w:p w:rsidR="00621338" w:rsidRPr="00621338" w:rsidRDefault="00621338" w:rsidP="00621338">
            <w:pPr>
              <w:rPr>
                <w:sz w:val="22"/>
                <w:szCs w:val="22"/>
              </w:rPr>
            </w:pPr>
            <w:r w:rsidRPr="00621338">
              <w:rPr>
                <w:sz w:val="22"/>
                <w:szCs w:val="22"/>
              </w:rPr>
              <w:t>This project envisions examining the current processes, systems, and tools that all 5</w:t>
            </w:r>
            <w:r w:rsidR="00311E52">
              <w:rPr>
                <w:sz w:val="22"/>
                <w:szCs w:val="22"/>
              </w:rPr>
              <w:t>3</w:t>
            </w:r>
            <w:r w:rsidR="00311E52">
              <w:rPr>
                <w:rStyle w:val="FootnoteReference"/>
                <w:sz w:val="22"/>
                <w:szCs w:val="22"/>
              </w:rPr>
              <w:footnoteReference w:id="2"/>
            </w:r>
            <w:r w:rsidRPr="00621338">
              <w:rPr>
                <w:sz w:val="22"/>
                <w:szCs w:val="22"/>
              </w:rPr>
              <w:t xml:space="preserve"> states (4</w:t>
            </w:r>
            <w:r w:rsidR="00311E52">
              <w:rPr>
                <w:sz w:val="22"/>
                <w:szCs w:val="22"/>
              </w:rPr>
              <w:t>4</w:t>
            </w:r>
            <w:r w:rsidRPr="00621338">
              <w:rPr>
                <w:sz w:val="22"/>
                <w:szCs w:val="22"/>
              </w:rPr>
              <w:t xml:space="preserve"> by survey, nine states were covered in the pretest process) use to perform the core functions of first-level appeals adjudication.  It will provide insights about four key </w:t>
            </w:r>
            <w:r w:rsidR="00311E52">
              <w:rPr>
                <w:sz w:val="22"/>
                <w:szCs w:val="22"/>
              </w:rPr>
              <w:t>areas of appeals</w:t>
            </w:r>
            <w:r w:rsidRPr="00621338">
              <w:rPr>
                <w:sz w:val="22"/>
                <w:szCs w:val="22"/>
              </w:rPr>
              <w:t xml:space="preserve">: (1) methods and processing in LAA appeals operations; (2) IT systems and tools used in LAA appeals operations; (3) laws, regulations, and policies affecting the LAA appeals process; and (4) emerging </w:t>
            </w:r>
            <w:r w:rsidRPr="00621338">
              <w:rPr>
                <w:sz w:val="22"/>
                <w:szCs w:val="22"/>
              </w:rPr>
              <w:lastRenderedPageBreak/>
              <w:t>approaches and promising trends.</w:t>
            </w:r>
          </w:p>
          <w:p w:rsidR="00621338" w:rsidRDefault="00621338" w:rsidP="00F1502B">
            <w:pPr>
              <w:pStyle w:val="BodyText"/>
              <w:rPr>
                <w:sz w:val="22"/>
                <w:szCs w:val="22"/>
              </w:rPr>
            </w:pPr>
          </w:p>
          <w:p w:rsidR="00E852C7" w:rsidRDefault="00F1502B" w:rsidP="00F1502B">
            <w:pPr>
              <w:pStyle w:val="BodyText"/>
              <w:rPr>
                <w:sz w:val="22"/>
                <w:szCs w:val="22"/>
              </w:rPr>
            </w:pPr>
            <w:r w:rsidRPr="00F1502B">
              <w:rPr>
                <w:sz w:val="22"/>
                <w:szCs w:val="22"/>
              </w:rPr>
              <w:t xml:space="preserve">The overarching objectives of the LAA assessment project are to identify ways to improve the LAA process across the country to overcome the major obstacles and challenges and to make it meet the needs of the States and the unemployed. </w:t>
            </w:r>
            <w:r w:rsidR="00E852C7">
              <w:rPr>
                <w:sz w:val="22"/>
                <w:szCs w:val="22"/>
              </w:rPr>
              <w:t xml:space="preserve"> </w:t>
            </w:r>
            <w:r w:rsidRPr="00F1502B">
              <w:rPr>
                <w:sz w:val="22"/>
                <w:szCs w:val="22"/>
              </w:rPr>
              <w:t xml:space="preserve">The specific objectives </w:t>
            </w:r>
            <w:r w:rsidR="00E852C7">
              <w:rPr>
                <w:sz w:val="22"/>
                <w:szCs w:val="22"/>
              </w:rPr>
              <w:t>for the planned survey are to:</w:t>
            </w:r>
          </w:p>
          <w:p w:rsidR="005765BC" w:rsidRDefault="005765BC" w:rsidP="00F1502B">
            <w:pPr>
              <w:pStyle w:val="BodyText"/>
              <w:rPr>
                <w:sz w:val="22"/>
                <w:szCs w:val="22"/>
              </w:rPr>
            </w:pPr>
          </w:p>
          <w:p w:rsidR="00E852C7" w:rsidRDefault="00E852C7" w:rsidP="00F1502B">
            <w:pPr>
              <w:pStyle w:val="BodyText"/>
              <w:numPr>
                <w:ilvl w:val="0"/>
                <w:numId w:val="5"/>
              </w:numPr>
              <w:rPr>
                <w:sz w:val="22"/>
                <w:szCs w:val="22"/>
              </w:rPr>
            </w:pPr>
            <w:r w:rsidRPr="00E852C7">
              <w:rPr>
                <w:sz w:val="22"/>
                <w:szCs w:val="22"/>
              </w:rPr>
              <w:t>Assess</w:t>
            </w:r>
            <w:r w:rsidR="00F1502B" w:rsidRPr="00E852C7">
              <w:rPr>
                <w:sz w:val="22"/>
                <w:szCs w:val="22"/>
              </w:rPr>
              <w:t xml:space="preserve"> current LAA procedures and </w:t>
            </w:r>
            <w:r w:rsidR="00043049" w:rsidRPr="00E852C7">
              <w:rPr>
                <w:sz w:val="22"/>
                <w:szCs w:val="22"/>
              </w:rPr>
              <w:t>processes;</w:t>
            </w:r>
            <w:r w:rsidR="00F1502B" w:rsidRPr="00E852C7">
              <w:rPr>
                <w:sz w:val="22"/>
                <w:szCs w:val="22"/>
              </w:rPr>
              <w:t xml:space="preserve"> including IT systems States use to process their UI appeals and </w:t>
            </w:r>
            <w:r w:rsidRPr="00E852C7">
              <w:rPr>
                <w:sz w:val="22"/>
                <w:szCs w:val="22"/>
              </w:rPr>
              <w:t>identify</w:t>
            </w:r>
            <w:r w:rsidR="00F1502B" w:rsidRPr="00E852C7">
              <w:rPr>
                <w:sz w:val="22"/>
                <w:szCs w:val="22"/>
              </w:rPr>
              <w:t xml:space="preserve"> alternative technologies States may implement to improve their overall LAA appeals performance and processing. </w:t>
            </w:r>
            <w:r w:rsidRPr="00E852C7">
              <w:rPr>
                <w:sz w:val="22"/>
                <w:szCs w:val="22"/>
              </w:rPr>
              <w:t xml:space="preserve"> This will involve a two</w:t>
            </w:r>
            <w:r w:rsidR="00F1502B" w:rsidRPr="00E852C7">
              <w:rPr>
                <w:sz w:val="22"/>
                <w:szCs w:val="22"/>
              </w:rPr>
              <w:t xml:space="preserve">-pronged data collection approach to gather the necessary information to assess the current practices in LAA, challenges to the timely disposition of appeals, details of the IT systems, and tools used. </w:t>
            </w:r>
            <w:r w:rsidR="005765BC">
              <w:rPr>
                <w:sz w:val="22"/>
                <w:szCs w:val="22"/>
              </w:rPr>
              <w:t xml:space="preserve"> </w:t>
            </w:r>
            <w:r w:rsidR="00F1502B" w:rsidRPr="00E852C7">
              <w:rPr>
                <w:sz w:val="22"/>
                <w:szCs w:val="22"/>
              </w:rPr>
              <w:t xml:space="preserve">This information will enable </w:t>
            </w:r>
            <w:r w:rsidRPr="00E852C7">
              <w:rPr>
                <w:sz w:val="22"/>
                <w:szCs w:val="22"/>
              </w:rPr>
              <w:t>the identification of</w:t>
            </w:r>
            <w:r w:rsidR="00F1502B" w:rsidRPr="00E852C7">
              <w:rPr>
                <w:sz w:val="22"/>
                <w:szCs w:val="22"/>
              </w:rPr>
              <w:t xml:space="preserve"> new trends or promising practices and specific improvements made by the States to improve performance</w:t>
            </w:r>
            <w:r w:rsidR="00043049">
              <w:rPr>
                <w:sz w:val="22"/>
                <w:szCs w:val="22"/>
              </w:rPr>
              <w:t>,</w:t>
            </w:r>
            <w:r w:rsidR="00AA5DA9">
              <w:rPr>
                <w:sz w:val="22"/>
                <w:szCs w:val="22"/>
              </w:rPr>
              <w:t xml:space="preserve"> and</w:t>
            </w:r>
          </w:p>
          <w:p w:rsidR="005765BC" w:rsidRDefault="005765BC" w:rsidP="005765BC">
            <w:pPr>
              <w:pStyle w:val="BodyText"/>
              <w:ind w:left="420"/>
              <w:rPr>
                <w:sz w:val="22"/>
                <w:szCs w:val="22"/>
              </w:rPr>
            </w:pPr>
          </w:p>
          <w:p w:rsidR="00F1502B" w:rsidRPr="00043049" w:rsidRDefault="00E852C7" w:rsidP="00F1502B">
            <w:pPr>
              <w:pStyle w:val="BodyText"/>
              <w:numPr>
                <w:ilvl w:val="0"/>
                <w:numId w:val="5"/>
              </w:numPr>
              <w:rPr>
                <w:sz w:val="22"/>
                <w:szCs w:val="22"/>
              </w:rPr>
            </w:pPr>
            <w:r>
              <w:rPr>
                <w:sz w:val="22"/>
                <w:szCs w:val="22"/>
              </w:rPr>
              <w:t>I</w:t>
            </w:r>
            <w:r w:rsidR="00F1502B" w:rsidRPr="00E852C7">
              <w:rPr>
                <w:sz w:val="22"/>
                <w:szCs w:val="22"/>
              </w:rPr>
              <w:t>dentify issues and potential technical solutions that will help all States, with a focus on those not meeting the ALPs.</w:t>
            </w:r>
            <w:r w:rsidRPr="00E852C7">
              <w:rPr>
                <w:sz w:val="22"/>
                <w:szCs w:val="22"/>
              </w:rPr>
              <w:t xml:space="preserve"> </w:t>
            </w:r>
            <w:r w:rsidR="00F1502B" w:rsidRPr="00E852C7">
              <w:rPr>
                <w:sz w:val="22"/>
                <w:szCs w:val="22"/>
              </w:rPr>
              <w:t xml:space="preserve"> </w:t>
            </w:r>
            <w:r>
              <w:rPr>
                <w:sz w:val="22"/>
                <w:szCs w:val="22"/>
              </w:rPr>
              <w:t>The</w:t>
            </w:r>
            <w:r w:rsidR="00F1502B" w:rsidRPr="00E852C7">
              <w:rPr>
                <w:sz w:val="22"/>
                <w:szCs w:val="22"/>
              </w:rPr>
              <w:t xml:space="preserve"> proposed needs assessment plan will provide a comprehensive examination of all State LAA systems, documenting their business processes and compiling information on all applicable databases and IT tools used in LAA processing.</w:t>
            </w:r>
          </w:p>
          <w:p w:rsidR="00AA5DA9" w:rsidRDefault="00AA5DA9" w:rsidP="00F1502B">
            <w:pPr>
              <w:pStyle w:val="BodyText"/>
              <w:rPr>
                <w:sz w:val="22"/>
                <w:szCs w:val="22"/>
              </w:rPr>
            </w:pPr>
          </w:p>
          <w:p w:rsidR="005765BC" w:rsidRDefault="00803B8B" w:rsidP="00043049">
            <w:pPr>
              <w:pStyle w:val="BodyText"/>
              <w:rPr>
                <w:sz w:val="22"/>
                <w:szCs w:val="22"/>
              </w:rPr>
            </w:pPr>
            <w:r>
              <w:rPr>
                <w:sz w:val="22"/>
                <w:szCs w:val="22"/>
              </w:rPr>
              <w:t xml:space="preserve">The survey will be conducted by Mathematica </w:t>
            </w:r>
            <w:r w:rsidR="005765BC">
              <w:rPr>
                <w:sz w:val="22"/>
                <w:szCs w:val="22"/>
              </w:rPr>
              <w:t>Policy Research</w:t>
            </w:r>
            <w:r>
              <w:rPr>
                <w:sz w:val="22"/>
                <w:szCs w:val="22"/>
              </w:rPr>
              <w:t xml:space="preserve"> under a contract from the National Association of State Workforce Agencies’ (NASWA) </w:t>
            </w:r>
            <w:r w:rsidRPr="001437CB">
              <w:rPr>
                <w:sz w:val="22"/>
                <w:szCs w:val="22"/>
              </w:rPr>
              <w:t>Center for Employment Security Education and Research (CESER)</w:t>
            </w:r>
            <w:r w:rsidR="005765BC">
              <w:t xml:space="preserve"> </w:t>
            </w:r>
            <w:r w:rsidR="005765BC" w:rsidRPr="005765BC">
              <w:rPr>
                <w:sz w:val="22"/>
                <w:szCs w:val="22"/>
              </w:rPr>
              <w:t xml:space="preserve">), Information Technology Support Center (ITSC) under a Grant from the U.S. Department of Labor’s (USDOL), Office </w:t>
            </w:r>
            <w:r w:rsidR="005765BC">
              <w:rPr>
                <w:sz w:val="22"/>
                <w:szCs w:val="22"/>
              </w:rPr>
              <w:t>of Unemployment Insurance (OUI)</w:t>
            </w:r>
            <w:r>
              <w:rPr>
                <w:sz w:val="22"/>
                <w:szCs w:val="22"/>
              </w:rPr>
              <w:t xml:space="preserve">.  </w:t>
            </w:r>
          </w:p>
          <w:p w:rsidR="005765BC" w:rsidRDefault="005765BC" w:rsidP="00043049">
            <w:pPr>
              <w:pStyle w:val="BodyText"/>
              <w:rPr>
                <w:sz w:val="22"/>
                <w:szCs w:val="22"/>
              </w:rPr>
            </w:pPr>
          </w:p>
          <w:p w:rsidR="0041078F" w:rsidRDefault="00043049" w:rsidP="00043049">
            <w:pPr>
              <w:pStyle w:val="BodyText"/>
              <w:rPr>
                <w:sz w:val="22"/>
                <w:szCs w:val="22"/>
              </w:rPr>
            </w:pPr>
            <w:r>
              <w:rPr>
                <w:sz w:val="22"/>
                <w:szCs w:val="22"/>
              </w:rPr>
              <w:t>T</w:t>
            </w:r>
            <w:r w:rsidRPr="00AA5DA9">
              <w:rPr>
                <w:sz w:val="22"/>
                <w:szCs w:val="22"/>
              </w:rPr>
              <w:t xml:space="preserve">he survey </w:t>
            </w:r>
            <w:r>
              <w:rPr>
                <w:sz w:val="22"/>
                <w:szCs w:val="22"/>
              </w:rPr>
              <w:t xml:space="preserve">instrument will utilize </w:t>
            </w:r>
            <w:r w:rsidR="00803B8B">
              <w:rPr>
                <w:sz w:val="22"/>
                <w:szCs w:val="22"/>
              </w:rPr>
              <w:t xml:space="preserve">a </w:t>
            </w:r>
            <w:r w:rsidR="0041078F" w:rsidRPr="0041078F">
              <w:rPr>
                <w:sz w:val="22"/>
                <w:szCs w:val="22"/>
              </w:rPr>
              <w:t xml:space="preserve">fillable portable document format (PDF) file </w:t>
            </w:r>
            <w:r w:rsidRPr="00AA5DA9">
              <w:rPr>
                <w:sz w:val="22"/>
                <w:szCs w:val="22"/>
              </w:rPr>
              <w:t>that is accessed and returned online.</w:t>
            </w:r>
            <w:r>
              <w:rPr>
                <w:sz w:val="22"/>
                <w:szCs w:val="22"/>
              </w:rPr>
              <w:t xml:space="preserve">  </w:t>
            </w:r>
            <w:r w:rsidR="00B10088">
              <w:rPr>
                <w:sz w:val="22"/>
                <w:szCs w:val="22"/>
              </w:rPr>
              <w:t>The survey consists of four sections: 1) Methods, Processing, and Staffing in Lower-Authority Appeals Operations (11 questions), 2) Information Technology Systems and Tool Used in Lower-Authority Appeals Operations (10 questions), 3) Laws, Regulations, and Policies Affecting the Lower-Authority Appeals Process (4 questions) and 4) Emerging Approaches and Promising Trends (5 questions).</w:t>
            </w:r>
            <w:r w:rsidR="001437CB">
              <w:rPr>
                <w:sz w:val="22"/>
                <w:szCs w:val="22"/>
              </w:rPr>
              <w:t xml:space="preserve">  . </w:t>
            </w:r>
          </w:p>
          <w:p w:rsidR="0041078F" w:rsidRDefault="0041078F" w:rsidP="00043049">
            <w:pPr>
              <w:pStyle w:val="BodyText"/>
              <w:rPr>
                <w:sz w:val="22"/>
                <w:szCs w:val="22"/>
              </w:rPr>
            </w:pPr>
          </w:p>
          <w:p w:rsidR="003C1E17" w:rsidRDefault="00043049" w:rsidP="00043049">
            <w:pPr>
              <w:pStyle w:val="BodyText"/>
              <w:rPr>
                <w:sz w:val="22"/>
                <w:szCs w:val="22"/>
              </w:rPr>
            </w:pPr>
            <w:r>
              <w:rPr>
                <w:sz w:val="22"/>
                <w:szCs w:val="22"/>
              </w:rPr>
              <w:t xml:space="preserve">The survey has been pilot tested in nine states </w:t>
            </w:r>
            <w:r w:rsidRPr="00043049">
              <w:rPr>
                <w:sz w:val="22"/>
                <w:szCs w:val="22"/>
              </w:rPr>
              <w:t>(California, Michigan, Minnesota, Nebraska, Oregon, Rhode Island, South Carolina, Virginia, and West Virginia) represent</w:t>
            </w:r>
            <w:r>
              <w:rPr>
                <w:sz w:val="22"/>
                <w:szCs w:val="22"/>
              </w:rPr>
              <w:t>ing</w:t>
            </w:r>
            <w:r w:rsidRPr="00043049">
              <w:rPr>
                <w:sz w:val="22"/>
                <w:szCs w:val="22"/>
              </w:rPr>
              <w:t xml:space="preserve"> a variety of geographic regions, systems of appeal (one or two levels and panel), and degrees of success. </w:t>
            </w:r>
            <w:r>
              <w:rPr>
                <w:sz w:val="22"/>
                <w:szCs w:val="22"/>
              </w:rPr>
              <w:t xml:space="preserve"> </w:t>
            </w:r>
            <w:r w:rsidR="001437CB">
              <w:rPr>
                <w:sz w:val="22"/>
                <w:szCs w:val="22"/>
              </w:rPr>
              <w:t xml:space="preserve">CESER </w:t>
            </w:r>
            <w:r w:rsidRPr="00043049">
              <w:rPr>
                <w:sz w:val="22"/>
                <w:szCs w:val="22"/>
              </w:rPr>
              <w:t xml:space="preserve">initially contacted these states about participation, with follow-up by Mathematica. </w:t>
            </w:r>
            <w:r w:rsidR="00E3763F">
              <w:rPr>
                <w:sz w:val="22"/>
                <w:szCs w:val="22"/>
              </w:rPr>
              <w:t xml:space="preserve"> </w:t>
            </w:r>
            <w:r w:rsidRPr="00043049">
              <w:rPr>
                <w:sz w:val="22"/>
                <w:szCs w:val="22"/>
              </w:rPr>
              <w:t>All nine states selected agreed to participate and completed the survey and a debriefing phone call</w:t>
            </w:r>
            <w:r w:rsidR="0041078F">
              <w:rPr>
                <w:sz w:val="22"/>
                <w:szCs w:val="22"/>
              </w:rPr>
              <w:t xml:space="preserve">.  </w:t>
            </w:r>
          </w:p>
          <w:p w:rsidR="003C1E17" w:rsidRDefault="003C1E17" w:rsidP="00043049">
            <w:pPr>
              <w:pStyle w:val="BodyText"/>
              <w:rPr>
                <w:sz w:val="22"/>
                <w:szCs w:val="22"/>
              </w:rPr>
            </w:pPr>
          </w:p>
          <w:p w:rsidR="00043049" w:rsidRDefault="003C1E17" w:rsidP="00043049">
            <w:pPr>
              <w:pStyle w:val="BodyText"/>
              <w:rPr>
                <w:sz w:val="22"/>
                <w:szCs w:val="22"/>
              </w:rPr>
            </w:pPr>
            <w:r>
              <w:rPr>
                <w:sz w:val="22"/>
                <w:szCs w:val="22"/>
              </w:rPr>
              <w:t>For the 4</w:t>
            </w:r>
            <w:r w:rsidR="002D5856">
              <w:rPr>
                <w:sz w:val="22"/>
                <w:szCs w:val="22"/>
              </w:rPr>
              <w:t>4</w:t>
            </w:r>
            <w:r>
              <w:rPr>
                <w:sz w:val="22"/>
                <w:szCs w:val="22"/>
              </w:rPr>
              <w:t xml:space="preserve"> states expected to participate in the survey, the survey document will be completed by staff</w:t>
            </w:r>
            <w:r w:rsidR="0041078F" w:rsidRPr="0041078F">
              <w:rPr>
                <w:sz w:val="22"/>
                <w:szCs w:val="22"/>
              </w:rPr>
              <w:t xml:space="preserve"> </w:t>
            </w:r>
            <w:r>
              <w:rPr>
                <w:sz w:val="22"/>
                <w:szCs w:val="22"/>
              </w:rPr>
              <w:t xml:space="preserve">similar to those who were involved </w:t>
            </w:r>
            <w:r w:rsidR="0041078F" w:rsidRPr="0041078F">
              <w:rPr>
                <w:sz w:val="22"/>
                <w:szCs w:val="22"/>
              </w:rPr>
              <w:t>in the pretest</w:t>
            </w:r>
            <w:r>
              <w:rPr>
                <w:sz w:val="22"/>
                <w:szCs w:val="22"/>
              </w:rPr>
              <w:t xml:space="preserve">.  Pretest staff </w:t>
            </w:r>
            <w:r w:rsidR="0041078F" w:rsidRPr="0041078F">
              <w:rPr>
                <w:sz w:val="22"/>
                <w:szCs w:val="22"/>
              </w:rPr>
              <w:t xml:space="preserve">held positions such as chief administrative law judges or referees, appellate division directors, and general counsel. </w:t>
            </w:r>
            <w:r w:rsidR="00E3763F">
              <w:rPr>
                <w:sz w:val="22"/>
                <w:szCs w:val="22"/>
              </w:rPr>
              <w:t xml:space="preserve"> </w:t>
            </w:r>
            <w:r w:rsidR="0041078F" w:rsidRPr="0041078F">
              <w:rPr>
                <w:sz w:val="22"/>
                <w:szCs w:val="22"/>
              </w:rPr>
              <w:t>They had a broad understanding of the appeals system and processes in their states and intimate knowledge of procedures, processes, and staff roles.</w:t>
            </w:r>
            <w:r w:rsidR="0041078F">
              <w:rPr>
                <w:sz w:val="22"/>
                <w:szCs w:val="22"/>
              </w:rPr>
              <w:t xml:space="preserve"> </w:t>
            </w:r>
            <w:r w:rsidR="00E3763F">
              <w:rPr>
                <w:sz w:val="22"/>
                <w:szCs w:val="22"/>
              </w:rPr>
              <w:t xml:space="preserve"> </w:t>
            </w:r>
            <w:r w:rsidR="0041078F" w:rsidRPr="0041078F">
              <w:rPr>
                <w:sz w:val="22"/>
                <w:szCs w:val="22"/>
              </w:rPr>
              <w:t xml:space="preserve">Overall, the </w:t>
            </w:r>
            <w:r w:rsidR="0041078F">
              <w:rPr>
                <w:sz w:val="22"/>
                <w:szCs w:val="22"/>
              </w:rPr>
              <w:t xml:space="preserve">pretest of the </w:t>
            </w:r>
            <w:r w:rsidR="0041078F" w:rsidRPr="0041078F">
              <w:rPr>
                <w:sz w:val="22"/>
                <w:szCs w:val="22"/>
              </w:rPr>
              <w:t xml:space="preserve">survey worked well. </w:t>
            </w:r>
            <w:r w:rsidR="00E3763F">
              <w:rPr>
                <w:sz w:val="22"/>
                <w:szCs w:val="22"/>
              </w:rPr>
              <w:t xml:space="preserve"> </w:t>
            </w:r>
            <w:r w:rsidR="0041078F" w:rsidRPr="0041078F">
              <w:rPr>
                <w:sz w:val="22"/>
                <w:szCs w:val="22"/>
              </w:rPr>
              <w:t>Respondents reported knowing all or most of the answers themselves and knowing exactly who</w:t>
            </w:r>
            <w:r w:rsidR="00550A8E">
              <w:rPr>
                <w:sz w:val="22"/>
                <w:szCs w:val="22"/>
              </w:rPr>
              <w:t>m</w:t>
            </w:r>
            <w:r w:rsidR="0041078F" w:rsidRPr="0041078F">
              <w:rPr>
                <w:sz w:val="22"/>
                <w:szCs w:val="22"/>
              </w:rPr>
              <w:t xml:space="preserve"> to ask for an answer they did not. When asked if there were any terms or concepts that were unfamiliar to them, </w:t>
            </w:r>
            <w:r w:rsidR="00550A8E">
              <w:rPr>
                <w:sz w:val="22"/>
                <w:szCs w:val="22"/>
              </w:rPr>
              <w:t xml:space="preserve">they </w:t>
            </w:r>
            <w:r w:rsidR="0041078F" w:rsidRPr="0041078F">
              <w:rPr>
                <w:sz w:val="22"/>
                <w:szCs w:val="22"/>
              </w:rPr>
              <w:t>reported</w:t>
            </w:r>
            <w:r w:rsidR="00550A8E">
              <w:rPr>
                <w:sz w:val="22"/>
                <w:szCs w:val="22"/>
              </w:rPr>
              <w:t xml:space="preserve"> none</w:t>
            </w:r>
            <w:r w:rsidR="0041078F" w:rsidRPr="0041078F">
              <w:rPr>
                <w:sz w:val="22"/>
                <w:szCs w:val="22"/>
              </w:rPr>
              <w:t xml:space="preserve">. </w:t>
            </w:r>
            <w:r w:rsidR="0041078F">
              <w:rPr>
                <w:sz w:val="22"/>
                <w:szCs w:val="22"/>
              </w:rPr>
              <w:t xml:space="preserve"> </w:t>
            </w:r>
          </w:p>
          <w:p w:rsidR="00B06F80" w:rsidRDefault="00B06F80" w:rsidP="00043049">
            <w:pPr>
              <w:pStyle w:val="BodyText"/>
              <w:rPr>
                <w:sz w:val="22"/>
                <w:szCs w:val="22"/>
              </w:rPr>
            </w:pPr>
          </w:p>
          <w:p w:rsidR="00332499" w:rsidRPr="00332499" w:rsidRDefault="00332499" w:rsidP="00332499">
            <w:pPr>
              <w:pStyle w:val="BodyText"/>
              <w:rPr>
                <w:sz w:val="22"/>
                <w:szCs w:val="22"/>
              </w:rPr>
            </w:pPr>
            <w:r w:rsidRPr="00332499">
              <w:rPr>
                <w:sz w:val="22"/>
                <w:szCs w:val="22"/>
              </w:rPr>
              <w:t>Respondents reported instrument completion times ranging from just under 15 minutes to about 60 minutes. Some respondents reported spending a portion of that time waiting for another person to get back to them with an answer</w:t>
            </w:r>
          </w:p>
          <w:p w:rsidR="00332499" w:rsidRDefault="00332499" w:rsidP="00332499">
            <w:pPr>
              <w:pStyle w:val="BodyText"/>
              <w:rPr>
                <w:sz w:val="22"/>
                <w:szCs w:val="22"/>
              </w:rPr>
            </w:pPr>
            <w:r w:rsidRPr="00332499">
              <w:rPr>
                <w:sz w:val="22"/>
                <w:szCs w:val="22"/>
              </w:rPr>
              <w:t>If time spent waiting for information is excluded, the average completion time for the instrument is about 32 minutes; with time spent waiting, the average completion time is 36 minutes.</w:t>
            </w:r>
          </w:p>
          <w:p w:rsidR="00F1502B" w:rsidRDefault="00F1502B" w:rsidP="00B229A8">
            <w:pPr>
              <w:pStyle w:val="BodyText"/>
              <w:rPr>
                <w:sz w:val="22"/>
                <w:szCs w:val="22"/>
              </w:rPr>
            </w:pPr>
          </w:p>
          <w:p w:rsidR="005765BC" w:rsidRDefault="006C6570" w:rsidP="00B00014">
            <w:pPr>
              <w:pStyle w:val="BodyText"/>
              <w:rPr>
                <w:b/>
              </w:rPr>
            </w:pPr>
            <w:r w:rsidRPr="00E745BA">
              <w:rPr>
                <w:sz w:val="22"/>
                <w:szCs w:val="22"/>
              </w:rPr>
              <w:t>This data collection will not duplicate any information currently collected</w:t>
            </w:r>
            <w:r w:rsidR="00A444D6">
              <w:rPr>
                <w:sz w:val="22"/>
                <w:szCs w:val="22"/>
              </w:rPr>
              <w:t xml:space="preserve">.  </w:t>
            </w:r>
            <w:r w:rsidR="00621338">
              <w:rPr>
                <w:sz w:val="22"/>
                <w:szCs w:val="22"/>
              </w:rPr>
              <w:t>Information on individual state practices will be summarized and made available to federal and state specific staff.  State specific information will not be published beyond federal and state staff.  A summary report will be made available to all stat</w:t>
            </w:r>
            <w:r w:rsidR="005765BC">
              <w:rPr>
                <w:sz w:val="22"/>
                <w:szCs w:val="22"/>
              </w:rPr>
              <w:t>e</w:t>
            </w:r>
            <w:r w:rsidR="00621338">
              <w:rPr>
                <w:sz w:val="22"/>
                <w:szCs w:val="22"/>
              </w:rPr>
              <w:t xml:space="preserve"> and other interested parties.  </w:t>
            </w:r>
          </w:p>
        </w:tc>
      </w:tr>
    </w:tbl>
    <w:p w:rsidR="00B13EF0" w:rsidRDefault="00B13EF0" w:rsidP="00E520CE"/>
    <w:sectPr w:rsidR="00B13EF0" w:rsidSect="00E520CE">
      <w:footerReference w:type="even" r:id="rId9"/>
      <w:footerReference w:type="default" r:id="rId10"/>
      <w:pgSz w:w="12240" w:h="15840" w:code="1"/>
      <w:pgMar w:top="720" w:right="720" w:bottom="720" w:left="720" w:header="720" w:footer="720" w:gutter="0"/>
      <w:pgNumType w:start="0"/>
      <w:cols w:space="720"/>
      <w:titlePg/>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40A00" w:rsidRDefault="00D40A00">
      <w:r>
        <w:separator/>
      </w:r>
    </w:p>
  </w:endnote>
  <w:endnote w:type="continuationSeparator" w:id="0">
    <w:p w:rsidR="00D40A00" w:rsidRDefault="00D40A0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520CE" w:rsidRDefault="00E520CE">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5</w:t>
    </w:r>
    <w:r>
      <w:rPr>
        <w:rStyle w:val="PageNumber"/>
      </w:rPr>
      <w:fldChar w:fldCharType="end"/>
    </w:r>
  </w:p>
  <w:p w:rsidR="00E520CE" w:rsidRDefault="00E520CE">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520CE" w:rsidRDefault="00E520C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40A00" w:rsidRDefault="00D40A00">
      <w:r>
        <w:separator/>
      </w:r>
    </w:p>
  </w:footnote>
  <w:footnote w:type="continuationSeparator" w:id="0">
    <w:p w:rsidR="00D40A00" w:rsidRDefault="00D40A00">
      <w:r>
        <w:continuationSeparator/>
      </w:r>
    </w:p>
  </w:footnote>
  <w:footnote w:id="1">
    <w:p w:rsidR="00584C5E" w:rsidRDefault="00584C5E" w:rsidP="00584C5E">
      <w:pPr>
        <w:pStyle w:val="FootnoteText"/>
      </w:pPr>
      <w:r>
        <w:rPr>
          <w:rStyle w:val="FootnoteReference"/>
        </w:rPr>
        <w:footnoteRef/>
      </w:r>
      <w:r>
        <w:t xml:space="preserve"> This is the federal project cost for </w:t>
      </w:r>
      <w:r w:rsidR="00AF6AAD">
        <w:t>the survey and assessment phase of the CESER contract with Mathematica Inc.</w:t>
      </w:r>
    </w:p>
  </w:footnote>
  <w:footnote w:id="2">
    <w:p w:rsidR="00311E52" w:rsidRDefault="00311E52">
      <w:pPr>
        <w:pStyle w:val="FootnoteText"/>
      </w:pPr>
      <w:r>
        <w:rPr>
          <w:rStyle w:val="FootnoteReference"/>
        </w:rPr>
        <w:footnoteRef/>
      </w:r>
      <w:r>
        <w:t xml:space="preserve"> Includes: Puerto Rico, District of Columbia, and the Virgin Islands.</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4604F4"/>
    <w:multiLevelType w:val="singleLevel"/>
    <w:tmpl w:val="4790BC0E"/>
    <w:lvl w:ilvl="0">
      <w:start w:val="1"/>
      <w:numFmt w:val="upperLetter"/>
      <w:pStyle w:val="Heading2"/>
      <w:lvlText w:val="%1."/>
      <w:lvlJc w:val="left"/>
      <w:pPr>
        <w:tabs>
          <w:tab w:val="num" w:pos="360"/>
        </w:tabs>
        <w:ind w:left="360" w:hanging="360"/>
      </w:pPr>
      <w:rPr>
        <w:rFonts w:hint="default"/>
      </w:rPr>
    </w:lvl>
  </w:abstractNum>
  <w:abstractNum w:abstractNumId="1">
    <w:nsid w:val="35F47E9F"/>
    <w:multiLevelType w:val="hybridMultilevel"/>
    <w:tmpl w:val="40FA3DBC"/>
    <w:lvl w:ilvl="0" w:tplc="04090015">
      <w:start w:val="2"/>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50C43DF3"/>
    <w:multiLevelType w:val="hybridMultilevel"/>
    <w:tmpl w:val="A0486E78"/>
    <w:lvl w:ilvl="0" w:tplc="4A423D62">
      <w:start w:val="1"/>
      <w:numFmt w:val="decimal"/>
      <w:lvlText w:val="%1."/>
      <w:lvlJc w:val="left"/>
      <w:pPr>
        <w:ind w:left="780" w:hanging="360"/>
      </w:pPr>
      <w:rPr>
        <w:rFonts w:hint="default"/>
        <w:sz w:val="20"/>
      </w:r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3">
    <w:nsid w:val="56C224E0"/>
    <w:multiLevelType w:val="hybridMultilevel"/>
    <w:tmpl w:val="C728C80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7FCF753D"/>
    <w:multiLevelType w:val="hybridMultilevel"/>
    <w:tmpl w:val="A1E6A41C"/>
    <w:lvl w:ilvl="0" w:tplc="31A62D50">
      <w:start w:val="1"/>
      <w:numFmt w:val="bullet"/>
      <w:pStyle w:val="Bullet2"/>
      <w:lvlText w:val=""/>
      <w:lvlJc w:val="left"/>
      <w:pPr>
        <w:tabs>
          <w:tab w:val="num" w:pos="720"/>
        </w:tabs>
        <w:ind w:left="720" w:hanging="360"/>
      </w:pPr>
      <w:rPr>
        <w:rFonts w:ascii="Symbol" w:hAnsi="Symbol" w:hint="default"/>
        <w:color w:val="0000AC"/>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0"/>
  </w:num>
  <w:num w:numId="2">
    <w:abstractNumId w:val="1"/>
  </w:num>
  <w:num w:numId="3">
    <w:abstractNumId w:val="3"/>
  </w:num>
  <w:num w:numId="4">
    <w:abstractNumId w:val="4"/>
  </w:num>
  <w:num w:numId="5">
    <w:abstractNumId w:val="2"/>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C6B3F"/>
    <w:rsid w:val="00015EA3"/>
    <w:rsid w:val="00043049"/>
    <w:rsid w:val="00047E41"/>
    <w:rsid w:val="00065A35"/>
    <w:rsid w:val="000E4D0F"/>
    <w:rsid w:val="000F5E1D"/>
    <w:rsid w:val="0014357E"/>
    <w:rsid w:val="001437CB"/>
    <w:rsid w:val="00221D04"/>
    <w:rsid w:val="00225338"/>
    <w:rsid w:val="0022766C"/>
    <w:rsid w:val="00230F9C"/>
    <w:rsid w:val="00267093"/>
    <w:rsid w:val="002832FA"/>
    <w:rsid w:val="002D5856"/>
    <w:rsid w:val="00311E52"/>
    <w:rsid w:val="003213A1"/>
    <w:rsid w:val="00332499"/>
    <w:rsid w:val="0033793B"/>
    <w:rsid w:val="003602F6"/>
    <w:rsid w:val="003C1E17"/>
    <w:rsid w:val="003C1E8B"/>
    <w:rsid w:val="003C787F"/>
    <w:rsid w:val="003D4863"/>
    <w:rsid w:val="0040000A"/>
    <w:rsid w:val="00401177"/>
    <w:rsid w:val="0041078F"/>
    <w:rsid w:val="0045342D"/>
    <w:rsid w:val="00457385"/>
    <w:rsid w:val="00481F19"/>
    <w:rsid w:val="00485986"/>
    <w:rsid w:val="00487907"/>
    <w:rsid w:val="00491DFC"/>
    <w:rsid w:val="004E042E"/>
    <w:rsid w:val="004F120C"/>
    <w:rsid w:val="00532587"/>
    <w:rsid w:val="00550A8E"/>
    <w:rsid w:val="00562C6D"/>
    <w:rsid w:val="005765BC"/>
    <w:rsid w:val="00584C5E"/>
    <w:rsid w:val="005C3C2D"/>
    <w:rsid w:val="00621338"/>
    <w:rsid w:val="006863B5"/>
    <w:rsid w:val="006C6570"/>
    <w:rsid w:val="006D0EE2"/>
    <w:rsid w:val="006D541A"/>
    <w:rsid w:val="007767E2"/>
    <w:rsid w:val="007A46DB"/>
    <w:rsid w:val="00803B8B"/>
    <w:rsid w:val="00825A88"/>
    <w:rsid w:val="00872C99"/>
    <w:rsid w:val="008857DD"/>
    <w:rsid w:val="008A7DEB"/>
    <w:rsid w:val="008C6B3F"/>
    <w:rsid w:val="00915228"/>
    <w:rsid w:val="00920026"/>
    <w:rsid w:val="00925F97"/>
    <w:rsid w:val="0094214B"/>
    <w:rsid w:val="009716C1"/>
    <w:rsid w:val="00982C8B"/>
    <w:rsid w:val="009830FD"/>
    <w:rsid w:val="009A62D4"/>
    <w:rsid w:val="00A444D6"/>
    <w:rsid w:val="00AA5DA9"/>
    <w:rsid w:val="00AB437F"/>
    <w:rsid w:val="00AC7744"/>
    <w:rsid w:val="00AE36D3"/>
    <w:rsid w:val="00AF6AAD"/>
    <w:rsid w:val="00B00014"/>
    <w:rsid w:val="00B06F80"/>
    <w:rsid w:val="00B10088"/>
    <w:rsid w:val="00B13EF0"/>
    <w:rsid w:val="00B229A8"/>
    <w:rsid w:val="00B30BDC"/>
    <w:rsid w:val="00C13502"/>
    <w:rsid w:val="00CC4B64"/>
    <w:rsid w:val="00CC7846"/>
    <w:rsid w:val="00D11667"/>
    <w:rsid w:val="00D40A00"/>
    <w:rsid w:val="00D575B1"/>
    <w:rsid w:val="00D94AB3"/>
    <w:rsid w:val="00DA4269"/>
    <w:rsid w:val="00DC22C3"/>
    <w:rsid w:val="00E10BB3"/>
    <w:rsid w:val="00E14EA2"/>
    <w:rsid w:val="00E20483"/>
    <w:rsid w:val="00E3763F"/>
    <w:rsid w:val="00E520CE"/>
    <w:rsid w:val="00E745BA"/>
    <w:rsid w:val="00E852C7"/>
    <w:rsid w:val="00F02C67"/>
    <w:rsid w:val="00F1502B"/>
    <w:rsid w:val="00F92B42"/>
    <w:rsid w:val="00FB33E0"/>
    <w:rsid w:val="00FB6695"/>
    <w:rsid w:val="00FF6C6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qFormat/>
    <w:pPr>
      <w:keepNext/>
      <w:outlineLvl w:val="0"/>
    </w:pPr>
    <w:rPr>
      <w:b/>
    </w:rPr>
  </w:style>
  <w:style w:type="paragraph" w:styleId="Heading2">
    <w:name w:val="heading 2"/>
    <w:basedOn w:val="Normal"/>
    <w:next w:val="Normal"/>
    <w:qFormat/>
    <w:pPr>
      <w:keepNext/>
      <w:numPr>
        <w:numId w:val="1"/>
      </w:numPr>
      <w:outlineLvl w:val="1"/>
    </w:pPr>
    <w:rPr>
      <w:b/>
      <w:sz w:val="28"/>
    </w:rPr>
  </w:style>
  <w:style w:type="paragraph" w:styleId="Heading3">
    <w:name w:val="heading 3"/>
    <w:basedOn w:val="Normal"/>
    <w:next w:val="Normal"/>
    <w:qFormat/>
    <w:pPr>
      <w:keepNext/>
      <w:outlineLvl w:val="2"/>
    </w:pPr>
    <w:rPr>
      <w:sz w:val="32"/>
    </w:rPr>
  </w:style>
  <w:style w:type="paragraph" w:styleId="Heading4">
    <w:name w:val="heading 4"/>
    <w:basedOn w:val="Normal"/>
    <w:next w:val="Normal"/>
    <w:qFormat/>
    <w:pPr>
      <w:keepNext/>
      <w:outlineLvl w:val="3"/>
    </w:pPr>
    <w:rPr>
      <w:b/>
      <w:sz w:val="24"/>
    </w:rPr>
  </w:style>
  <w:style w:type="paragraph" w:styleId="Heading5">
    <w:name w:val="heading 5"/>
    <w:basedOn w:val="Normal"/>
    <w:next w:val="Normal"/>
    <w:qFormat/>
    <w:pPr>
      <w:keepNext/>
      <w:ind w:left="720"/>
      <w:outlineLvl w:val="4"/>
    </w:pPr>
    <w:rPr>
      <w:sz w:val="24"/>
    </w:rPr>
  </w:style>
  <w:style w:type="paragraph" w:styleId="Heading6">
    <w:name w:val="heading 6"/>
    <w:basedOn w:val="Normal"/>
    <w:next w:val="Normal"/>
    <w:qFormat/>
    <w:pPr>
      <w:keepNext/>
      <w:ind w:left="360"/>
      <w:jc w:val="right"/>
      <w:outlineLvl w:val="5"/>
    </w:pPr>
    <w:rPr>
      <w:sz w:val="24"/>
    </w:rPr>
  </w:style>
  <w:style w:type="paragraph" w:styleId="Heading7">
    <w:name w:val="heading 7"/>
    <w:basedOn w:val="Normal"/>
    <w:next w:val="Normal"/>
    <w:qFormat/>
    <w:pPr>
      <w:keepNext/>
      <w:outlineLvl w:val="6"/>
    </w:pPr>
    <w:rPr>
      <w:sz w:val="24"/>
    </w:rPr>
  </w:style>
  <w:style w:type="paragraph" w:styleId="Heading8">
    <w:name w:val="heading 8"/>
    <w:basedOn w:val="Normal"/>
    <w:next w:val="Normal"/>
    <w:qFormat/>
    <w:pPr>
      <w:keepNext/>
      <w:jc w:val="right"/>
      <w:outlineLvl w:val="7"/>
    </w:pPr>
    <w:rPr>
      <w:sz w:val="24"/>
    </w:rPr>
  </w:style>
  <w:style w:type="paragraph" w:styleId="Heading9">
    <w:name w:val="heading 9"/>
    <w:basedOn w:val="Normal"/>
    <w:next w:val="Normal"/>
    <w:qFormat/>
    <w:pPr>
      <w:keepNext/>
      <w:jc w:val="center"/>
      <w:outlineLvl w:val="8"/>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Header">
    <w:name w:val="header"/>
    <w:basedOn w:val="Normal"/>
    <w:pPr>
      <w:tabs>
        <w:tab w:val="center" w:pos="4320"/>
        <w:tab w:val="right" w:pos="8640"/>
      </w:tabs>
    </w:pPr>
  </w:style>
  <w:style w:type="paragraph" w:styleId="BodyText">
    <w:name w:val="Body Text"/>
    <w:basedOn w:val="Normal"/>
    <w:link w:val="BodyTextChar"/>
    <w:uiPriority w:val="99"/>
    <w:rPr>
      <w:sz w:val="24"/>
    </w:rPr>
  </w:style>
  <w:style w:type="paragraph" w:styleId="BodyText2">
    <w:name w:val="Body Text 2"/>
    <w:basedOn w:val="Normal"/>
    <w:rPr>
      <w:b/>
      <w:sz w:val="24"/>
    </w:rPr>
  </w:style>
  <w:style w:type="paragraph" w:styleId="BodyText3">
    <w:name w:val="Body Text 3"/>
    <w:basedOn w:val="Normal"/>
    <w:rPr>
      <w:sz w:val="32"/>
    </w:rPr>
  </w:style>
  <w:style w:type="paragraph" w:styleId="FootnoteText">
    <w:name w:val="footnote text"/>
    <w:basedOn w:val="Normal"/>
    <w:link w:val="FootnoteTextChar"/>
    <w:uiPriority w:val="99"/>
  </w:style>
  <w:style w:type="character" w:styleId="FootnoteReference">
    <w:name w:val="footnote reference"/>
    <w:basedOn w:val="DefaultParagraphFont"/>
    <w:uiPriority w:val="99"/>
    <w:rPr>
      <w:vertAlign w:val="superscript"/>
    </w:rPr>
  </w:style>
  <w:style w:type="paragraph" w:customStyle="1" w:styleId="Style0">
    <w:name w:val="Style0"/>
    <w:pPr>
      <w:autoSpaceDE w:val="0"/>
      <w:autoSpaceDN w:val="0"/>
      <w:adjustRightInd w:val="0"/>
    </w:pPr>
    <w:rPr>
      <w:rFonts w:ascii="Arial" w:hAnsi="Arial"/>
      <w:sz w:val="24"/>
      <w:szCs w:val="24"/>
    </w:rPr>
  </w:style>
  <w:style w:type="character" w:styleId="Hyperlink">
    <w:name w:val="Hyperlink"/>
    <w:basedOn w:val="DefaultParagraphFont"/>
    <w:rPr>
      <w:color w:val="0000FF"/>
      <w:u w:val="single"/>
    </w:rPr>
  </w:style>
  <w:style w:type="character" w:customStyle="1" w:styleId="BodyTextChar">
    <w:name w:val="Body Text Char"/>
    <w:basedOn w:val="DefaultParagraphFont"/>
    <w:link w:val="BodyText"/>
    <w:uiPriority w:val="99"/>
    <w:locked/>
    <w:rsid w:val="0045342D"/>
    <w:rPr>
      <w:sz w:val="24"/>
    </w:rPr>
  </w:style>
  <w:style w:type="character" w:styleId="CommentReference">
    <w:name w:val="annotation reference"/>
    <w:semiHidden/>
    <w:rsid w:val="000F5E1D"/>
    <w:rPr>
      <w:sz w:val="16"/>
    </w:rPr>
  </w:style>
  <w:style w:type="paragraph" w:styleId="CommentText">
    <w:name w:val="annotation text"/>
    <w:basedOn w:val="Normal"/>
    <w:link w:val="CommentTextChar"/>
    <w:uiPriority w:val="99"/>
    <w:semiHidden/>
    <w:unhideWhenUsed/>
    <w:rsid w:val="00065A35"/>
  </w:style>
  <w:style w:type="character" w:customStyle="1" w:styleId="CommentTextChar">
    <w:name w:val="Comment Text Char"/>
    <w:basedOn w:val="DefaultParagraphFont"/>
    <w:link w:val="CommentText"/>
    <w:uiPriority w:val="99"/>
    <w:semiHidden/>
    <w:rsid w:val="00065A35"/>
  </w:style>
  <w:style w:type="paragraph" w:styleId="CommentSubject">
    <w:name w:val="annotation subject"/>
    <w:basedOn w:val="CommentText"/>
    <w:next w:val="CommentText"/>
    <w:link w:val="CommentSubjectChar"/>
    <w:uiPriority w:val="99"/>
    <w:semiHidden/>
    <w:unhideWhenUsed/>
    <w:rsid w:val="00065A35"/>
    <w:rPr>
      <w:b/>
      <w:bCs/>
    </w:rPr>
  </w:style>
  <w:style w:type="character" w:customStyle="1" w:styleId="CommentSubjectChar">
    <w:name w:val="Comment Subject Char"/>
    <w:basedOn w:val="CommentTextChar"/>
    <w:link w:val="CommentSubject"/>
    <w:uiPriority w:val="99"/>
    <w:semiHidden/>
    <w:rsid w:val="00065A35"/>
    <w:rPr>
      <w:b/>
      <w:bCs/>
    </w:rPr>
  </w:style>
  <w:style w:type="paragraph" w:styleId="BalloonText">
    <w:name w:val="Balloon Text"/>
    <w:basedOn w:val="Normal"/>
    <w:link w:val="BalloonTextChar"/>
    <w:uiPriority w:val="99"/>
    <w:semiHidden/>
    <w:unhideWhenUsed/>
    <w:rsid w:val="00065A35"/>
    <w:rPr>
      <w:rFonts w:ascii="Tahoma" w:hAnsi="Tahoma" w:cs="Tahoma"/>
      <w:sz w:val="16"/>
      <w:szCs w:val="16"/>
    </w:rPr>
  </w:style>
  <w:style w:type="character" w:customStyle="1" w:styleId="BalloonTextChar">
    <w:name w:val="Balloon Text Char"/>
    <w:basedOn w:val="DefaultParagraphFont"/>
    <w:link w:val="BalloonText"/>
    <w:uiPriority w:val="99"/>
    <w:semiHidden/>
    <w:rsid w:val="00065A35"/>
    <w:rPr>
      <w:rFonts w:ascii="Tahoma" w:hAnsi="Tahoma" w:cs="Tahoma"/>
      <w:sz w:val="16"/>
      <w:szCs w:val="16"/>
    </w:rPr>
  </w:style>
  <w:style w:type="paragraph" w:customStyle="1" w:styleId="Bullet2">
    <w:name w:val="Bullet2"/>
    <w:basedOn w:val="Normal"/>
    <w:rsid w:val="006C6570"/>
    <w:pPr>
      <w:numPr>
        <w:numId w:val="4"/>
      </w:numPr>
      <w:spacing w:after="120" w:line="264" w:lineRule="auto"/>
    </w:pPr>
    <w:rPr>
      <w:sz w:val="22"/>
    </w:rPr>
  </w:style>
  <w:style w:type="character" w:customStyle="1" w:styleId="FootnoteTextChar">
    <w:name w:val="Footnote Text Char"/>
    <w:basedOn w:val="DefaultParagraphFont"/>
    <w:link w:val="FootnoteText"/>
    <w:uiPriority w:val="99"/>
    <w:rsid w:val="005C3C2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qFormat/>
    <w:pPr>
      <w:keepNext/>
      <w:outlineLvl w:val="0"/>
    </w:pPr>
    <w:rPr>
      <w:b/>
    </w:rPr>
  </w:style>
  <w:style w:type="paragraph" w:styleId="Heading2">
    <w:name w:val="heading 2"/>
    <w:basedOn w:val="Normal"/>
    <w:next w:val="Normal"/>
    <w:qFormat/>
    <w:pPr>
      <w:keepNext/>
      <w:numPr>
        <w:numId w:val="1"/>
      </w:numPr>
      <w:outlineLvl w:val="1"/>
    </w:pPr>
    <w:rPr>
      <w:b/>
      <w:sz w:val="28"/>
    </w:rPr>
  </w:style>
  <w:style w:type="paragraph" w:styleId="Heading3">
    <w:name w:val="heading 3"/>
    <w:basedOn w:val="Normal"/>
    <w:next w:val="Normal"/>
    <w:qFormat/>
    <w:pPr>
      <w:keepNext/>
      <w:outlineLvl w:val="2"/>
    </w:pPr>
    <w:rPr>
      <w:sz w:val="32"/>
    </w:rPr>
  </w:style>
  <w:style w:type="paragraph" w:styleId="Heading4">
    <w:name w:val="heading 4"/>
    <w:basedOn w:val="Normal"/>
    <w:next w:val="Normal"/>
    <w:qFormat/>
    <w:pPr>
      <w:keepNext/>
      <w:outlineLvl w:val="3"/>
    </w:pPr>
    <w:rPr>
      <w:b/>
      <w:sz w:val="24"/>
    </w:rPr>
  </w:style>
  <w:style w:type="paragraph" w:styleId="Heading5">
    <w:name w:val="heading 5"/>
    <w:basedOn w:val="Normal"/>
    <w:next w:val="Normal"/>
    <w:qFormat/>
    <w:pPr>
      <w:keepNext/>
      <w:ind w:left="720"/>
      <w:outlineLvl w:val="4"/>
    </w:pPr>
    <w:rPr>
      <w:sz w:val="24"/>
    </w:rPr>
  </w:style>
  <w:style w:type="paragraph" w:styleId="Heading6">
    <w:name w:val="heading 6"/>
    <w:basedOn w:val="Normal"/>
    <w:next w:val="Normal"/>
    <w:qFormat/>
    <w:pPr>
      <w:keepNext/>
      <w:ind w:left="360"/>
      <w:jc w:val="right"/>
      <w:outlineLvl w:val="5"/>
    </w:pPr>
    <w:rPr>
      <w:sz w:val="24"/>
    </w:rPr>
  </w:style>
  <w:style w:type="paragraph" w:styleId="Heading7">
    <w:name w:val="heading 7"/>
    <w:basedOn w:val="Normal"/>
    <w:next w:val="Normal"/>
    <w:qFormat/>
    <w:pPr>
      <w:keepNext/>
      <w:outlineLvl w:val="6"/>
    </w:pPr>
    <w:rPr>
      <w:sz w:val="24"/>
    </w:rPr>
  </w:style>
  <w:style w:type="paragraph" w:styleId="Heading8">
    <w:name w:val="heading 8"/>
    <w:basedOn w:val="Normal"/>
    <w:next w:val="Normal"/>
    <w:qFormat/>
    <w:pPr>
      <w:keepNext/>
      <w:jc w:val="right"/>
      <w:outlineLvl w:val="7"/>
    </w:pPr>
    <w:rPr>
      <w:sz w:val="24"/>
    </w:rPr>
  </w:style>
  <w:style w:type="paragraph" w:styleId="Heading9">
    <w:name w:val="heading 9"/>
    <w:basedOn w:val="Normal"/>
    <w:next w:val="Normal"/>
    <w:qFormat/>
    <w:pPr>
      <w:keepNext/>
      <w:jc w:val="center"/>
      <w:outlineLvl w:val="8"/>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Header">
    <w:name w:val="header"/>
    <w:basedOn w:val="Normal"/>
    <w:pPr>
      <w:tabs>
        <w:tab w:val="center" w:pos="4320"/>
        <w:tab w:val="right" w:pos="8640"/>
      </w:tabs>
    </w:pPr>
  </w:style>
  <w:style w:type="paragraph" w:styleId="BodyText">
    <w:name w:val="Body Text"/>
    <w:basedOn w:val="Normal"/>
    <w:link w:val="BodyTextChar"/>
    <w:uiPriority w:val="99"/>
    <w:rPr>
      <w:sz w:val="24"/>
    </w:rPr>
  </w:style>
  <w:style w:type="paragraph" w:styleId="BodyText2">
    <w:name w:val="Body Text 2"/>
    <w:basedOn w:val="Normal"/>
    <w:rPr>
      <w:b/>
      <w:sz w:val="24"/>
    </w:rPr>
  </w:style>
  <w:style w:type="paragraph" w:styleId="BodyText3">
    <w:name w:val="Body Text 3"/>
    <w:basedOn w:val="Normal"/>
    <w:rPr>
      <w:sz w:val="32"/>
    </w:rPr>
  </w:style>
  <w:style w:type="paragraph" w:styleId="FootnoteText">
    <w:name w:val="footnote text"/>
    <w:basedOn w:val="Normal"/>
    <w:link w:val="FootnoteTextChar"/>
    <w:uiPriority w:val="99"/>
  </w:style>
  <w:style w:type="character" w:styleId="FootnoteReference">
    <w:name w:val="footnote reference"/>
    <w:basedOn w:val="DefaultParagraphFont"/>
    <w:uiPriority w:val="99"/>
    <w:rPr>
      <w:vertAlign w:val="superscript"/>
    </w:rPr>
  </w:style>
  <w:style w:type="paragraph" w:customStyle="1" w:styleId="Style0">
    <w:name w:val="Style0"/>
    <w:pPr>
      <w:autoSpaceDE w:val="0"/>
      <w:autoSpaceDN w:val="0"/>
      <w:adjustRightInd w:val="0"/>
    </w:pPr>
    <w:rPr>
      <w:rFonts w:ascii="Arial" w:hAnsi="Arial"/>
      <w:sz w:val="24"/>
      <w:szCs w:val="24"/>
    </w:rPr>
  </w:style>
  <w:style w:type="character" w:styleId="Hyperlink">
    <w:name w:val="Hyperlink"/>
    <w:basedOn w:val="DefaultParagraphFont"/>
    <w:rPr>
      <w:color w:val="0000FF"/>
      <w:u w:val="single"/>
    </w:rPr>
  </w:style>
  <w:style w:type="character" w:customStyle="1" w:styleId="BodyTextChar">
    <w:name w:val="Body Text Char"/>
    <w:basedOn w:val="DefaultParagraphFont"/>
    <w:link w:val="BodyText"/>
    <w:uiPriority w:val="99"/>
    <w:locked/>
    <w:rsid w:val="0045342D"/>
    <w:rPr>
      <w:sz w:val="24"/>
    </w:rPr>
  </w:style>
  <w:style w:type="character" w:styleId="CommentReference">
    <w:name w:val="annotation reference"/>
    <w:semiHidden/>
    <w:rsid w:val="000F5E1D"/>
    <w:rPr>
      <w:sz w:val="16"/>
    </w:rPr>
  </w:style>
  <w:style w:type="paragraph" w:styleId="CommentText">
    <w:name w:val="annotation text"/>
    <w:basedOn w:val="Normal"/>
    <w:link w:val="CommentTextChar"/>
    <w:uiPriority w:val="99"/>
    <w:semiHidden/>
    <w:unhideWhenUsed/>
    <w:rsid w:val="00065A35"/>
  </w:style>
  <w:style w:type="character" w:customStyle="1" w:styleId="CommentTextChar">
    <w:name w:val="Comment Text Char"/>
    <w:basedOn w:val="DefaultParagraphFont"/>
    <w:link w:val="CommentText"/>
    <w:uiPriority w:val="99"/>
    <w:semiHidden/>
    <w:rsid w:val="00065A35"/>
  </w:style>
  <w:style w:type="paragraph" w:styleId="CommentSubject">
    <w:name w:val="annotation subject"/>
    <w:basedOn w:val="CommentText"/>
    <w:next w:val="CommentText"/>
    <w:link w:val="CommentSubjectChar"/>
    <w:uiPriority w:val="99"/>
    <w:semiHidden/>
    <w:unhideWhenUsed/>
    <w:rsid w:val="00065A35"/>
    <w:rPr>
      <w:b/>
      <w:bCs/>
    </w:rPr>
  </w:style>
  <w:style w:type="character" w:customStyle="1" w:styleId="CommentSubjectChar">
    <w:name w:val="Comment Subject Char"/>
    <w:basedOn w:val="CommentTextChar"/>
    <w:link w:val="CommentSubject"/>
    <w:uiPriority w:val="99"/>
    <w:semiHidden/>
    <w:rsid w:val="00065A35"/>
    <w:rPr>
      <w:b/>
      <w:bCs/>
    </w:rPr>
  </w:style>
  <w:style w:type="paragraph" w:styleId="BalloonText">
    <w:name w:val="Balloon Text"/>
    <w:basedOn w:val="Normal"/>
    <w:link w:val="BalloonTextChar"/>
    <w:uiPriority w:val="99"/>
    <w:semiHidden/>
    <w:unhideWhenUsed/>
    <w:rsid w:val="00065A35"/>
    <w:rPr>
      <w:rFonts w:ascii="Tahoma" w:hAnsi="Tahoma" w:cs="Tahoma"/>
      <w:sz w:val="16"/>
      <w:szCs w:val="16"/>
    </w:rPr>
  </w:style>
  <w:style w:type="character" w:customStyle="1" w:styleId="BalloonTextChar">
    <w:name w:val="Balloon Text Char"/>
    <w:basedOn w:val="DefaultParagraphFont"/>
    <w:link w:val="BalloonText"/>
    <w:uiPriority w:val="99"/>
    <w:semiHidden/>
    <w:rsid w:val="00065A35"/>
    <w:rPr>
      <w:rFonts w:ascii="Tahoma" w:hAnsi="Tahoma" w:cs="Tahoma"/>
      <w:sz w:val="16"/>
      <w:szCs w:val="16"/>
    </w:rPr>
  </w:style>
  <w:style w:type="paragraph" w:customStyle="1" w:styleId="Bullet2">
    <w:name w:val="Bullet2"/>
    <w:basedOn w:val="Normal"/>
    <w:rsid w:val="006C6570"/>
    <w:pPr>
      <w:numPr>
        <w:numId w:val="4"/>
      </w:numPr>
      <w:spacing w:after="120" w:line="264" w:lineRule="auto"/>
    </w:pPr>
    <w:rPr>
      <w:sz w:val="22"/>
    </w:rPr>
  </w:style>
  <w:style w:type="character" w:customStyle="1" w:styleId="FootnoteTextChar">
    <w:name w:val="Footnote Text Char"/>
    <w:basedOn w:val="DefaultParagraphFont"/>
    <w:link w:val="FootnoteText"/>
    <w:uiPriority w:val="99"/>
    <w:rsid w:val="005C3C2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15464296">
      <w:bodyDiv w:val="1"/>
      <w:marLeft w:val="0"/>
      <w:marRight w:val="0"/>
      <w:marTop w:val="0"/>
      <w:marBottom w:val="0"/>
      <w:divBdr>
        <w:top w:val="none" w:sz="0" w:space="0" w:color="auto"/>
        <w:left w:val="none" w:sz="0" w:space="0" w:color="auto"/>
        <w:bottom w:val="none" w:sz="0" w:space="0" w:color="auto"/>
        <w:right w:val="none" w:sz="0" w:space="0" w:color="auto"/>
      </w:divBdr>
    </w:div>
    <w:div w:id="1486051736">
      <w:bodyDiv w:val="1"/>
      <w:marLeft w:val="0"/>
      <w:marRight w:val="0"/>
      <w:marTop w:val="0"/>
      <w:marBottom w:val="0"/>
      <w:divBdr>
        <w:top w:val="none" w:sz="0" w:space="0" w:color="auto"/>
        <w:left w:val="none" w:sz="0" w:space="0" w:color="auto"/>
        <w:bottom w:val="none" w:sz="0" w:space="0" w:color="auto"/>
        <w:right w:val="none" w:sz="0" w:space="0" w:color="auto"/>
      </w:divBdr>
    </w:div>
    <w:div w:id="16752979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44ADF3E-6CC9-4658-BB0A-0AC95542E3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1202</Words>
  <Characters>6856</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SUPPORTING STATEMENT FOR</vt:lpstr>
    </vt:vector>
  </TitlesOfParts>
  <Company>usdol</Company>
  <LinksUpToDate>false</LinksUpToDate>
  <CharactersWithSpaces>8042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FOR</dc:title>
  <dc:creator>kurz-karin</dc:creator>
  <cp:lastModifiedBy>Naradzay.Bonnie</cp:lastModifiedBy>
  <cp:revision>2</cp:revision>
  <cp:lastPrinted>2013-07-25T15:14:00Z</cp:lastPrinted>
  <dcterms:created xsi:type="dcterms:W3CDTF">2013-08-07T20:02:00Z</dcterms:created>
  <dcterms:modified xsi:type="dcterms:W3CDTF">2013-08-07T20:02:00Z</dcterms:modified>
</cp:coreProperties>
</file>