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29" w:rsidRDefault="00DF6D29" w:rsidP="00DF6D29">
      <w:pPr>
        <w:jc w:val="center"/>
        <w:rPr>
          <w:sz w:val="32"/>
        </w:rPr>
      </w:pPr>
      <w:r>
        <w:rPr>
          <w:sz w:val="32"/>
        </w:rPr>
        <w:t>Supporting Statement B for</w:t>
      </w:r>
    </w:p>
    <w:p w:rsidR="00DF6D29" w:rsidRDefault="00012007" w:rsidP="00423D57">
      <w:pPr>
        <w:jc w:val="center"/>
        <w:rPr>
          <w:sz w:val="32"/>
        </w:rPr>
      </w:pPr>
      <w:r>
        <w:rPr>
          <w:sz w:val="32"/>
        </w:rPr>
        <w:t>Web-</w:t>
      </w:r>
      <w:r w:rsidR="00DF6D29">
        <w:rPr>
          <w:sz w:val="32"/>
        </w:rPr>
        <w:t>Based T</w:t>
      </w:r>
      <w:r w:rsidR="00423D57">
        <w:rPr>
          <w:sz w:val="32"/>
        </w:rPr>
        <w:t xml:space="preserve">raining </w:t>
      </w:r>
      <w:r w:rsidR="00DF6D29">
        <w:rPr>
          <w:sz w:val="32"/>
        </w:rPr>
        <w:t>for Pain Management Providers (NIDA)</w:t>
      </w:r>
    </w:p>
    <w:p w:rsidR="00DF6D29" w:rsidRDefault="001C4947" w:rsidP="00DF6D29">
      <w:pPr>
        <w:jc w:val="center"/>
        <w:rPr>
          <w:sz w:val="32"/>
        </w:rPr>
      </w:pPr>
      <w:r>
        <w:rPr>
          <w:sz w:val="32"/>
        </w:rPr>
        <w:t>April 12</w:t>
      </w:r>
      <w:r w:rsidR="00423D57">
        <w:rPr>
          <w:sz w:val="32"/>
        </w:rPr>
        <w:t>, 2010</w:t>
      </w:r>
    </w:p>
    <w:p w:rsidR="00DF6D29" w:rsidRDefault="00DF6D29" w:rsidP="00DF6D29">
      <w:pPr>
        <w:rPr>
          <w:sz w:val="32"/>
        </w:rPr>
      </w:pPr>
    </w:p>
    <w:p w:rsidR="00DF6D29" w:rsidRDefault="00DF6D29" w:rsidP="00DF6D29"/>
    <w:p w:rsidR="00DF6D29" w:rsidRDefault="00DF6D29" w:rsidP="00DF6D29">
      <w:pPr>
        <w:spacing w:line="200" w:lineRule="atLeast"/>
        <w:rPr>
          <w:sz w:val="32"/>
        </w:rPr>
      </w:pPr>
      <w:r>
        <w:rPr>
          <w:sz w:val="32"/>
        </w:rPr>
        <w:t>Clinical Tools, Inc., with funding from the National Institute on Drug Abuse (NIDA)</w:t>
      </w:r>
    </w:p>
    <w:p w:rsidR="00DF6D29" w:rsidRDefault="00DF6D29" w:rsidP="00DF6D29">
      <w:pPr>
        <w:spacing w:line="200" w:lineRule="atLeast"/>
        <w:rPr>
          <w:sz w:val="32"/>
        </w:rPr>
      </w:pPr>
      <w:proofErr w:type="spellStart"/>
      <w:r>
        <w:rPr>
          <w:sz w:val="32"/>
        </w:rPr>
        <w:t>Quandra</w:t>
      </w:r>
      <w:proofErr w:type="spellEnd"/>
      <w:r>
        <w:rPr>
          <w:sz w:val="32"/>
        </w:rPr>
        <w:t xml:space="preserve"> Scudder</w:t>
      </w:r>
    </w:p>
    <w:p w:rsidR="00DF6D29" w:rsidRDefault="00DF6D29" w:rsidP="00DF6D29">
      <w:pPr>
        <w:spacing w:line="200" w:lineRule="atLeast"/>
        <w:rPr>
          <w:sz w:val="32"/>
        </w:rPr>
      </w:pPr>
      <w:r>
        <w:rPr>
          <w:sz w:val="32"/>
        </w:rPr>
        <w:t xml:space="preserve">6001 Executive Boulevard </w:t>
      </w:r>
      <w:r>
        <w:rPr>
          <w:sz w:val="32"/>
        </w:rPr>
        <w:br/>
        <w:t xml:space="preserve">Suite 5230 </w:t>
      </w:r>
      <w:r>
        <w:rPr>
          <w:sz w:val="32"/>
        </w:rPr>
        <w:br/>
        <w:t xml:space="preserve">Bethesda, MD 20892 </w:t>
      </w:r>
    </w:p>
    <w:p w:rsidR="00DF6D29" w:rsidRDefault="00DF6D29" w:rsidP="00DF6D29">
      <w:pPr>
        <w:spacing w:line="200" w:lineRule="atLeast"/>
        <w:rPr>
          <w:sz w:val="32"/>
        </w:rPr>
      </w:pPr>
      <w:r>
        <w:rPr>
          <w:sz w:val="32"/>
        </w:rPr>
        <w:t xml:space="preserve">Phone: </w:t>
      </w:r>
      <w:r>
        <w:rPr>
          <w:color w:val="000000"/>
          <w:sz w:val="32"/>
        </w:rPr>
        <w:t>301-594-0394 or 301-526-8835</w:t>
      </w:r>
      <w:r>
        <w:rPr>
          <w:sz w:val="32"/>
        </w:rPr>
        <w:t xml:space="preserve"> </w:t>
      </w:r>
    </w:p>
    <w:p w:rsidR="00DF6D29" w:rsidRDefault="00DF6D29" w:rsidP="00DF6D29">
      <w:pPr>
        <w:spacing w:line="200" w:lineRule="atLeast"/>
        <w:rPr>
          <w:sz w:val="32"/>
        </w:rPr>
      </w:pPr>
      <w:r>
        <w:rPr>
          <w:sz w:val="32"/>
        </w:rPr>
        <w:t>Fax: (301) 443-6277</w:t>
      </w:r>
    </w:p>
    <w:p w:rsidR="00DF6D29" w:rsidRDefault="00DF6D29" w:rsidP="00DF6D29">
      <w:pPr>
        <w:rPr>
          <w:rStyle w:val="Hyperlink"/>
          <w:sz w:val="32"/>
        </w:rPr>
      </w:pPr>
      <w:proofErr w:type="gramStart"/>
      <w:r>
        <w:rPr>
          <w:color w:val="000000"/>
        </w:rPr>
        <w:t>e-mail</w:t>
      </w:r>
      <w:proofErr w:type="gramEnd"/>
      <w:r>
        <w:rPr>
          <w:color w:val="000000"/>
        </w:rPr>
        <w:t xml:space="preserve">: </w:t>
      </w:r>
      <w:hyperlink r:id="rId8" w:history="1">
        <w:r w:rsidRPr="00FE057C">
          <w:rPr>
            <w:rStyle w:val="Hyperlink"/>
            <w:sz w:val="32"/>
          </w:rPr>
          <w:t>scudderq@nida.nih.gov</w:t>
        </w:r>
      </w:hyperlink>
    </w:p>
    <w:p w:rsidR="00DF6D29" w:rsidRDefault="00DF6D29" w:rsidP="00DF6D29">
      <w:pPr>
        <w:rPr>
          <w:rStyle w:val="Hyperlink"/>
          <w:sz w:val="32"/>
        </w:rPr>
      </w:pPr>
    </w:p>
    <w:p w:rsidR="00DF6D29" w:rsidRDefault="00DF6D29" w:rsidP="00DF6D29">
      <w:pPr>
        <w:widowControl/>
        <w:suppressAutoHyphens w:val="0"/>
        <w:overflowPunct/>
        <w:autoSpaceDE/>
        <w:autoSpaceDN/>
        <w:adjustRightInd/>
        <w:spacing w:after="200" w:line="276" w:lineRule="auto"/>
        <w:textAlignment w:val="auto"/>
      </w:pPr>
      <w:r>
        <w:br w:type="page"/>
      </w:r>
    </w:p>
    <w:p w:rsidR="00E667AC" w:rsidRPr="00E667AC" w:rsidRDefault="00E667AC" w:rsidP="00E667AC">
      <w:pPr>
        <w:pStyle w:val="TOC1"/>
      </w:pPr>
      <w:r w:rsidRPr="00E667AC">
        <w:lastRenderedPageBreak/>
        <w:t>Table of Contents</w:t>
      </w:r>
    </w:p>
    <w:p w:rsidR="00137113" w:rsidRDefault="005403E9">
      <w:pPr>
        <w:pStyle w:val="TOC1"/>
        <w:rPr>
          <w:rFonts w:asciiTheme="minorHAnsi" w:eastAsiaTheme="minorEastAsia" w:hAnsiTheme="minorHAnsi" w:cstheme="minorBidi"/>
          <w:b w:val="0"/>
          <w:noProof/>
          <w:sz w:val="22"/>
          <w:szCs w:val="22"/>
        </w:rPr>
      </w:pPr>
      <w:r w:rsidRPr="005403E9">
        <w:fldChar w:fldCharType="begin"/>
      </w:r>
      <w:r w:rsidR="00E667AC">
        <w:instrText xml:space="preserve"> TOC \o "1-3" \h \z \u </w:instrText>
      </w:r>
      <w:r w:rsidRPr="005403E9">
        <w:fldChar w:fldCharType="separate"/>
      </w:r>
      <w:hyperlink w:anchor="_Toc250977540" w:history="1">
        <w:r w:rsidR="00137113" w:rsidRPr="00C4578D">
          <w:rPr>
            <w:rStyle w:val="Hyperlink"/>
            <w:noProof/>
          </w:rPr>
          <w:t>B. Collections of Information Employing Statistical Methods</w:t>
        </w:r>
        <w:r w:rsidR="00137113">
          <w:rPr>
            <w:noProof/>
            <w:webHidden/>
          </w:rPr>
          <w:tab/>
        </w:r>
        <w:r>
          <w:rPr>
            <w:noProof/>
            <w:webHidden/>
          </w:rPr>
          <w:fldChar w:fldCharType="begin"/>
        </w:r>
        <w:r w:rsidR="00137113">
          <w:rPr>
            <w:noProof/>
            <w:webHidden/>
          </w:rPr>
          <w:instrText xml:space="preserve"> PAGEREF _Toc250977540 \h </w:instrText>
        </w:r>
        <w:r>
          <w:rPr>
            <w:noProof/>
            <w:webHidden/>
          </w:rPr>
        </w:r>
        <w:r>
          <w:rPr>
            <w:noProof/>
            <w:webHidden/>
          </w:rPr>
          <w:fldChar w:fldCharType="separate"/>
        </w:r>
        <w:r w:rsidR="00137113">
          <w:rPr>
            <w:noProof/>
            <w:webHidden/>
          </w:rPr>
          <w:t>2</w:t>
        </w:r>
        <w:r>
          <w:rPr>
            <w:noProof/>
            <w:webHidden/>
          </w:rPr>
          <w:fldChar w:fldCharType="end"/>
        </w:r>
      </w:hyperlink>
    </w:p>
    <w:p w:rsidR="00137113" w:rsidRDefault="005403E9">
      <w:pPr>
        <w:pStyle w:val="TOC2"/>
        <w:tabs>
          <w:tab w:val="right" w:leader="dot" w:pos="9350"/>
        </w:tabs>
        <w:rPr>
          <w:rFonts w:asciiTheme="minorHAnsi" w:eastAsiaTheme="minorEastAsia" w:hAnsiTheme="minorHAnsi" w:cstheme="minorBidi"/>
          <w:noProof/>
          <w:szCs w:val="22"/>
        </w:rPr>
      </w:pPr>
      <w:hyperlink w:anchor="_Toc250977541" w:history="1">
        <w:r w:rsidR="00137113" w:rsidRPr="00C4578D">
          <w:rPr>
            <w:rStyle w:val="Hyperlink"/>
            <w:noProof/>
          </w:rPr>
          <w:t>B.1. RESPONDENT UNIVERSE AND SAMPLING METHODS</w:t>
        </w:r>
        <w:r w:rsidR="00137113">
          <w:rPr>
            <w:noProof/>
            <w:webHidden/>
          </w:rPr>
          <w:tab/>
        </w:r>
        <w:r>
          <w:rPr>
            <w:noProof/>
            <w:webHidden/>
          </w:rPr>
          <w:fldChar w:fldCharType="begin"/>
        </w:r>
        <w:r w:rsidR="00137113">
          <w:rPr>
            <w:noProof/>
            <w:webHidden/>
          </w:rPr>
          <w:instrText xml:space="preserve"> PAGEREF _Toc250977541 \h </w:instrText>
        </w:r>
        <w:r>
          <w:rPr>
            <w:noProof/>
            <w:webHidden/>
          </w:rPr>
        </w:r>
        <w:r>
          <w:rPr>
            <w:noProof/>
            <w:webHidden/>
          </w:rPr>
          <w:fldChar w:fldCharType="separate"/>
        </w:r>
        <w:r w:rsidR="00137113">
          <w:rPr>
            <w:noProof/>
            <w:webHidden/>
          </w:rPr>
          <w:t>2</w:t>
        </w:r>
        <w:r>
          <w:rPr>
            <w:noProof/>
            <w:webHidden/>
          </w:rPr>
          <w:fldChar w:fldCharType="end"/>
        </w:r>
      </w:hyperlink>
    </w:p>
    <w:p w:rsidR="00137113" w:rsidRDefault="005403E9">
      <w:pPr>
        <w:pStyle w:val="TOC2"/>
        <w:tabs>
          <w:tab w:val="right" w:leader="dot" w:pos="9350"/>
        </w:tabs>
        <w:rPr>
          <w:rFonts w:asciiTheme="minorHAnsi" w:eastAsiaTheme="minorEastAsia" w:hAnsiTheme="minorHAnsi" w:cstheme="minorBidi"/>
          <w:noProof/>
          <w:szCs w:val="22"/>
        </w:rPr>
      </w:pPr>
      <w:hyperlink w:anchor="_Toc250977542" w:history="1">
        <w:r w:rsidR="00137113" w:rsidRPr="00C4578D">
          <w:rPr>
            <w:rStyle w:val="Hyperlink"/>
            <w:noProof/>
          </w:rPr>
          <w:t>B.2. PROCEDURES FOR THE COLLECTION OF INFORMATION</w:t>
        </w:r>
        <w:r w:rsidR="00137113">
          <w:rPr>
            <w:noProof/>
            <w:webHidden/>
          </w:rPr>
          <w:tab/>
        </w:r>
        <w:r>
          <w:rPr>
            <w:noProof/>
            <w:webHidden/>
          </w:rPr>
          <w:fldChar w:fldCharType="begin"/>
        </w:r>
        <w:r w:rsidR="00137113">
          <w:rPr>
            <w:noProof/>
            <w:webHidden/>
          </w:rPr>
          <w:instrText xml:space="preserve"> PAGEREF _Toc250977542 \h </w:instrText>
        </w:r>
        <w:r>
          <w:rPr>
            <w:noProof/>
            <w:webHidden/>
          </w:rPr>
        </w:r>
        <w:r>
          <w:rPr>
            <w:noProof/>
            <w:webHidden/>
          </w:rPr>
          <w:fldChar w:fldCharType="separate"/>
        </w:r>
        <w:r w:rsidR="00137113">
          <w:rPr>
            <w:noProof/>
            <w:webHidden/>
          </w:rPr>
          <w:t>4</w:t>
        </w:r>
        <w:r>
          <w:rPr>
            <w:noProof/>
            <w:webHidden/>
          </w:rPr>
          <w:fldChar w:fldCharType="end"/>
        </w:r>
      </w:hyperlink>
    </w:p>
    <w:p w:rsidR="00137113" w:rsidRDefault="005403E9">
      <w:pPr>
        <w:pStyle w:val="TOC2"/>
        <w:tabs>
          <w:tab w:val="right" w:leader="dot" w:pos="9350"/>
        </w:tabs>
        <w:rPr>
          <w:rFonts w:asciiTheme="minorHAnsi" w:eastAsiaTheme="minorEastAsia" w:hAnsiTheme="minorHAnsi" w:cstheme="minorBidi"/>
          <w:noProof/>
          <w:szCs w:val="22"/>
        </w:rPr>
      </w:pPr>
      <w:hyperlink w:anchor="_Toc250977543" w:history="1">
        <w:r w:rsidR="00137113" w:rsidRPr="00C4578D">
          <w:rPr>
            <w:rStyle w:val="Hyperlink"/>
            <w:noProof/>
          </w:rPr>
          <w:t>B.3. EFFORTS TO IDENTIFY DUPLICATION AND USE OF SIMILAR INFORMATION</w:t>
        </w:r>
        <w:r w:rsidR="00137113">
          <w:rPr>
            <w:noProof/>
            <w:webHidden/>
          </w:rPr>
          <w:tab/>
        </w:r>
        <w:r>
          <w:rPr>
            <w:noProof/>
            <w:webHidden/>
          </w:rPr>
          <w:fldChar w:fldCharType="begin"/>
        </w:r>
        <w:r w:rsidR="00137113">
          <w:rPr>
            <w:noProof/>
            <w:webHidden/>
          </w:rPr>
          <w:instrText xml:space="preserve"> PAGEREF _Toc250977543 \h </w:instrText>
        </w:r>
        <w:r>
          <w:rPr>
            <w:noProof/>
            <w:webHidden/>
          </w:rPr>
        </w:r>
        <w:r>
          <w:rPr>
            <w:noProof/>
            <w:webHidden/>
          </w:rPr>
          <w:fldChar w:fldCharType="separate"/>
        </w:r>
        <w:r w:rsidR="00137113">
          <w:rPr>
            <w:noProof/>
            <w:webHidden/>
          </w:rPr>
          <w:t>4</w:t>
        </w:r>
        <w:r>
          <w:rPr>
            <w:noProof/>
            <w:webHidden/>
          </w:rPr>
          <w:fldChar w:fldCharType="end"/>
        </w:r>
      </w:hyperlink>
    </w:p>
    <w:p w:rsidR="00137113" w:rsidRDefault="005403E9">
      <w:pPr>
        <w:pStyle w:val="TOC2"/>
        <w:tabs>
          <w:tab w:val="right" w:leader="dot" w:pos="9350"/>
        </w:tabs>
        <w:rPr>
          <w:rFonts w:asciiTheme="minorHAnsi" w:eastAsiaTheme="minorEastAsia" w:hAnsiTheme="minorHAnsi" w:cstheme="minorBidi"/>
          <w:noProof/>
          <w:szCs w:val="22"/>
        </w:rPr>
      </w:pPr>
      <w:hyperlink w:anchor="_Toc250977544" w:history="1">
        <w:r w:rsidR="00137113" w:rsidRPr="00C4578D">
          <w:rPr>
            <w:rStyle w:val="Hyperlink"/>
            <w:noProof/>
          </w:rPr>
          <w:t>B.4. TEST OF PROCEDURES OF METHODS TO BE UNDERTAKEN</w:t>
        </w:r>
        <w:r w:rsidR="00137113">
          <w:rPr>
            <w:noProof/>
            <w:webHidden/>
          </w:rPr>
          <w:tab/>
        </w:r>
        <w:r>
          <w:rPr>
            <w:noProof/>
            <w:webHidden/>
          </w:rPr>
          <w:fldChar w:fldCharType="begin"/>
        </w:r>
        <w:r w:rsidR="00137113">
          <w:rPr>
            <w:noProof/>
            <w:webHidden/>
          </w:rPr>
          <w:instrText xml:space="preserve"> PAGEREF _Toc250977544 \h </w:instrText>
        </w:r>
        <w:r>
          <w:rPr>
            <w:noProof/>
            <w:webHidden/>
          </w:rPr>
        </w:r>
        <w:r>
          <w:rPr>
            <w:noProof/>
            <w:webHidden/>
          </w:rPr>
          <w:fldChar w:fldCharType="separate"/>
        </w:r>
        <w:r w:rsidR="00137113">
          <w:rPr>
            <w:noProof/>
            <w:webHidden/>
          </w:rPr>
          <w:t>5</w:t>
        </w:r>
        <w:r>
          <w:rPr>
            <w:noProof/>
            <w:webHidden/>
          </w:rPr>
          <w:fldChar w:fldCharType="end"/>
        </w:r>
      </w:hyperlink>
    </w:p>
    <w:p w:rsidR="00137113" w:rsidRDefault="005403E9">
      <w:pPr>
        <w:pStyle w:val="TOC2"/>
        <w:tabs>
          <w:tab w:val="right" w:leader="dot" w:pos="9350"/>
        </w:tabs>
        <w:rPr>
          <w:rFonts w:asciiTheme="minorHAnsi" w:eastAsiaTheme="minorEastAsia" w:hAnsiTheme="minorHAnsi" w:cstheme="minorBidi"/>
          <w:noProof/>
          <w:szCs w:val="22"/>
        </w:rPr>
      </w:pPr>
      <w:hyperlink w:anchor="_Toc250977545" w:history="1">
        <w:r w:rsidR="00137113" w:rsidRPr="00C4578D">
          <w:rPr>
            <w:rStyle w:val="Hyperlink"/>
            <w:noProof/>
          </w:rPr>
          <w:t>B.5. INDIVIDUALS CONSULTED ON STATISTICAL ASPECTS AND INDIVIDUALS COLLECTING AND/OR ANALYZING DATA</w:t>
        </w:r>
        <w:r w:rsidR="00137113">
          <w:rPr>
            <w:noProof/>
            <w:webHidden/>
          </w:rPr>
          <w:tab/>
        </w:r>
        <w:r>
          <w:rPr>
            <w:noProof/>
            <w:webHidden/>
          </w:rPr>
          <w:fldChar w:fldCharType="begin"/>
        </w:r>
        <w:r w:rsidR="00137113">
          <w:rPr>
            <w:noProof/>
            <w:webHidden/>
          </w:rPr>
          <w:instrText xml:space="preserve"> PAGEREF _Toc250977545 \h </w:instrText>
        </w:r>
        <w:r>
          <w:rPr>
            <w:noProof/>
            <w:webHidden/>
          </w:rPr>
        </w:r>
        <w:r>
          <w:rPr>
            <w:noProof/>
            <w:webHidden/>
          </w:rPr>
          <w:fldChar w:fldCharType="separate"/>
        </w:r>
        <w:r w:rsidR="00137113">
          <w:rPr>
            <w:noProof/>
            <w:webHidden/>
          </w:rPr>
          <w:t>5</w:t>
        </w:r>
        <w:r>
          <w:rPr>
            <w:noProof/>
            <w:webHidden/>
          </w:rPr>
          <w:fldChar w:fldCharType="end"/>
        </w:r>
      </w:hyperlink>
    </w:p>
    <w:p w:rsidR="00E42933" w:rsidRPr="00E42933" w:rsidRDefault="005403E9" w:rsidP="00E42933">
      <w:r>
        <w:fldChar w:fldCharType="end"/>
      </w:r>
    </w:p>
    <w:p w:rsidR="00DF6D29" w:rsidRDefault="00DF6D29" w:rsidP="00DF6D29"/>
    <w:p w:rsidR="00DF6D29" w:rsidRDefault="00DF6D29" w:rsidP="00DF6D29">
      <w:pPr>
        <w:pStyle w:val="Heading1"/>
      </w:pPr>
    </w:p>
    <w:p w:rsidR="00DF6D29" w:rsidRPr="00671D63" w:rsidRDefault="00DF6D29" w:rsidP="00671D63">
      <w:pPr>
        <w:pStyle w:val="Heading1"/>
        <w:rPr>
          <w:rFonts w:cs="Arial"/>
          <w:i/>
          <w:iCs/>
          <w:sz w:val="44"/>
          <w:szCs w:val="44"/>
        </w:rPr>
      </w:pPr>
      <w:bookmarkStart w:id="0" w:name="_Toc128889866"/>
      <w:bookmarkStart w:id="1" w:name="_Toc250977540"/>
      <w:r>
        <w:t>B</w:t>
      </w:r>
      <w:r w:rsidRPr="00266225">
        <w:t xml:space="preserve">. </w:t>
      </w:r>
      <w:bookmarkEnd w:id="0"/>
      <w:r w:rsidRPr="00DF6D29">
        <w:t>Collections of Information Employing Statistical Methods</w:t>
      </w:r>
      <w:bookmarkEnd w:id="1"/>
    </w:p>
    <w:p w:rsidR="00DF6D29" w:rsidRDefault="00DF6D29" w:rsidP="00671D63">
      <w:pPr>
        <w:pStyle w:val="Heading2"/>
      </w:pPr>
      <w:bookmarkStart w:id="2" w:name="_Toc128889867"/>
      <w:bookmarkStart w:id="3" w:name="_Toc250977541"/>
      <w:r>
        <w:t xml:space="preserve">B.1. </w:t>
      </w:r>
      <w:bookmarkEnd w:id="2"/>
      <w:r w:rsidR="009F0569">
        <w:t>RESPONDENT UNIVERSE AND SAMPLING METHODS</w:t>
      </w:r>
      <w:bookmarkEnd w:id="3"/>
      <w:r w:rsidRPr="00DF6D29">
        <w:t xml:space="preserve"> </w:t>
      </w:r>
    </w:p>
    <w:p w:rsidR="00DF6D29" w:rsidRDefault="00DF6D29" w:rsidP="00671D63">
      <w:pPr>
        <w:pStyle w:val="NormalWeb"/>
        <w:spacing w:before="0" w:beforeAutospacing="0" w:after="0" w:line="480" w:lineRule="auto"/>
      </w:pPr>
      <w:r>
        <w:tab/>
        <w:t xml:space="preserve">Samples for all research will be drawn from health care providers living in </w:t>
      </w:r>
      <w:r w:rsidR="00012007">
        <w:t xml:space="preserve">the </w:t>
      </w:r>
      <w:r>
        <w:t xml:space="preserve">United States, who are fluent in English, and have </w:t>
      </w:r>
      <w:r w:rsidR="00012007">
        <w:t>Internet access</w:t>
      </w:r>
      <w:r>
        <w:t>. In accordance with the Draft Provisional Guidance on the implementation of the 1997 Standards for Federal Data on Race and Ethnicity, final samples for all proposed studies will be generally representative of the US population in terms of gender, race, and ethnicity. In order to ensure a representative sample is obtained, minorities will b</w:t>
      </w:r>
      <w:r w:rsidR="00012007">
        <w:t xml:space="preserve">e slightly oversampled. </w:t>
      </w:r>
      <w:r>
        <w:t>Female participants will likely be over</w:t>
      </w:r>
      <w:r w:rsidR="00AE0CB9">
        <w:t>sampled</w:t>
      </w:r>
      <w:r>
        <w:t xml:space="preserve"> due to their over representation in the fields of nursing and physician assisting.</w:t>
      </w:r>
      <w:r w:rsidR="00012007">
        <w:t xml:space="preserve"> Target enrollment for each study proposed in this application is provided in the following table:</w:t>
      </w:r>
    </w:p>
    <w:p w:rsidR="00DF6D29" w:rsidRPr="00012007" w:rsidRDefault="00DF6D29" w:rsidP="00DF6D29">
      <w:pPr>
        <w:keepNext/>
        <w:widowControl/>
        <w:rPr>
          <w:bCs/>
          <w:i/>
          <w:sz w:val="24"/>
          <w:szCs w:val="24"/>
        </w:rPr>
      </w:pPr>
    </w:p>
    <w:p w:rsidR="00DF6D29" w:rsidRPr="00012007" w:rsidRDefault="00CB1020" w:rsidP="00DF6D29">
      <w:pPr>
        <w:keepNext/>
        <w:widowControl/>
        <w:rPr>
          <w:i/>
          <w:sz w:val="24"/>
          <w:szCs w:val="24"/>
        </w:rPr>
      </w:pPr>
      <w:r>
        <w:rPr>
          <w:bCs/>
          <w:i/>
          <w:sz w:val="24"/>
          <w:szCs w:val="24"/>
        </w:rPr>
        <w:t>Table B.1-1</w:t>
      </w:r>
      <w:r w:rsidR="00DF6D29" w:rsidRPr="00012007">
        <w:rPr>
          <w:bCs/>
          <w:i/>
          <w:sz w:val="24"/>
          <w:szCs w:val="24"/>
        </w:rPr>
        <w:t>: Target Enrollment</w:t>
      </w:r>
    </w:p>
    <w:tbl>
      <w:tblPr>
        <w:tblW w:w="940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530"/>
        <w:gridCol w:w="1555"/>
        <w:gridCol w:w="5320"/>
      </w:tblGrid>
      <w:tr w:rsidR="00DF6D29" w:rsidRPr="00AA2AE0" w:rsidTr="00315113">
        <w:trPr>
          <w:tblHeader/>
          <w:tblCellSpacing w:w="0" w:type="dxa"/>
        </w:trPr>
        <w:tc>
          <w:tcPr>
            <w:tcW w:w="9255" w:type="dxa"/>
            <w:gridSpan w:val="3"/>
            <w:tcBorders>
              <w:top w:val="outset" w:sz="6" w:space="0" w:color="000000"/>
              <w:left w:val="outset" w:sz="6" w:space="0" w:color="000000"/>
              <w:bottom w:val="outset" w:sz="6" w:space="0" w:color="000000"/>
              <w:right w:val="outset" w:sz="6" w:space="0" w:color="000000"/>
            </w:tcBorders>
            <w:shd w:val="clear" w:color="auto" w:fill="E6E6E6"/>
            <w:hideMark/>
          </w:tcPr>
          <w:p w:rsidR="00DF6D29" w:rsidRPr="00AA2AE0" w:rsidRDefault="00012007" w:rsidP="00315113">
            <w:pPr>
              <w:keepNext/>
              <w:widowControl/>
              <w:suppressAutoHyphens w:val="0"/>
              <w:overflowPunct/>
              <w:autoSpaceDE/>
              <w:autoSpaceDN/>
              <w:adjustRightInd/>
              <w:spacing w:before="100" w:beforeAutospacing="1" w:after="115" w:line="240" w:lineRule="auto"/>
              <w:jc w:val="center"/>
              <w:textAlignment w:val="auto"/>
              <w:rPr>
                <w:rFonts w:ascii="Arial" w:hAnsi="Arial" w:cs="Arial"/>
                <w:color w:val="000000"/>
                <w:szCs w:val="22"/>
              </w:rPr>
            </w:pPr>
            <w:r>
              <w:rPr>
                <w:b/>
                <w:bCs/>
                <w:color w:val="000000"/>
                <w:szCs w:val="22"/>
              </w:rPr>
              <w:t>Target</w:t>
            </w:r>
            <w:r w:rsidR="00DF6D29" w:rsidRPr="00AA2AE0">
              <w:rPr>
                <w:b/>
                <w:bCs/>
                <w:color w:val="000000"/>
                <w:szCs w:val="22"/>
              </w:rPr>
              <w:t xml:space="preserve"> Enrollment, Pain Management Providers</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012007">
            <w:pPr>
              <w:widowControl/>
              <w:suppressAutoHyphens w:val="0"/>
              <w:overflowPunct/>
              <w:autoSpaceDE/>
              <w:autoSpaceDN/>
              <w:adjustRightInd/>
              <w:spacing w:before="100" w:beforeAutospacing="1" w:after="115" w:line="240" w:lineRule="auto"/>
              <w:jc w:val="center"/>
              <w:textAlignment w:val="auto"/>
              <w:rPr>
                <w:rFonts w:ascii="Arial" w:hAnsi="Arial" w:cs="Arial"/>
                <w:color w:val="000000"/>
                <w:szCs w:val="22"/>
              </w:rPr>
            </w:pPr>
            <w:r w:rsidRPr="00AA2AE0">
              <w:rPr>
                <w:b/>
                <w:bCs/>
                <w:color w:val="000000"/>
                <w:szCs w:val="22"/>
              </w:rPr>
              <w:t>US Population</w:t>
            </w:r>
            <w:r w:rsidR="006735E8">
              <w:rPr>
                <w:b/>
                <w:bCs/>
                <w:color w:val="000000"/>
                <w:szCs w:val="22"/>
              </w:rPr>
              <w:t>*</w:t>
            </w:r>
            <w:r w:rsidRPr="00AA2AE0">
              <w:rPr>
                <w:b/>
                <w:bCs/>
                <w:color w:val="000000"/>
                <w:szCs w:val="22"/>
              </w:rPr>
              <w:t xml:space="preserve"> </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center"/>
              <w:textAlignment w:val="auto"/>
              <w:rPr>
                <w:rFonts w:ascii="Arial" w:hAnsi="Arial" w:cs="Arial"/>
                <w:color w:val="000000"/>
                <w:szCs w:val="22"/>
              </w:rPr>
            </w:pPr>
            <w:r w:rsidRPr="00AA2AE0">
              <w:rPr>
                <w:b/>
                <w:bCs/>
                <w:color w:val="000000"/>
                <w:szCs w:val="22"/>
              </w:rPr>
              <w:t>Evaluation</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b/>
                <w:bCs/>
                <w:color w:val="000000"/>
                <w:szCs w:val="22"/>
              </w:rPr>
              <w:t>Ethnic Category</w:t>
            </w:r>
          </w:p>
        </w:tc>
        <w:tc>
          <w:tcPr>
            <w:tcW w:w="1530" w:type="dxa"/>
            <w:tcBorders>
              <w:top w:val="outset" w:sz="6" w:space="0" w:color="000000"/>
              <w:left w:val="outset" w:sz="6" w:space="0" w:color="000000"/>
              <w:bottom w:val="outset" w:sz="6" w:space="0" w:color="000000"/>
              <w:right w:val="outset" w:sz="6" w:space="0" w:color="000000"/>
            </w:tcBorders>
            <w:shd w:val="clear" w:color="auto" w:fill="E6E6E6"/>
            <w:hideMark/>
          </w:tcPr>
          <w:p w:rsidR="00DF6D29" w:rsidRPr="00AA2AE0" w:rsidRDefault="00DF6D29" w:rsidP="00315113">
            <w:pPr>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p>
        </w:tc>
        <w:tc>
          <w:tcPr>
            <w:tcW w:w="4995" w:type="dxa"/>
            <w:tcBorders>
              <w:top w:val="outset" w:sz="6" w:space="0" w:color="000000"/>
              <w:left w:val="outset" w:sz="6" w:space="0" w:color="000000"/>
              <w:bottom w:val="outset" w:sz="6" w:space="0" w:color="000000"/>
              <w:right w:val="outset" w:sz="6" w:space="0" w:color="000000"/>
            </w:tcBorders>
            <w:shd w:val="clear" w:color="auto" w:fill="E6E6E6"/>
            <w:hideMark/>
          </w:tcPr>
          <w:p w:rsidR="00DF6D29" w:rsidRPr="00AA2AE0" w:rsidRDefault="00DF6D29" w:rsidP="00315113">
            <w:pPr>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Hispanic or Latino</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15.4</w:t>
            </w:r>
            <w:r w:rsidR="00DF6D29" w:rsidRPr="00AA2AE0">
              <w:rPr>
                <w:color w:val="000000"/>
                <w:szCs w:val="22"/>
              </w:rPr>
              <w:t>%</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6735E8">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12-13</w:t>
            </w:r>
            <w:r w:rsidR="00DF6D29" w:rsidRPr="00AA2AE0">
              <w:rPr>
                <w:color w:val="000000"/>
                <w:szCs w:val="22"/>
              </w:rPr>
              <w:t xml:space="preserve"> (</w:t>
            </w:r>
            <w:r>
              <w:rPr>
                <w:color w:val="000000"/>
                <w:szCs w:val="22"/>
              </w:rPr>
              <w:t>15-16</w:t>
            </w:r>
            <w:r w:rsidR="00DF6D29" w:rsidRPr="00AA2AE0">
              <w:rPr>
                <w:color w:val="000000"/>
                <w:szCs w:val="22"/>
              </w:rPr>
              <w:t xml:space="preserve">%) </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Not Hispanic or Latino</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84.6</w:t>
            </w:r>
            <w:r w:rsidR="00DF6D29" w:rsidRPr="00AA2AE0">
              <w:rPr>
                <w:color w:val="000000"/>
                <w:szCs w:val="22"/>
              </w:rPr>
              <w:t>%</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67-68 (84-85</w:t>
            </w:r>
            <w:r w:rsidR="00DF6D29" w:rsidRPr="00AA2AE0">
              <w:rPr>
                <w:color w:val="000000"/>
                <w:szCs w:val="22"/>
              </w:rPr>
              <w:t>%)</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b/>
                <w:bCs/>
                <w:color w:val="000000"/>
                <w:szCs w:val="22"/>
              </w:rPr>
              <w:t>Ethnic Category: Total of All Subjects</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b/>
                <w:bCs/>
                <w:color w:val="000000"/>
                <w:szCs w:val="22"/>
              </w:rPr>
              <w:t>100%</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b/>
                <w:bCs/>
                <w:color w:val="000000"/>
                <w:szCs w:val="22"/>
              </w:rPr>
              <w:t>80</w:t>
            </w:r>
            <w:r w:rsidRPr="00AA2AE0">
              <w:rPr>
                <w:color w:val="000000"/>
                <w:szCs w:val="22"/>
              </w:rPr>
              <w:t xml:space="preserve"> (100%)</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shd w:val="clear" w:color="auto" w:fill="999999"/>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p>
        </w:tc>
        <w:tc>
          <w:tcPr>
            <w:tcW w:w="1530" w:type="dxa"/>
            <w:tcBorders>
              <w:top w:val="outset" w:sz="6" w:space="0" w:color="000000"/>
              <w:left w:val="outset" w:sz="6" w:space="0" w:color="000000"/>
              <w:bottom w:val="outset" w:sz="6" w:space="0" w:color="000000"/>
              <w:right w:val="outset" w:sz="6" w:space="0" w:color="000000"/>
            </w:tcBorders>
            <w:shd w:val="clear" w:color="auto" w:fill="999999"/>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p>
        </w:tc>
        <w:tc>
          <w:tcPr>
            <w:tcW w:w="4995" w:type="dxa"/>
            <w:tcBorders>
              <w:top w:val="outset" w:sz="6" w:space="0" w:color="000000"/>
              <w:left w:val="outset" w:sz="6" w:space="0" w:color="000000"/>
              <w:bottom w:val="outset" w:sz="6" w:space="0" w:color="000000"/>
              <w:right w:val="outset" w:sz="6" w:space="0" w:color="000000"/>
            </w:tcBorders>
            <w:shd w:val="clear" w:color="auto" w:fill="999999"/>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b/>
                <w:bCs/>
                <w:color w:val="000000"/>
                <w:szCs w:val="22"/>
              </w:rPr>
              <w:t>Racial Category</w:t>
            </w:r>
          </w:p>
        </w:tc>
        <w:tc>
          <w:tcPr>
            <w:tcW w:w="153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p>
        </w:tc>
        <w:tc>
          <w:tcPr>
            <w:tcW w:w="499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American Indian/Alaskan Native</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1.6</w:t>
            </w:r>
            <w:r w:rsidR="00DF6D29" w:rsidRPr="00AA2AE0">
              <w:rPr>
                <w:color w:val="000000"/>
                <w:szCs w:val="22"/>
              </w:rPr>
              <w:t>%</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6735E8">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0-2</w:t>
            </w:r>
            <w:r w:rsidR="00DF6D29" w:rsidRPr="00AA2AE0">
              <w:rPr>
                <w:color w:val="000000"/>
                <w:szCs w:val="22"/>
              </w:rPr>
              <w:t xml:space="preserve"> (</w:t>
            </w:r>
            <w:r>
              <w:rPr>
                <w:color w:val="000000"/>
                <w:szCs w:val="22"/>
              </w:rPr>
              <w:t>1-2</w:t>
            </w:r>
            <w:r w:rsidR="00DF6D29" w:rsidRPr="00AA2AE0">
              <w:rPr>
                <w:color w:val="000000"/>
                <w:szCs w:val="22"/>
              </w:rPr>
              <w:t>%)</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Asian-American</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color w:val="000000"/>
                <w:szCs w:val="22"/>
              </w:rPr>
              <w:t>3.6%</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6735E8">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color w:val="000000"/>
                <w:szCs w:val="22"/>
              </w:rPr>
              <w:t>4 (</w:t>
            </w:r>
            <w:r w:rsidR="006735E8">
              <w:rPr>
                <w:color w:val="000000"/>
                <w:szCs w:val="22"/>
              </w:rPr>
              <w:t>5</w:t>
            </w:r>
            <w:r w:rsidRPr="00AA2AE0">
              <w:rPr>
                <w:color w:val="000000"/>
                <w:szCs w:val="22"/>
              </w:rPr>
              <w:t xml:space="preserve">%) </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Native Hawaiian or Other Pacific Islander</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color w:val="000000"/>
                <w:szCs w:val="22"/>
              </w:rPr>
              <w:t>0.1%</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6735E8">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color w:val="000000"/>
                <w:szCs w:val="22"/>
              </w:rPr>
              <w:t>0-</w:t>
            </w:r>
            <w:r w:rsidR="006735E8">
              <w:rPr>
                <w:color w:val="000000"/>
                <w:szCs w:val="22"/>
              </w:rPr>
              <w:t>1 (0-1</w:t>
            </w:r>
            <w:r w:rsidRPr="00AA2AE0">
              <w:rPr>
                <w:color w:val="000000"/>
                <w:szCs w:val="22"/>
              </w:rPr>
              <w:t>%)</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Black or African-American</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13</w:t>
            </w:r>
            <w:r w:rsidR="00DF6D29" w:rsidRPr="00AA2AE0">
              <w:rPr>
                <w:color w:val="000000"/>
                <w:szCs w:val="22"/>
              </w:rPr>
              <w:t>.3%</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10-12 (13-14</w:t>
            </w:r>
            <w:r w:rsidR="00DF6D29">
              <w:rPr>
                <w:color w:val="000000"/>
                <w:szCs w:val="22"/>
              </w:rPr>
              <w:t>%)</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keepNext/>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color w:val="000000"/>
                <w:szCs w:val="22"/>
              </w:rPr>
              <w:t>White</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80</w:t>
            </w:r>
            <w:r w:rsidR="00DF6D29" w:rsidRPr="00AA2AE0">
              <w:rPr>
                <w:color w:val="000000"/>
                <w:szCs w:val="22"/>
              </w:rPr>
              <w:t>%</w:t>
            </w: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6735E8"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Pr>
                <w:color w:val="000000"/>
                <w:szCs w:val="22"/>
              </w:rPr>
              <w:t>64 (80</w:t>
            </w:r>
            <w:r w:rsidR="00DF6D29" w:rsidRPr="00AA2AE0">
              <w:rPr>
                <w:color w:val="000000"/>
                <w:szCs w:val="22"/>
              </w:rPr>
              <w:t xml:space="preserve">%) </w:t>
            </w:r>
          </w:p>
        </w:tc>
      </w:tr>
      <w:tr w:rsidR="00DF6D29" w:rsidRPr="00AA2AE0" w:rsidTr="00315113">
        <w:trPr>
          <w:tblCellSpacing w:w="0" w:type="dxa"/>
        </w:trPr>
        <w:tc>
          <w:tcPr>
            <w:tcW w:w="2490" w:type="dxa"/>
            <w:tcBorders>
              <w:top w:val="outset" w:sz="6" w:space="0" w:color="000000"/>
              <w:left w:val="outset" w:sz="6" w:space="0" w:color="000000"/>
              <w:bottom w:val="outset" w:sz="6" w:space="0" w:color="000000"/>
              <w:right w:val="outset" w:sz="6" w:space="0" w:color="000000"/>
            </w:tcBorders>
            <w:hideMark/>
          </w:tcPr>
          <w:p w:rsidR="00DF6D29" w:rsidRPr="00AA2AE0" w:rsidRDefault="00DF6D29" w:rsidP="00315113">
            <w:pPr>
              <w:widowControl/>
              <w:suppressAutoHyphens w:val="0"/>
              <w:overflowPunct/>
              <w:autoSpaceDE/>
              <w:autoSpaceDN/>
              <w:adjustRightInd/>
              <w:spacing w:before="100" w:beforeAutospacing="1" w:after="115" w:line="240" w:lineRule="auto"/>
              <w:textAlignment w:val="auto"/>
              <w:rPr>
                <w:rFonts w:ascii="Arial" w:hAnsi="Arial" w:cs="Arial"/>
                <w:color w:val="000000"/>
                <w:szCs w:val="22"/>
              </w:rPr>
            </w:pPr>
            <w:r w:rsidRPr="00AA2AE0">
              <w:rPr>
                <w:b/>
                <w:bCs/>
                <w:color w:val="000000"/>
                <w:szCs w:val="22"/>
              </w:rPr>
              <w:t>Racial Category: Total of All Subjects</w:t>
            </w:r>
          </w:p>
        </w:tc>
        <w:tc>
          <w:tcPr>
            <w:tcW w:w="1530"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p>
        </w:tc>
        <w:tc>
          <w:tcPr>
            <w:tcW w:w="4995" w:type="dxa"/>
            <w:tcBorders>
              <w:top w:val="outset" w:sz="6" w:space="0" w:color="000000"/>
              <w:left w:val="outset" w:sz="6" w:space="0" w:color="000000"/>
              <w:bottom w:val="outset" w:sz="6" w:space="0" w:color="000000"/>
              <w:right w:val="outset" w:sz="6" w:space="0" w:color="000000"/>
            </w:tcBorders>
            <w:vAlign w:val="bottom"/>
            <w:hideMark/>
          </w:tcPr>
          <w:p w:rsidR="00DF6D29" w:rsidRPr="00AA2AE0" w:rsidRDefault="00DF6D29" w:rsidP="00315113">
            <w:pPr>
              <w:widowControl/>
              <w:suppressAutoHyphens w:val="0"/>
              <w:overflowPunct/>
              <w:autoSpaceDE/>
              <w:autoSpaceDN/>
              <w:adjustRightInd/>
              <w:spacing w:before="100" w:beforeAutospacing="1" w:after="115" w:line="240" w:lineRule="auto"/>
              <w:jc w:val="right"/>
              <w:textAlignment w:val="auto"/>
              <w:rPr>
                <w:rFonts w:ascii="Arial" w:hAnsi="Arial" w:cs="Arial"/>
                <w:color w:val="000000"/>
                <w:szCs w:val="22"/>
              </w:rPr>
            </w:pPr>
            <w:r w:rsidRPr="00AA2AE0">
              <w:rPr>
                <w:b/>
                <w:bCs/>
                <w:color w:val="000000"/>
                <w:szCs w:val="22"/>
              </w:rPr>
              <w:t>80 (100%)</w:t>
            </w:r>
          </w:p>
        </w:tc>
      </w:tr>
    </w:tbl>
    <w:p w:rsidR="00DF6D29" w:rsidRDefault="006735E8" w:rsidP="00DF6D29">
      <w:r>
        <w:t xml:space="preserve">*Based on 2008 estimates obtained 12/14/09 from </w:t>
      </w:r>
      <w:hyperlink r:id="rId9" w:history="1">
        <w:r w:rsidRPr="00926E82">
          <w:rPr>
            <w:rStyle w:val="Hyperlink"/>
          </w:rPr>
          <w:t>http://www.factfinder.census.gov</w:t>
        </w:r>
      </w:hyperlink>
      <w:r>
        <w:t xml:space="preserve">. </w:t>
      </w:r>
    </w:p>
    <w:p w:rsidR="00DF6D29" w:rsidRDefault="00DF6D29" w:rsidP="00671D63">
      <w:pPr>
        <w:pStyle w:val="NormalWeb"/>
        <w:spacing w:before="0" w:beforeAutospacing="0" w:after="0" w:line="480" w:lineRule="auto"/>
      </w:pPr>
      <w:r>
        <w:rPr>
          <w:i/>
        </w:rPr>
        <w:tab/>
      </w:r>
      <w:r>
        <w:t xml:space="preserve">The expected response rate for the evaluation (complete responses and/or enrollees) is approximately 80% to 85%. These rates are based on previous experience of CTI researchers and consultants. </w:t>
      </w:r>
    </w:p>
    <w:p w:rsidR="00DF6D29" w:rsidRDefault="00DF6D29" w:rsidP="00671D63">
      <w:pPr>
        <w:pStyle w:val="NormalWeb"/>
        <w:spacing w:before="0" w:beforeAutospacing="0" w:after="0" w:line="480" w:lineRule="auto"/>
        <w:ind w:firstLine="720"/>
      </w:pPr>
      <w:r>
        <w:t xml:space="preserve">Participants will be recruited through print media and nonprofit organizations with related goals. All potential participants will e-mail the study coordinator; based on specific screening forms, eligible participants will be identified. A stratified sample of respondents (based </w:t>
      </w:r>
      <w:r w:rsidR="00012007">
        <w:lastRenderedPageBreak/>
        <w:t>upon the research's target</w:t>
      </w:r>
      <w:r>
        <w:t xml:space="preserve"> enrollment of racial, ethnic, and gender subgroups) will be asked to participate by the Principal Investigator or a designee. </w:t>
      </w:r>
    </w:p>
    <w:p w:rsidR="00DF6D29" w:rsidRPr="00DF6D29" w:rsidRDefault="00DF6D29" w:rsidP="00671D63">
      <w:pPr>
        <w:pStyle w:val="Heading2"/>
        <w:rPr>
          <w:rFonts w:ascii="Arial" w:hAnsi="Arial" w:cs="Arial"/>
          <w:sz w:val="32"/>
          <w:szCs w:val="32"/>
        </w:rPr>
      </w:pPr>
      <w:bookmarkStart w:id="4" w:name="_Toc128889869"/>
      <w:bookmarkStart w:id="5" w:name="_Toc250977542"/>
      <w:r>
        <w:t xml:space="preserve">B.2. </w:t>
      </w:r>
      <w:bookmarkEnd w:id="4"/>
      <w:r w:rsidR="009F0569">
        <w:t>PROCEDURES FOR THE COLLECTION OF INFORMATION</w:t>
      </w:r>
      <w:bookmarkEnd w:id="5"/>
      <w:r>
        <w:rPr>
          <w:sz w:val="32"/>
          <w:szCs w:val="32"/>
        </w:rPr>
        <w:t xml:space="preserve"> </w:t>
      </w:r>
    </w:p>
    <w:p w:rsidR="00DF6D29" w:rsidRDefault="00DF6D29" w:rsidP="00671D63">
      <w:pPr>
        <w:pStyle w:val="NormalWeb"/>
        <w:spacing w:before="0" w:beforeAutospacing="0" w:after="0" w:line="480" w:lineRule="auto"/>
      </w:pPr>
      <w:r>
        <w:tab/>
        <w:t>For the purposes of the proposed studies a response rate of 80% to 85% for the ev</w:t>
      </w:r>
      <w:r w:rsidR="00012007">
        <w:t>aluation should be sufficient. Specialized</w:t>
      </w:r>
      <w:r>
        <w:t xml:space="preserve"> sampling pr</w:t>
      </w:r>
      <w:r w:rsidR="00012007">
        <w:t xml:space="preserve">ocedures are not required. </w:t>
      </w:r>
    </w:p>
    <w:p w:rsidR="00DF6D29" w:rsidRDefault="00DF6D29" w:rsidP="00671D63">
      <w:pPr>
        <w:pStyle w:val="NormalWeb"/>
        <w:spacing w:before="0" w:beforeAutospacing="0" w:after="0" w:line="480" w:lineRule="auto"/>
        <w:ind w:firstLine="720"/>
      </w:pPr>
      <w:r>
        <w:t xml:space="preserve">Participants who are invited to participate in the research will be emailed information packets. Once </w:t>
      </w:r>
      <w:r w:rsidR="003167B9">
        <w:t>participants indicate that they have reviewed the information packets</w:t>
      </w:r>
      <w:r>
        <w:t xml:space="preserve">, </w:t>
      </w:r>
      <w:r w:rsidR="003167B9">
        <w:t xml:space="preserve">they </w:t>
      </w:r>
      <w:r>
        <w:t xml:space="preserve">will be assigned an ID number and password and directed to the website. Only users who have been provided with an ID number and password will have access to the online research instruments. Quality control measures will include data logging checks prior to and during the studies and weekly e-mail reminders to participants in the evaluation. </w:t>
      </w:r>
    </w:p>
    <w:p w:rsidR="00DF6D29" w:rsidRDefault="00DF6D29" w:rsidP="00671D63">
      <w:pPr>
        <w:pStyle w:val="Heading2"/>
      </w:pPr>
      <w:bookmarkStart w:id="6" w:name="_Toc128889870"/>
      <w:bookmarkStart w:id="7" w:name="_Toc250977543"/>
      <w:r>
        <w:t xml:space="preserve">B.3. </w:t>
      </w:r>
      <w:r w:rsidR="009F0569">
        <w:t>EFFORTS TO IDENTIFY DUPLICATION AND USE OF SIMILAR INFORMATION</w:t>
      </w:r>
      <w:bookmarkEnd w:id="6"/>
      <w:bookmarkEnd w:id="7"/>
      <w:r>
        <w:t xml:space="preserve"> </w:t>
      </w:r>
    </w:p>
    <w:p w:rsidR="00315113" w:rsidRDefault="00DF6D29" w:rsidP="00671D63">
      <w:pPr>
        <w:pStyle w:val="NormalWeb"/>
        <w:spacing w:before="0" w:beforeAutospacing="0" w:after="0" w:line="480" w:lineRule="auto"/>
      </w:pPr>
      <w:r>
        <w:tab/>
      </w:r>
      <w:bookmarkStart w:id="8" w:name="_Toc128889871"/>
      <w:r w:rsidR="00315113">
        <w:t xml:space="preserve">Response rates for the study will be calculated by dividing the number of participants who provide full data sets for each study by the total number of subjects enrolled for each study. </w:t>
      </w:r>
    </w:p>
    <w:p w:rsidR="00315113" w:rsidRDefault="00315113" w:rsidP="00671D63">
      <w:pPr>
        <w:pStyle w:val="NormalWeb"/>
        <w:spacing w:before="0" w:beforeAutospacing="0" w:after="0" w:line="480" w:lineRule="auto"/>
        <w:ind w:firstLine="706"/>
      </w:pPr>
      <w:r>
        <w:t>For the evaluation, 80 participants will be enrolled, with the expectation that 68 of those will yield full data sets (completion rate of 80%-85%). A review of the relevant literature indicates that for this study a small- to medium-effect size should be expected for the attitude measure, and a large-effect size should be expected for the knowledge measure. According to Cohen (1988), for a study of this type, with a power of .80 and one-sided alpha of .05, at least 400 participants would be needed to detect a small-effect size (200 per group), and 66 participants would be needed to detect a medium-effect size (33 per group).</w:t>
      </w:r>
      <w:r>
        <w:rPr>
          <w:vertAlign w:val="superscript"/>
        </w:rPr>
        <w:t xml:space="preserve">5 </w:t>
      </w:r>
      <w:r>
        <w:t xml:space="preserve">Due to logistics and resources, it is not possible to include 400 participants in the proposed study. However, 80 complete data sets should be more than adequate to detect gains in knowledge and to detect a change in attitudes should the effect size be slightly smaller than medium. </w:t>
      </w:r>
    </w:p>
    <w:p w:rsidR="00315113" w:rsidRDefault="00315113" w:rsidP="00671D63">
      <w:pPr>
        <w:pStyle w:val="NormalWeb"/>
        <w:spacing w:before="0" w:beforeAutospacing="0" w:after="0" w:line="480" w:lineRule="auto"/>
        <w:ind w:firstLine="706"/>
      </w:pPr>
      <w:r>
        <w:lastRenderedPageBreak/>
        <w:t>Response rates for the evaluation will be maximized by remunerating participants for their time (see section A.9.) and by sending e-mailed reminders to participants once a week. The response rate for the evaluation will also be enhanced by the fact that participants will be receiving free training and education related to their profession</w:t>
      </w:r>
      <w:r>
        <w:rPr>
          <w:i/>
          <w:iCs/>
        </w:rPr>
        <w:t xml:space="preserve">. </w:t>
      </w:r>
      <w:r>
        <w:t xml:space="preserve">Participants who drop out prior to completion will be compensated for the portion of the study completed, as listed in section A.9. </w:t>
      </w:r>
    </w:p>
    <w:p w:rsidR="00315113" w:rsidRDefault="00315113" w:rsidP="00671D63">
      <w:pPr>
        <w:pStyle w:val="NormalWeb"/>
        <w:spacing w:before="0" w:beforeAutospacing="0" w:after="0" w:line="480" w:lineRule="auto"/>
        <w:ind w:firstLine="706"/>
      </w:pPr>
      <w:r>
        <w:t xml:space="preserve">If, after two weeks, respondents have offered no data at all, they will be e-mailed and asked whether or not they are still interested in participating in the study. </w:t>
      </w:r>
      <w:proofErr w:type="spellStart"/>
      <w:r>
        <w:t>Nonrespondents</w:t>
      </w:r>
      <w:proofErr w:type="spellEnd"/>
      <w:r>
        <w:t xml:space="preserve"> and dropouts will be asked to describe their reasons for not responding or not completing the study. Potential participants who refuse to participate or who leave the study at any point will be allowed to do so without penalty or jeopardy. </w:t>
      </w:r>
    </w:p>
    <w:p w:rsidR="00DF6D29" w:rsidRPr="00315113" w:rsidRDefault="00315113" w:rsidP="00671D63">
      <w:pPr>
        <w:pStyle w:val="Heading2"/>
        <w:rPr>
          <w:rFonts w:ascii="Arial" w:hAnsi="Arial" w:cs="Arial"/>
          <w:sz w:val="32"/>
          <w:szCs w:val="32"/>
        </w:rPr>
      </w:pPr>
      <w:bookmarkStart w:id="9" w:name="_Toc250977544"/>
      <w:r>
        <w:t>B.4</w:t>
      </w:r>
      <w:r w:rsidR="00DF6D29">
        <w:t xml:space="preserve">. </w:t>
      </w:r>
      <w:bookmarkEnd w:id="8"/>
      <w:r w:rsidR="009F0569">
        <w:t>TEST OF PROCEDURES OF METHODS TO BE UNDERTAKEN</w:t>
      </w:r>
      <w:bookmarkEnd w:id="9"/>
      <w:r>
        <w:rPr>
          <w:sz w:val="32"/>
          <w:szCs w:val="32"/>
        </w:rPr>
        <w:t xml:space="preserve"> </w:t>
      </w:r>
    </w:p>
    <w:p w:rsidR="00315113" w:rsidRDefault="00DF6D29" w:rsidP="00671D63">
      <w:pPr>
        <w:pStyle w:val="NormalWeb"/>
        <w:spacing w:before="0" w:beforeAutospacing="0" w:line="480" w:lineRule="auto"/>
      </w:pPr>
      <w:r>
        <w:tab/>
      </w:r>
      <w:bookmarkStart w:id="10" w:name="_Toc128889872"/>
      <w:r w:rsidR="00315113">
        <w:t>In the proposed evaluat</w:t>
      </w:r>
      <w:r w:rsidR="002F3EE0">
        <w:t xml:space="preserve">ion, participants will complete an assessment </w:t>
      </w:r>
      <w:r w:rsidR="00DE0B5A">
        <w:t xml:space="preserve">three times: </w:t>
      </w:r>
      <w:r w:rsidR="00E420DD">
        <w:t xml:space="preserve">1) “Pre-“ which will be </w:t>
      </w:r>
      <w:r w:rsidR="00315113">
        <w:t>before exposure to th</w:t>
      </w:r>
      <w:r w:rsidR="00E420DD">
        <w:t xml:space="preserve">e education/training materials; 2) “Post-“ which will be </w:t>
      </w:r>
      <w:r w:rsidR="003E5D8E">
        <w:t xml:space="preserve">immediately </w:t>
      </w:r>
      <w:r w:rsidR="00315113">
        <w:t xml:space="preserve">after using the </w:t>
      </w:r>
      <w:r w:rsidR="00E420DD">
        <w:t xml:space="preserve">training </w:t>
      </w:r>
      <w:r w:rsidR="00315113">
        <w:t xml:space="preserve">materials, and </w:t>
      </w:r>
      <w:r w:rsidR="00E420DD">
        <w:t>3) “Follow-up” which will be</w:t>
      </w:r>
      <w:r w:rsidR="00315113">
        <w:t xml:space="preserve"> six weeks after using the </w:t>
      </w:r>
      <w:r w:rsidR="00E420DD">
        <w:t xml:space="preserve">training </w:t>
      </w:r>
      <w:r w:rsidR="00315113">
        <w:t xml:space="preserve">materials. </w:t>
      </w:r>
      <w:r w:rsidR="00DE0B5A">
        <w:t xml:space="preserve">The assessment will include the following measures: </w:t>
      </w:r>
      <w:r w:rsidR="00972C73">
        <w:t>M</w:t>
      </w:r>
      <w:r w:rsidR="00E420DD">
        <w:t>edical Record Patient Encounter</w:t>
      </w:r>
      <w:r w:rsidR="00972C73">
        <w:t>, Learner Self-Assessment Modified Interpersonal Skills Inventory/</w:t>
      </w:r>
      <w:r w:rsidR="00DE0B5A">
        <w:t xml:space="preserve">, </w:t>
      </w:r>
      <w:r w:rsidR="00E420DD">
        <w:t>Knowledge and Competency Measure</w:t>
      </w:r>
      <w:r w:rsidR="00DE0B5A">
        <w:t xml:space="preserve">, and </w:t>
      </w:r>
      <w:r w:rsidR="00E420DD">
        <w:t>Participant Attitude Measure</w:t>
      </w:r>
      <w:r w:rsidR="00DE0B5A">
        <w:t xml:space="preserve">.  </w:t>
      </w:r>
      <w:r w:rsidR="00315113">
        <w:t>The measures used in the evaluation will first be pilot tested with a small sample of the population</w:t>
      </w:r>
      <w:r w:rsidR="00DE0B5A">
        <w:t xml:space="preserve"> (n</w:t>
      </w:r>
      <w:r w:rsidR="00DE0B5A" w:rsidRPr="00DE0B5A">
        <w:rPr>
          <w:u w:val="single"/>
        </w:rPr>
        <w:t>&lt;</w:t>
      </w:r>
      <w:r w:rsidR="00DE0B5A">
        <w:t>9)</w:t>
      </w:r>
      <w:r w:rsidR="00315113">
        <w:t>. The data from this pilot test will be analyzed for internal reliability and to eliminate knowledge questions that a high percentage (85%) can answer correctly without being exposed to the program</w:t>
      </w:r>
      <w:r w:rsidR="00315113">
        <w:rPr>
          <w:i/>
          <w:iCs/>
        </w:rPr>
        <w:t xml:space="preserve">. </w:t>
      </w:r>
    </w:p>
    <w:p w:rsidR="00315113" w:rsidRPr="00315113" w:rsidRDefault="00315113" w:rsidP="00315113">
      <w:pPr>
        <w:pStyle w:val="Heading2"/>
      </w:pPr>
      <w:bookmarkStart w:id="11" w:name="_Toc250977545"/>
      <w:r>
        <w:lastRenderedPageBreak/>
        <w:t>B.5</w:t>
      </w:r>
      <w:r w:rsidR="00DF6D29">
        <w:t xml:space="preserve">. </w:t>
      </w:r>
      <w:bookmarkEnd w:id="10"/>
      <w:r w:rsidR="009F0569">
        <w:t>INDIVIDUALS CONSULTED ON STATISTICAL ASPECTS AND INDIVIDUALS COLLECTING AND/OR ANALYZING DATA</w:t>
      </w:r>
      <w:bookmarkEnd w:id="11"/>
    </w:p>
    <w:p w:rsidR="00315113" w:rsidRDefault="00315113" w:rsidP="00315113">
      <w:pPr>
        <w:pStyle w:val="NormalWeb"/>
        <w:spacing w:before="115" w:beforeAutospacing="0" w:after="0" w:line="480" w:lineRule="auto"/>
        <w:ind w:firstLine="706"/>
      </w:pPr>
      <w:r>
        <w:t xml:space="preserve">The NIDA Project Officer is </w:t>
      </w:r>
      <w:proofErr w:type="spellStart"/>
      <w:r>
        <w:t>Quandra</w:t>
      </w:r>
      <w:proofErr w:type="spellEnd"/>
      <w:r>
        <w:t xml:space="preserve"> Scudder. Ms. Scudder will review the final report, </w:t>
      </w:r>
      <w:r w:rsidR="009F0569">
        <w:t>including data analysis. Table B.5-1</w:t>
      </w:r>
      <w:r>
        <w:t xml:space="preserve"> below shows the individuals who will be consulted on data analysis or will collect and analyze data:</w:t>
      </w:r>
    </w:p>
    <w:p w:rsidR="00315113" w:rsidRPr="00012007" w:rsidRDefault="003167B9" w:rsidP="00315113">
      <w:pPr>
        <w:keepNext/>
        <w:widowControl/>
        <w:rPr>
          <w:bCs/>
          <w:i/>
          <w:sz w:val="24"/>
          <w:szCs w:val="24"/>
        </w:rPr>
      </w:pPr>
      <w:r>
        <w:rPr>
          <w:bCs/>
          <w:i/>
          <w:sz w:val="24"/>
          <w:szCs w:val="24"/>
        </w:rPr>
        <w:t>Table B</w:t>
      </w:r>
      <w:r w:rsidR="00CB1020">
        <w:rPr>
          <w:bCs/>
          <w:i/>
          <w:sz w:val="24"/>
          <w:szCs w:val="24"/>
        </w:rPr>
        <w:t>.5-1</w:t>
      </w:r>
      <w:r w:rsidR="00315113" w:rsidRPr="00012007">
        <w:rPr>
          <w:bCs/>
          <w:i/>
          <w:sz w:val="24"/>
          <w:szCs w:val="24"/>
        </w:rPr>
        <w:t>: Data Collection and Analysis</w:t>
      </w:r>
    </w:p>
    <w:tbl>
      <w:tblPr>
        <w:tblStyle w:val="LightGrid1"/>
        <w:tblW w:w="0" w:type="auto"/>
        <w:tblLook w:val="04A0"/>
      </w:tblPr>
      <w:tblGrid>
        <w:gridCol w:w="1752"/>
        <w:gridCol w:w="2456"/>
        <w:gridCol w:w="1822"/>
        <w:gridCol w:w="1797"/>
        <w:gridCol w:w="1749"/>
      </w:tblGrid>
      <w:tr w:rsidR="00315113" w:rsidTr="00B9064F">
        <w:trPr>
          <w:cnfStyle w:val="100000000000"/>
        </w:trPr>
        <w:tc>
          <w:tcPr>
            <w:cnfStyle w:val="001000000000"/>
            <w:tcW w:w="1915" w:type="dxa"/>
          </w:tcPr>
          <w:p w:rsidR="00315113" w:rsidRPr="00315113" w:rsidRDefault="00315113" w:rsidP="00B9064F">
            <w:pPr>
              <w:keepNext/>
              <w:widowControl/>
              <w:spacing w:line="240" w:lineRule="auto"/>
            </w:pPr>
            <w:r>
              <w:t>Name</w:t>
            </w:r>
          </w:p>
        </w:tc>
        <w:tc>
          <w:tcPr>
            <w:tcW w:w="1915" w:type="dxa"/>
            <w:vAlign w:val="bottom"/>
          </w:tcPr>
          <w:p w:rsidR="00315113" w:rsidRPr="00315113" w:rsidRDefault="00315113" w:rsidP="00B9064F">
            <w:pPr>
              <w:keepNext/>
              <w:widowControl/>
              <w:cnfStyle w:val="100000000000"/>
            </w:pPr>
            <w:r w:rsidRPr="00315113">
              <w:t>Title</w:t>
            </w:r>
          </w:p>
        </w:tc>
        <w:tc>
          <w:tcPr>
            <w:tcW w:w="1915" w:type="dxa"/>
            <w:vAlign w:val="bottom"/>
          </w:tcPr>
          <w:p w:rsidR="00315113" w:rsidRPr="00315113" w:rsidRDefault="00315113" w:rsidP="00315113">
            <w:pPr>
              <w:keepNext/>
              <w:widowControl/>
              <w:cnfStyle w:val="100000000000"/>
            </w:pPr>
            <w:r w:rsidRPr="00315113">
              <w:t>Affiliation</w:t>
            </w:r>
          </w:p>
        </w:tc>
        <w:tc>
          <w:tcPr>
            <w:tcW w:w="1915" w:type="dxa"/>
            <w:vAlign w:val="bottom"/>
          </w:tcPr>
          <w:p w:rsidR="00315113" w:rsidRPr="00315113" w:rsidRDefault="00315113" w:rsidP="00315113">
            <w:pPr>
              <w:keepNext/>
              <w:widowControl/>
              <w:cnfStyle w:val="100000000000"/>
            </w:pPr>
            <w:r w:rsidRPr="00315113">
              <w:t>Statistical Role</w:t>
            </w:r>
          </w:p>
        </w:tc>
        <w:tc>
          <w:tcPr>
            <w:tcW w:w="1916" w:type="dxa"/>
            <w:vAlign w:val="bottom"/>
          </w:tcPr>
          <w:p w:rsidR="00315113" w:rsidRPr="00315113" w:rsidRDefault="00315113" w:rsidP="00315113">
            <w:pPr>
              <w:keepNext/>
              <w:widowControl/>
              <w:cnfStyle w:val="100000000000"/>
            </w:pPr>
            <w:r w:rsidRPr="00315113">
              <w:t>Phone Number</w:t>
            </w:r>
          </w:p>
        </w:tc>
      </w:tr>
      <w:tr w:rsidR="00315113" w:rsidTr="00315113">
        <w:trPr>
          <w:cnfStyle w:val="000000100000"/>
        </w:trPr>
        <w:tc>
          <w:tcPr>
            <w:cnfStyle w:val="001000000000"/>
            <w:tcW w:w="1915" w:type="dxa"/>
          </w:tcPr>
          <w:p w:rsidR="00315113" w:rsidRPr="00AE0CB9" w:rsidRDefault="00B9064F" w:rsidP="00B9064F">
            <w:pPr>
              <w:keepNext/>
              <w:widowControl/>
              <w:spacing w:line="240" w:lineRule="auto"/>
              <w:rPr>
                <w:b w:val="0"/>
                <w:sz w:val="24"/>
                <w:szCs w:val="24"/>
              </w:rPr>
            </w:pPr>
            <w:r w:rsidRPr="00AE0CB9">
              <w:rPr>
                <w:b w:val="0"/>
                <w:sz w:val="24"/>
                <w:szCs w:val="24"/>
              </w:rPr>
              <w:t>T. Bradley Tanner, MD</w:t>
            </w:r>
          </w:p>
        </w:tc>
        <w:tc>
          <w:tcPr>
            <w:tcW w:w="1915" w:type="dxa"/>
          </w:tcPr>
          <w:p w:rsidR="00315113" w:rsidRPr="00AE0CB9" w:rsidRDefault="00B9064F" w:rsidP="00B9064F">
            <w:pPr>
              <w:keepNext/>
              <w:widowControl/>
              <w:spacing w:line="240" w:lineRule="auto"/>
              <w:cnfStyle w:val="000000100000"/>
              <w:rPr>
                <w:sz w:val="24"/>
                <w:szCs w:val="24"/>
              </w:rPr>
            </w:pPr>
            <w:r w:rsidRPr="00AE0CB9">
              <w:rPr>
                <w:sz w:val="24"/>
                <w:szCs w:val="24"/>
              </w:rPr>
              <w:t>Primary Investigator</w:t>
            </w:r>
          </w:p>
        </w:tc>
        <w:tc>
          <w:tcPr>
            <w:tcW w:w="1915" w:type="dxa"/>
          </w:tcPr>
          <w:p w:rsidR="00315113" w:rsidRPr="00AE0CB9" w:rsidRDefault="00B9064F" w:rsidP="00B9064F">
            <w:pPr>
              <w:keepNext/>
              <w:widowControl/>
              <w:spacing w:line="240" w:lineRule="auto"/>
              <w:cnfStyle w:val="000000100000"/>
              <w:rPr>
                <w:sz w:val="24"/>
                <w:szCs w:val="24"/>
              </w:rPr>
            </w:pPr>
            <w:r w:rsidRPr="00AE0CB9">
              <w:rPr>
                <w:sz w:val="24"/>
                <w:szCs w:val="24"/>
              </w:rPr>
              <w:t>Clinical Tools, Inc.</w:t>
            </w:r>
          </w:p>
        </w:tc>
        <w:tc>
          <w:tcPr>
            <w:tcW w:w="1915" w:type="dxa"/>
          </w:tcPr>
          <w:p w:rsidR="00315113" w:rsidRPr="00AE0CB9" w:rsidRDefault="00B9064F" w:rsidP="00B9064F">
            <w:pPr>
              <w:pStyle w:val="NormalWeb"/>
              <w:spacing w:after="0"/>
              <w:cnfStyle w:val="000000100000"/>
            </w:pPr>
            <w:r w:rsidRPr="00AE0CB9">
              <w:t xml:space="preserve">Data Collection and Analysis </w:t>
            </w:r>
          </w:p>
        </w:tc>
        <w:tc>
          <w:tcPr>
            <w:tcW w:w="1916" w:type="dxa"/>
          </w:tcPr>
          <w:p w:rsidR="00B9064F" w:rsidRPr="00AE0CB9" w:rsidRDefault="00B9064F" w:rsidP="00B9064F">
            <w:pPr>
              <w:pStyle w:val="NormalWeb"/>
              <w:spacing w:after="0"/>
              <w:cnfStyle w:val="000000100000"/>
            </w:pPr>
            <w:r w:rsidRPr="00AE0CB9">
              <w:t>919-960-8118</w:t>
            </w:r>
          </w:p>
          <w:p w:rsidR="00315113" w:rsidRPr="00AE0CB9" w:rsidRDefault="00315113" w:rsidP="00B9064F">
            <w:pPr>
              <w:keepNext/>
              <w:widowControl/>
              <w:spacing w:line="240" w:lineRule="auto"/>
              <w:cnfStyle w:val="000000100000"/>
              <w:rPr>
                <w:sz w:val="24"/>
                <w:szCs w:val="24"/>
              </w:rPr>
            </w:pPr>
          </w:p>
        </w:tc>
      </w:tr>
      <w:tr w:rsidR="00315113" w:rsidTr="00315113">
        <w:trPr>
          <w:cnfStyle w:val="000000010000"/>
        </w:trPr>
        <w:tc>
          <w:tcPr>
            <w:cnfStyle w:val="001000000000"/>
            <w:tcW w:w="1915" w:type="dxa"/>
          </w:tcPr>
          <w:p w:rsidR="00315113" w:rsidRPr="00AE0CB9" w:rsidRDefault="00154728" w:rsidP="00154728">
            <w:pPr>
              <w:pStyle w:val="NormalWeb"/>
              <w:spacing w:after="0"/>
              <w:rPr>
                <w:b w:val="0"/>
              </w:rPr>
            </w:pPr>
            <w:r w:rsidRPr="00AE0CB9">
              <w:rPr>
                <w:b w:val="0"/>
              </w:rPr>
              <w:t>Mary P. Metcalf, PhD, CHES</w:t>
            </w:r>
          </w:p>
        </w:tc>
        <w:tc>
          <w:tcPr>
            <w:tcW w:w="1915" w:type="dxa"/>
          </w:tcPr>
          <w:p w:rsidR="00315113" w:rsidRPr="00AE0CB9" w:rsidRDefault="00154728" w:rsidP="00B9064F">
            <w:pPr>
              <w:keepNext/>
              <w:widowControl/>
              <w:spacing w:line="240" w:lineRule="auto"/>
              <w:cnfStyle w:val="000000010000"/>
              <w:rPr>
                <w:sz w:val="24"/>
                <w:szCs w:val="24"/>
              </w:rPr>
            </w:pPr>
            <w:r w:rsidRPr="00AE0CB9">
              <w:rPr>
                <w:sz w:val="24"/>
                <w:szCs w:val="24"/>
              </w:rPr>
              <w:t>Research Scientist</w:t>
            </w:r>
          </w:p>
        </w:tc>
        <w:tc>
          <w:tcPr>
            <w:tcW w:w="1915" w:type="dxa"/>
          </w:tcPr>
          <w:p w:rsidR="00315113" w:rsidRPr="00AE0CB9" w:rsidRDefault="00B9064F" w:rsidP="00B9064F">
            <w:pPr>
              <w:keepNext/>
              <w:widowControl/>
              <w:spacing w:line="240" w:lineRule="auto"/>
              <w:cnfStyle w:val="000000010000"/>
              <w:rPr>
                <w:sz w:val="24"/>
                <w:szCs w:val="24"/>
              </w:rPr>
            </w:pPr>
            <w:r w:rsidRPr="00AE0CB9">
              <w:rPr>
                <w:sz w:val="24"/>
                <w:szCs w:val="24"/>
              </w:rPr>
              <w:t>Clinical Tools, Inc.</w:t>
            </w:r>
          </w:p>
        </w:tc>
        <w:tc>
          <w:tcPr>
            <w:tcW w:w="1915" w:type="dxa"/>
          </w:tcPr>
          <w:p w:rsidR="00B9064F" w:rsidRPr="00AE0CB9" w:rsidRDefault="00B9064F" w:rsidP="00B9064F">
            <w:pPr>
              <w:pStyle w:val="NormalWeb"/>
              <w:spacing w:after="0"/>
              <w:cnfStyle w:val="000000010000"/>
            </w:pPr>
            <w:r w:rsidRPr="00AE0CB9">
              <w:t xml:space="preserve">Data Analysis </w:t>
            </w:r>
          </w:p>
          <w:p w:rsidR="00315113" w:rsidRPr="00AE0CB9" w:rsidRDefault="00315113" w:rsidP="00B9064F">
            <w:pPr>
              <w:keepNext/>
              <w:widowControl/>
              <w:spacing w:line="240" w:lineRule="auto"/>
              <w:cnfStyle w:val="000000010000"/>
              <w:rPr>
                <w:sz w:val="24"/>
                <w:szCs w:val="24"/>
              </w:rPr>
            </w:pPr>
          </w:p>
        </w:tc>
        <w:tc>
          <w:tcPr>
            <w:tcW w:w="1916" w:type="dxa"/>
          </w:tcPr>
          <w:p w:rsidR="00B9064F" w:rsidRPr="00AE0CB9" w:rsidRDefault="00B9064F" w:rsidP="00B9064F">
            <w:pPr>
              <w:pStyle w:val="NormalWeb"/>
              <w:spacing w:after="0"/>
              <w:cnfStyle w:val="000000010000"/>
            </w:pPr>
            <w:r w:rsidRPr="00AE0CB9">
              <w:t>919-960-8118</w:t>
            </w:r>
          </w:p>
          <w:p w:rsidR="00315113" w:rsidRPr="00AE0CB9" w:rsidRDefault="00315113" w:rsidP="00B9064F">
            <w:pPr>
              <w:keepNext/>
              <w:widowControl/>
              <w:spacing w:line="240" w:lineRule="auto"/>
              <w:cnfStyle w:val="000000010000"/>
              <w:rPr>
                <w:sz w:val="24"/>
                <w:szCs w:val="24"/>
              </w:rPr>
            </w:pPr>
          </w:p>
        </w:tc>
      </w:tr>
      <w:tr w:rsidR="00315113" w:rsidTr="00315113">
        <w:trPr>
          <w:cnfStyle w:val="000000100000"/>
        </w:trPr>
        <w:tc>
          <w:tcPr>
            <w:cnfStyle w:val="001000000000"/>
            <w:tcW w:w="1915" w:type="dxa"/>
          </w:tcPr>
          <w:p w:rsidR="00315113" w:rsidRPr="00AE0CB9" w:rsidRDefault="00154728" w:rsidP="00154728">
            <w:pPr>
              <w:pStyle w:val="NormalWeb"/>
              <w:spacing w:after="0"/>
              <w:rPr>
                <w:b w:val="0"/>
              </w:rPr>
            </w:pPr>
            <w:r w:rsidRPr="00AE0CB9">
              <w:rPr>
                <w:b w:val="0"/>
              </w:rPr>
              <w:t xml:space="preserve">Karen </w:t>
            </w:r>
            <w:proofErr w:type="spellStart"/>
            <w:r w:rsidRPr="00AE0CB9">
              <w:rPr>
                <w:b w:val="0"/>
              </w:rPr>
              <w:t>Rossie</w:t>
            </w:r>
            <w:proofErr w:type="spellEnd"/>
            <w:r w:rsidRPr="00AE0CB9">
              <w:rPr>
                <w:b w:val="0"/>
              </w:rPr>
              <w:t>, DMD, PhD</w:t>
            </w:r>
          </w:p>
        </w:tc>
        <w:tc>
          <w:tcPr>
            <w:tcW w:w="1915" w:type="dxa"/>
          </w:tcPr>
          <w:p w:rsidR="00315113" w:rsidRPr="00AE0CB9" w:rsidRDefault="00154728" w:rsidP="00B9064F">
            <w:pPr>
              <w:keepNext/>
              <w:widowControl/>
              <w:spacing w:line="240" w:lineRule="auto"/>
              <w:cnfStyle w:val="000000100000"/>
              <w:rPr>
                <w:sz w:val="24"/>
                <w:szCs w:val="24"/>
              </w:rPr>
            </w:pPr>
            <w:r w:rsidRPr="00AE0CB9">
              <w:rPr>
                <w:sz w:val="24"/>
                <w:szCs w:val="24"/>
              </w:rPr>
              <w:t>Research Scientist</w:t>
            </w:r>
          </w:p>
        </w:tc>
        <w:tc>
          <w:tcPr>
            <w:tcW w:w="1915" w:type="dxa"/>
          </w:tcPr>
          <w:p w:rsidR="00315113" w:rsidRPr="00AE0CB9" w:rsidRDefault="00B9064F" w:rsidP="00B9064F">
            <w:pPr>
              <w:keepNext/>
              <w:widowControl/>
              <w:spacing w:line="240" w:lineRule="auto"/>
              <w:cnfStyle w:val="000000100000"/>
              <w:rPr>
                <w:sz w:val="24"/>
                <w:szCs w:val="24"/>
              </w:rPr>
            </w:pPr>
            <w:r w:rsidRPr="00AE0CB9">
              <w:rPr>
                <w:sz w:val="24"/>
                <w:szCs w:val="24"/>
              </w:rPr>
              <w:t>Clinical Tools, Inc.</w:t>
            </w:r>
          </w:p>
        </w:tc>
        <w:tc>
          <w:tcPr>
            <w:tcW w:w="1915" w:type="dxa"/>
          </w:tcPr>
          <w:p w:rsidR="00315113" w:rsidRPr="00AE0CB9" w:rsidRDefault="00B9064F" w:rsidP="00B9064F">
            <w:pPr>
              <w:pStyle w:val="NormalWeb"/>
              <w:spacing w:after="0"/>
              <w:cnfStyle w:val="000000100000"/>
            </w:pPr>
            <w:r w:rsidRPr="00AE0CB9">
              <w:t xml:space="preserve">Data Collection and Analysis </w:t>
            </w:r>
          </w:p>
        </w:tc>
        <w:tc>
          <w:tcPr>
            <w:tcW w:w="1916" w:type="dxa"/>
          </w:tcPr>
          <w:p w:rsidR="00B9064F" w:rsidRPr="00AE0CB9" w:rsidRDefault="00B9064F" w:rsidP="00B9064F">
            <w:pPr>
              <w:pStyle w:val="NormalWeb"/>
              <w:spacing w:after="0"/>
              <w:cnfStyle w:val="000000100000"/>
            </w:pPr>
            <w:r w:rsidRPr="00AE0CB9">
              <w:t>919-960-8118</w:t>
            </w:r>
          </w:p>
          <w:p w:rsidR="00315113" w:rsidRPr="00AE0CB9" w:rsidRDefault="00315113" w:rsidP="00B9064F">
            <w:pPr>
              <w:keepNext/>
              <w:widowControl/>
              <w:spacing w:line="240" w:lineRule="auto"/>
              <w:cnfStyle w:val="000000100000"/>
              <w:rPr>
                <w:sz w:val="24"/>
                <w:szCs w:val="24"/>
              </w:rPr>
            </w:pPr>
          </w:p>
        </w:tc>
      </w:tr>
      <w:tr w:rsidR="00315113" w:rsidTr="00315113">
        <w:trPr>
          <w:cnfStyle w:val="000000010000"/>
        </w:trPr>
        <w:tc>
          <w:tcPr>
            <w:cnfStyle w:val="001000000000"/>
            <w:tcW w:w="1915" w:type="dxa"/>
          </w:tcPr>
          <w:p w:rsidR="00154728" w:rsidRPr="00AE0CB9" w:rsidRDefault="00154728" w:rsidP="00154728">
            <w:pPr>
              <w:pStyle w:val="NormalWeb"/>
              <w:spacing w:after="0"/>
              <w:rPr>
                <w:b w:val="0"/>
              </w:rPr>
            </w:pPr>
            <w:r w:rsidRPr="00AE0CB9">
              <w:rPr>
                <w:b w:val="0"/>
              </w:rPr>
              <w:t>Tracy Shaw, MA</w:t>
            </w:r>
          </w:p>
          <w:p w:rsidR="00315113" w:rsidRPr="00AE0CB9" w:rsidRDefault="00315113" w:rsidP="00B9064F">
            <w:pPr>
              <w:keepNext/>
              <w:widowControl/>
              <w:spacing w:line="240" w:lineRule="auto"/>
              <w:rPr>
                <w:b w:val="0"/>
                <w:sz w:val="24"/>
                <w:szCs w:val="24"/>
              </w:rPr>
            </w:pPr>
          </w:p>
        </w:tc>
        <w:tc>
          <w:tcPr>
            <w:tcW w:w="1915" w:type="dxa"/>
          </w:tcPr>
          <w:p w:rsidR="00315113" w:rsidRPr="00AE0CB9" w:rsidRDefault="00154728" w:rsidP="00B9064F">
            <w:pPr>
              <w:keepNext/>
              <w:widowControl/>
              <w:spacing w:line="240" w:lineRule="auto"/>
              <w:cnfStyle w:val="000000010000"/>
              <w:rPr>
                <w:sz w:val="24"/>
                <w:szCs w:val="24"/>
              </w:rPr>
            </w:pPr>
            <w:r w:rsidRPr="00AE0CB9">
              <w:rPr>
                <w:sz w:val="24"/>
                <w:szCs w:val="24"/>
              </w:rPr>
              <w:t>Evaluation/Assessment Consultant</w:t>
            </w:r>
          </w:p>
        </w:tc>
        <w:tc>
          <w:tcPr>
            <w:tcW w:w="1915" w:type="dxa"/>
          </w:tcPr>
          <w:p w:rsidR="00315113" w:rsidRPr="00AE0CB9" w:rsidRDefault="00154728" w:rsidP="00B9064F">
            <w:pPr>
              <w:keepNext/>
              <w:widowControl/>
              <w:spacing w:line="240" w:lineRule="auto"/>
              <w:cnfStyle w:val="000000010000"/>
              <w:rPr>
                <w:sz w:val="24"/>
                <w:szCs w:val="24"/>
              </w:rPr>
            </w:pPr>
            <w:r w:rsidRPr="00AE0CB9">
              <w:rPr>
                <w:sz w:val="24"/>
                <w:szCs w:val="24"/>
              </w:rPr>
              <w:t>Independent Consultant</w:t>
            </w:r>
          </w:p>
        </w:tc>
        <w:tc>
          <w:tcPr>
            <w:tcW w:w="1915" w:type="dxa"/>
          </w:tcPr>
          <w:p w:rsidR="00315113" w:rsidRPr="00AE0CB9" w:rsidRDefault="00B9064F" w:rsidP="00501A90">
            <w:pPr>
              <w:pStyle w:val="NormalWeb"/>
              <w:spacing w:after="0"/>
              <w:cnfStyle w:val="000000010000"/>
            </w:pPr>
            <w:r w:rsidRPr="00AE0CB9">
              <w:t xml:space="preserve">Consulting on Data Collection and Analysis </w:t>
            </w:r>
          </w:p>
        </w:tc>
        <w:tc>
          <w:tcPr>
            <w:tcW w:w="1916" w:type="dxa"/>
          </w:tcPr>
          <w:p w:rsidR="00B9064F" w:rsidRPr="00AE0CB9" w:rsidRDefault="00AE0CB9" w:rsidP="00B9064F">
            <w:pPr>
              <w:pStyle w:val="NormalWeb"/>
              <w:spacing w:after="0"/>
              <w:cnfStyle w:val="000000010000"/>
            </w:pPr>
            <w:r>
              <w:t>541</w:t>
            </w:r>
            <w:r w:rsidR="00012007" w:rsidRPr="00AE0CB9">
              <w:t>-</w:t>
            </w:r>
            <w:r w:rsidR="00B9064F" w:rsidRPr="00AE0CB9">
              <w:t>285-7945</w:t>
            </w:r>
          </w:p>
          <w:p w:rsidR="00315113" w:rsidRPr="00AE0CB9" w:rsidRDefault="00315113" w:rsidP="00B9064F">
            <w:pPr>
              <w:keepNext/>
              <w:widowControl/>
              <w:spacing w:line="240" w:lineRule="auto"/>
              <w:cnfStyle w:val="000000010000"/>
              <w:rPr>
                <w:sz w:val="24"/>
                <w:szCs w:val="24"/>
              </w:rPr>
            </w:pPr>
          </w:p>
        </w:tc>
      </w:tr>
    </w:tbl>
    <w:p w:rsidR="00671D63" w:rsidRDefault="00671D63" w:rsidP="00671D63">
      <w:pPr>
        <w:pStyle w:val="NormalWeb"/>
        <w:spacing w:before="0" w:beforeAutospacing="0" w:after="0"/>
      </w:pPr>
    </w:p>
    <w:p w:rsidR="00315113" w:rsidRDefault="00315113" w:rsidP="00671D63">
      <w:pPr>
        <w:pStyle w:val="NormalWeb"/>
        <w:spacing w:before="0" w:beforeAutospacing="0" w:after="0"/>
      </w:pPr>
      <w:r>
        <w:t xml:space="preserve">In addition, research assistants at CTI will also assist with data collection and analysis. </w:t>
      </w:r>
    </w:p>
    <w:p w:rsidR="00B97EDC" w:rsidRDefault="00B97EDC" w:rsidP="00B97EDC">
      <w:pPr>
        <w:pStyle w:val="Heading1"/>
      </w:pPr>
    </w:p>
    <w:p w:rsidR="00B97EDC" w:rsidRDefault="00B97EDC" w:rsidP="00671D63">
      <w:pPr>
        <w:pStyle w:val="NormalWeb"/>
        <w:spacing w:before="0" w:beforeAutospacing="0" w:after="0"/>
      </w:pPr>
    </w:p>
    <w:p w:rsidR="00DF6D29" w:rsidRDefault="00DF6D29" w:rsidP="00315113">
      <w:pPr>
        <w:tabs>
          <w:tab w:val="left" w:pos="0"/>
        </w:tabs>
      </w:pPr>
      <w:r>
        <w:tab/>
      </w:r>
    </w:p>
    <w:p w:rsidR="00DF6D29" w:rsidRDefault="00DF6D29" w:rsidP="00DF6D29"/>
    <w:p w:rsidR="00DF6D29" w:rsidRDefault="00DF6D29" w:rsidP="00DF6D29"/>
    <w:p w:rsidR="00DF6D29" w:rsidRPr="00D034F5" w:rsidRDefault="00DF6D29" w:rsidP="00DF6D29">
      <w:pPr>
        <w:pStyle w:val="Heading1"/>
        <w:numPr>
          <w:ilvl w:val="0"/>
          <w:numId w:val="0"/>
        </w:numPr>
        <w:rPr>
          <w:sz w:val="24"/>
          <w:u w:val="none"/>
        </w:rPr>
      </w:pPr>
    </w:p>
    <w:p w:rsidR="00DF6D29" w:rsidRDefault="00DF6D29" w:rsidP="00DF6D29"/>
    <w:p w:rsidR="00DF6D29" w:rsidRDefault="00DF6D29" w:rsidP="00DF6D29"/>
    <w:p w:rsidR="00852CDB" w:rsidRDefault="00852CDB"/>
    <w:sectPr w:rsidR="00852CDB" w:rsidSect="009E3DDD">
      <w:footerReference w:type="default" r:id="rId10"/>
      <w:footnotePr>
        <w:pos w:val="beneathText"/>
      </w:footnotePr>
      <w:type w:val="continuous"/>
      <w:pgSz w:w="12240" w:h="15840"/>
      <w:pgMar w:top="1440" w:right="1440" w:bottom="1296" w:left="1440" w:header="720" w:footer="720"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C73" w:rsidRDefault="00972C73" w:rsidP="00BB2949">
      <w:pPr>
        <w:spacing w:line="240" w:lineRule="auto"/>
      </w:pPr>
      <w:r>
        <w:separator/>
      </w:r>
    </w:p>
  </w:endnote>
  <w:endnote w:type="continuationSeparator" w:id="1">
    <w:p w:rsidR="00972C73" w:rsidRDefault="00972C73" w:rsidP="00BB29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panose1 w:val="020407030505060202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3596"/>
      <w:docPartObj>
        <w:docPartGallery w:val="Page Numbers (Bottom of Page)"/>
        <w:docPartUnique/>
      </w:docPartObj>
    </w:sdtPr>
    <w:sdtContent>
      <w:p w:rsidR="00972C73" w:rsidRDefault="005403E9">
        <w:pPr>
          <w:pStyle w:val="Footer"/>
          <w:jc w:val="center"/>
        </w:pPr>
        <w:fldSimple w:instr=" PAGE   \* MERGEFORMAT ">
          <w:r w:rsidR="001C4947">
            <w:rPr>
              <w:noProof/>
            </w:rPr>
            <w:t>6</w:t>
          </w:r>
        </w:fldSimple>
      </w:p>
    </w:sdtContent>
  </w:sdt>
  <w:p w:rsidR="00972C73" w:rsidRDefault="00972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C73" w:rsidRDefault="00972C73" w:rsidP="00BB2949">
      <w:pPr>
        <w:spacing w:line="240" w:lineRule="auto"/>
      </w:pPr>
      <w:r>
        <w:separator/>
      </w:r>
    </w:p>
  </w:footnote>
  <w:footnote w:type="continuationSeparator" w:id="1">
    <w:p w:rsidR="00972C73" w:rsidRDefault="00972C73" w:rsidP="00BB29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pos w:val="beneathText"/>
    <w:footnote w:id="0"/>
    <w:footnote w:id="1"/>
  </w:footnotePr>
  <w:endnotePr>
    <w:endnote w:id="0"/>
    <w:endnote w:id="1"/>
  </w:endnotePr>
  <w:compat/>
  <w:rsids>
    <w:rsidRoot w:val="00DF6D29"/>
    <w:rsid w:val="00012007"/>
    <w:rsid w:val="00137113"/>
    <w:rsid w:val="00154728"/>
    <w:rsid w:val="001C4947"/>
    <w:rsid w:val="00252650"/>
    <w:rsid w:val="002F3EE0"/>
    <w:rsid w:val="00315113"/>
    <w:rsid w:val="003167B9"/>
    <w:rsid w:val="0035607D"/>
    <w:rsid w:val="003E5D8E"/>
    <w:rsid w:val="00423D57"/>
    <w:rsid w:val="004A3B31"/>
    <w:rsid w:val="00501A90"/>
    <w:rsid w:val="005403E9"/>
    <w:rsid w:val="00671D63"/>
    <w:rsid w:val="006735E8"/>
    <w:rsid w:val="00673E90"/>
    <w:rsid w:val="006E5936"/>
    <w:rsid w:val="00775DE6"/>
    <w:rsid w:val="00852CDB"/>
    <w:rsid w:val="00901717"/>
    <w:rsid w:val="00972C73"/>
    <w:rsid w:val="009A5513"/>
    <w:rsid w:val="009E3DDD"/>
    <w:rsid w:val="009F0569"/>
    <w:rsid w:val="00A36D6E"/>
    <w:rsid w:val="00A42CFA"/>
    <w:rsid w:val="00AB0035"/>
    <w:rsid w:val="00AE0CB9"/>
    <w:rsid w:val="00B52007"/>
    <w:rsid w:val="00B9064F"/>
    <w:rsid w:val="00B97EDC"/>
    <w:rsid w:val="00BA6EA3"/>
    <w:rsid w:val="00BB2949"/>
    <w:rsid w:val="00BC7BC0"/>
    <w:rsid w:val="00BF376A"/>
    <w:rsid w:val="00CB1020"/>
    <w:rsid w:val="00D91071"/>
    <w:rsid w:val="00D93A6E"/>
    <w:rsid w:val="00DE0B5A"/>
    <w:rsid w:val="00DF6D29"/>
    <w:rsid w:val="00E420DD"/>
    <w:rsid w:val="00E42933"/>
    <w:rsid w:val="00E667AC"/>
    <w:rsid w:val="00F75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29"/>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DF6D29"/>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DF6D29"/>
    <w:pPr>
      <w:keepNext/>
      <w:numPr>
        <w:ilvl w:val="1"/>
        <w:numId w:val="1"/>
      </w:numPr>
      <w:outlineLvl w:val="1"/>
    </w:pPr>
    <w:rPr>
      <w:b/>
    </w:rPr>
  </w:style>
  <w:style w:type="paragraph" w:styleId="Heading3">
    <w:name w:val="heading 3"/>
    <w:basedOn w:val="Normal"/>
    <w:next w:val="BodyText"/>
    <w:link w:val="Heading3Char"/>
    <w:qFormat/>
    <w:rsid w:val="00DF6D29"/>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DF6D29"/>
    <w:pPr>
      <w:keepNext/>
      <w:numPr>
        <w:ilvl w:val="3"/>
        <w:numId w:val="1"/>
      </w:numPr>
      <w:outlineLvl w:val="3"/>
    </w:pPr>
    <w:rPr>
      <w:sz w:val="25"/>
      <w:u w:val="single"/>
    </w:rPr>
  </w:style>
  <w:style w:type="paragraph" w:styleId="Heading5">
    <w:name w:val="heading 5"/>
    <w:basedOn w:val="Normal"/>
    <w:next w:val="BodyText"/>
    <w:link w:val="Heading5Char"/>
    <w:qFormat/>
    <w:rsid w:val="00DF6D29"/>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D29"/>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DF6D29"/>
    <w:rPr>
      <w:rFonts w:ascii="Times New Roman" w:eastAsia="Times New Roman" w:hAnsi="Times New Roman" w:cs="Times New Roman"/>
      <w:b/>
      <w:szCs w:val="20"/>
    </w:rPr>
  </w:style>
  <w:style w:type="character" w:customStyle="1" w:styleId="Heading3Char">
    <w:name w:val="Heading 3 Char"/>
    <w:basedOn w:val="DefaultParagraphFont"/>
    <w:link w:val="Heading3"/>
    <w:rsid w:val="00DF6D29"/>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DF6D29"/>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DF6D29"/>
    <w:rPr>
      <w:rFonts w:ascii="Arial" w:eastAsia="Times New Roman" w:hAnsi="Arial" w:cs="Times New Roman"/>
      <w:b/>
      <w:sz w:val="24"/>
      <w:szCs w:val="20"/>
    </w:rPr>
  </w:style>
  <w:style w:type="character" w:styleId="Hyperlink">
    <w:name w:val="Hyperlink"/>
    <w:uiPriority w:val="99"/>
    <w:rsid w:val="00DF6D29"/>
    <w:rPr>
      <w:color w:val="000080"/>
      <w:u w:val="single"/>
    </w:rPr>
  </w:style>
  <w:style w:type="paragraph" w:customStyle="1" w:styleId="WW-BodyText2">
    <w:name w:val="WW-Body Text 2"/>
    <w:basedOn w:val="Normal"/>
    <w:rsid w:val="00DF6D29"/>
    <w:rPr>
      <w:rFonts w:ascii="Arial" w:hAnsi="Arial"/>
    </w:rPr>
  </w:style>
  <w:style w:type="paragraph" w:customStyle="1" w:styleId="Table">
    <w:name w:val="Table"/>
    <w:basedOn w:val="Caption"/>
    <w:rsid w:val="00DF6D29"/>
    <w:pPr>
      <w:suppressLineNumbers/>
      <w:spacing w:before="120" w:after="120" w:line="480" w:lineRule="auto"/>
    </w:pPr>
    <w:rPr>
      <w:b w:val="0"/>
      <w:bCs w:val="0"/>
      <w:i/>
      <w:color w:val="auto"/>
      <w:sz w:val="20"/>
      <w:szCs w:val="20"/>
    </w:rPr>
  </w:style>
  <w:style w:type="paragraph" w:styleId="NormalWeb">
    <w:name w:val="Normal (Web)"/>
    <w:basedOn w:val="Normal"/>
    <w:uiPriority w:val="99"/>
    <w:unhideWhenUsed/>
    <w:rsid w:val="00DF6D29"/>
    <w:pPr>
      <w:widowControl/>
      <w:suppressAutoHyphens w:val="0"/>
      <w:overflowPunct/>
      <w:autoSpaceDE/>
      <w:autoSpaceDN/>
      <w:adjustRightInd/>
      <w:spacing w:before="100" w:beforeAutospacing="1" w:after="115" w:line="240" w:lineRule="auto"/>
      <w:textAlignment w:val="auto"/>
    </w:pPr>
    <w:rPr>
      <w:sz w:val="24"/>
      <w:szCs w:val="24"/>
    </w:rPr>
  </w:style>
  <w:style w:type="paragraph" w:styleId="TOC2">
    <w:name w:val="toc 2"/>
    <w:basedOn w:val="Normal"/>
    <w:next w:val="Normal"/>
    <w:autoRedefine/>
    <w:uiPriority w:val="39"/>
    <w:unhideWhenUsed/>
    <w:rsid w:val="00DF6D29"/>
    <w:pPr>
      <w:spacing w:after="100"/>
      <w:ind w:left="220"/>
    </w:pPr>
  </w:style>
  <w:style w:type="paragraph" w:styleId="TOC1">
    <w:name w:val="toc 1"/>
    <w:basedOn w:val="Normal"/>
    <w:next w:val="Normal"/>
    <w:autoRedefine/>
    <w:uiPriority w:val="39"/>
    <w:unhideWhenUsed/>
    <w:rsid w:val="00E667AC"/>
    <w:pPr>
      <w:tabs>
        <w:tab w:val="right" w:leader="dot" w:pos="9350"/>
        <w:tab w:val="right" w:leader="dot" w:pos="10080"/>
      </w:tabs>
      <w:spacing w:after="100"/>
    </w:pPr>
    <w:rPr>
      <w:b/>
      <w:sz w:val="24"/>
      <w:szCs w:val="24"/>
    </w:rPr>
  </w:style>
  <w:style w:type="paragraph" w:styleId="BodyText">
    <w:name w:val="Body Text"/>
    <w:basedOn w:val="Normal"/>
    <w:link w:val="BodyTextChar"/>
    <w:uiPriority w:val="99"/>
    <w:semiHidden/>
    <w:unhideWhenUsed/>
    <w:rsid w:val="00DF6D29"/>
    <w:pPr>
      <w:spacing w:after="120"/>
    </w:pPr>
  </w:style>
  <w:style w:type="character" w:customStyle="1" w:styleId="BodyTextChar">
    <w:name w:val="Body Text Char"/>
    <w:basedOn w:val="DefaultParagraphFont"/>
    <w:link w:val="BodyText"/>
    <w:uiPriority w:val="99"/>
    <w:semiHidden/>
    <w:rsid w:val="00DF6D29"/>
    <w:rPr>
      <w:rFonts w:ascii="Times New Roman" w:eastAsia="Times New Roman" w:hAnsi="Times New Roman" w:cs="Times New Roman"/>
      <w:szCs w:val="20"/>
    </w:rPr>
  </w:style>
  <w:style w:type="paragraph" w:styleId="Caption">
    <w:name w:val="caption"/>
    <w:basedOn w:val="Normal"/>
    <w:next w:val="Normal"/>
    <w:uiPriority w:val="35"/>
    <w:semiHidden/>
    <w:unhideWhenUsed/>
    <w:qFormat/>
    <w:rsid w:val="00DF6D29"/>
    <w:pPr>
      <w:spacing w:after="200" w:line="240" w:lineRule="auto"/>
    </w:pPr>
    <w:rPr>
      <w:b/>
      <w:bCs/>
      <w:color w:val="4F81BD" w:themeColor="accent1"/>
      <w:sz w:val="18"/>
      <w:szCs w:val="18"/>
    </w:rPr>
  </w:style>
  <w:style w:type="table" w:styleId="TableGrid">
    <w:name w:val="Table Grid"/>
    <w:basedOn w:val="TableNormal"/>
    <w:uiPriority w:val="59"/>
    <w:rsid w:val="003151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31511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western">
    <w:name w:val="western"/>
    <w:basedOn w:val="Normal"/>
    <w:rsid w:val="00B97EDC"/>
    <w:pPr>
      <w:widowControl/>
      <w:suppressAutoHyphens w:val="0"/>
      <w:overflowPunct/>
      <w:autoSpaceDE/>
      <w:autoSpaceDN/>
      <w:adjustRightInd/>
      <w:spacing w:before="100" w:beforeAutospacing="1" w:after="115" w:line="240" w:lineRule="auto"/>
      <w:textAlignment w:val="auto"/>
    </w:pPr>
    <w:rPr>
      <w:rFonts w:ascii="Arial" w:hAnsi="Arial" w:cs="Arial"/>
      <w:color w:val="000000"/>
      <w:szCs w:val="22"/>
    </w:rPr>
  </w:style>
  <w:style w:type="paragraph" w:styleId="Header">
    <w:name w:val="header"/>
    <w:basedOn w:val="Normal"/>
    <w:link w:val="HeaderChar"/>
    <w:uiPriority w:val="99"/>
    <w:semiHidden/>
    <w:unhideWhenUsed/>
    <w:rsid w:val="00BB29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2949"/>
    <w:rPr>
      <w:rFonts w:ascii="Times New Roman" w:eastAsia="Times New Roman" w:hAnsi="Times New Roman" w:cs="Times New Roman"/>
      <w:szCs w:val="20"/>
    </w:rPr>
  </w:style>
  <w:style w:type="paragraph" w:styleId="Footer">
    <w:name w:val="footer"/>
    <w:basedOn w:val="Normal"/>
    <w:link w:val="FooterChar"/>
    <w:uiPriority w:val="99"/>
    <w:unhideWhenUsed/>
    <w:rsid w:val="00BB2949"/>
    <w:pPr>
      <w:tabs>
        <w:tab w:val="center" w:pos="4680"/>
        <w:tab w:val="right" w:pos="9360"/>
      </w:tabs>
      <w:spacing w:line="240" w:lineRule="auto"/>
    </w:pPr>
  </w:style>
  <w:style w:type="character" w:customStyle="1" w:styleId="FooterChar">
    <w:name w:val="Footer Char"/>
    <w:basedOn w:val="DefaultParagraphFont"/>
    <w:link w:val="Footer"/>
    <w:uiPriority w:val="99"/>
    <w:rsid w:val="00BB2949"/>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54734354">
      <w:bodyDiv w:val="1"/>
      <w:marLeft w:val="0"/>
      <w:marRight w:val="0"/>
      <w:marTop w:val="0"/>
      <w:marBottom w:val="0"/>
      <w:divBdr>
        <w:top w:val="none" w:sz="0" w:space="0" w:color="auto"/>
        <w:left w:val="none" w:sz="0" w:space="0" w:color="auto"/>
        <w:bottom w:val="none" w:sz="0" w:space="0" w:color="auto"/>
        <w:right w:val="none" w:sz="0" w:space="0" w:color="auto"/>
      </w:divBdr>
    </w:div>
    <w:div w:id="274413041">
      <w:bodyDiv w:val="1"/>
      <w:marLeft w:val="0"/>
      <w:marRight w:val="0"/>
      <w:marTop w:val="0"/>
      <w:marBottom w:val="0"/>
      <w:divBdr>
        <w:top w:val="none" w:sz="0" w:space="0" w:color="auto"/>
        <w:left w:val="none" w:sz="0" w:space="0" w:color="auto"/>
        <w:bottom w:val="none" w:sz="0" w:space="0" w:color="auto"/>
        <w:right w:val="none" w:sz="0" w:space="0" w:color="auto"/>
      </w:divBdr>
    </w:div>
    <w:div w:id="356395569">
      <w:bodyDiv w:val="1"/>
      <w:marLeft w:val="0"/>
      <w:marRight w:val="0"/>
      <w:marTop w:val="0"/>
      <w:marBottom w:val="0"/>
      <w:divBdr>
        <w:top w:val="none" w:sz="0" w:space="0" w:color="auto"/>
        <w:left w:val="none" w:sz="0" w:space="0" w:color="auto"/>
        <w:bottom w:val="none" w:sz="0" w:space="0" w:color="auto"/>
        <w:right w:val="none" w:sz="0" w:space="0" w:color="auto"/>
      </w:divBdr>
    </w:div>
    <w:div w:id="451443531">
      <w:bodyDiv w:val="1"/>
      <w:marLeft w:val="0"/>
      <w:marRight w:val="0"/>
      <w:marTop w:val="0"/>
      <w:marBottom w:val="0"/>
      <w:divBdr>
        <w:top w:val="none" w:sz="0" w:space="0" w:color="auto"/>
        <w:left w:val="none" w:sz="0" w:space="0" w:color="auto"/>
        <w:bottom w:val="none" w:sz="0" w:space="0" w:color="auto"/>
        <w:right w:val="none" w:sz="0" w:space="0" w:color="auto"/>
      </w:divBdr>
    </w:div>
    <w:div w:id="636684439">
      <w:bodyDiv w:val="1"/>
      <w:marLeft w:val="0"/>
      <w:marRight w:val="0"/>
      <w:marTop w:val="0"/>
      <w:marBottom w:val="0"/>
      <w:divBdr>
        <w:top w:val="none" w:sz="0" w:space="0" w:color="auto"/>
        <w:left w:val="none" w:sz="0" w:space="0" w:color="auto"/>
        <w:bottom w:val="none" w:sz="0" w:space="0" w:color="auto"/>
        <w:right w:val="none" w:sz="0" w:space="0" w:color="auto"/>
      </w:divBdr>
    </w:div>
    <w:div w:id="679626907">
      <w:bodyDiv w:val="1"/>
      <w:marLeft w:val="0"/>
      <w:marRight w:val="0"/>
      <w:marTop w:val="0"/>
      <w:marBottom w:val="0"/>
      <w:divBdr>
        <w:top w:val="none" w:sz="0" w:space="0" w:color="auto"/>
        <w:left w:val="none" w:sz="0" w:space="0" w:color="auto"/>
        <w:bottom w:val="none" w:sz="0" w:space="0" w:color="auto"/>
        <w:right w:val="none" w:sz="0" w:space="0" w:color="auto"/>
      </w:divBdr>
    </w:div>
    <w:div w:id="1013726700">
      <w:bodyDiv w:val="1"/>
      <w:marLeft w:val="0"/>
      <w:marRight w:val="0"/>
      <w:marTop w:val="0"/>
      <w:marBottom w:val="0"/>
      <w:divBdr>
        <w:top w:val="none" w:sz="0" w:space="0" w:color="auto"/>
        <w:left w:val="none" w:sz="0" w:space="0" w:color="auto"/>
        <w:bottom w:val="none" w:sz="0" w:space="0" w:color="auto"/>
        <w:right w:val="none" w:sz="0" w:space="0" w:color="auto"/>
      </w:divBdr>
    </w:div>
    <w:div w:id="1251550442">
      <w:bodyDiv w:val="1"/>
      <w:marLeft w:val="0"/>
      <w:marRight w:val="0"/>
      <w:marTop w:val="0"/>
      <w:marBottom w:val="0"/>
      <w:divBdr>
        <w:top w:val="none" w:sz="0" w:space="0" w:color="auto"/>
        <w:left w:val="none" w:sz="0" w:space="0" w:color="auto"/>
        <w:bottom w:val="none" w:sz="0" w:space="0" w:color="auto"/>
        <w:right w:val="none" w:sz="0" w:space="0" w:color="auto"/>
      </w:divBdr>
    </w:div>
    <w:div w:id="1273242338">
      <w:bodyDiv w:val="1"/>
      <w:marLeft w:val="0"/>
      <w:marRight w:val="0"/>
      <w:marTop w:val="0"/>
      <w:marBottom w:val="0"/>
      <w:divBdr>
        <w:top w:val="none" w:sz="0" w:space="0" w:color="auto"/>
        <w:left w:val="none" w:sz="0" w:space="0" w:color="auto"/>
        <w:bottom w:val="none" w:sz="0" w:space="0" w:color="auto"/>
        <w:right w:val="none" w:sz="0" w:space="0" w:color="auto"/>
      </w:divBdr>
    </w:div>
    <w:div w:id="1290161917">
      <w:bodyDiv w:val="1"/>
      <w:marLeft w:val="0"/>
      <w:marRight w:val="0"/>
      <w:marTop w:val="0"/>
      <w:marBottom w:val="0"/>
      <w:divBdr>
        <w:top w:val="none" w:sz="0" w:space="0" w:color="auto"/>
        <w:left w:val="none" w:sz="0" w:space="0" w:color="auto"/>
        <w:bottom w:val="none" w:sz="0" w:space="0" w:color="auto"/>
        <w:right w:val="none" w:sz="0" w:space="0" w:color="auto"/>
      </w:divBdr>
    </w:div>
    <w:div w:id="1303652824">
      <w:bodyDiv w:val="1"/>
      <w:marLeft w:val="0"/>
      <w:marRight w:val="0"/>
      <w:marTop w:val="0"/>
      <w:marBottom w:val="0"/>
      <w:divBdr>
        <w:top w:val="none" w:sz="0" w:space="0" w:color="auto"/>
        <w:left w:val="none" w:sz="0" w:space="0" w:color="auto"/>
        <w:bottom w:val="none" w:sz="0" w:space="0" w:color="auto"/>
        <w:right w:val="none" w:sz="0" w:space="0" w:color="auto"/>
      </w:divBdr>
    </w:div>
    <w:div w:id="1463570763">
      <w:bodyDiv w:val="1"/>
      <w:marLeft w:val="0"/>
      <w:marRight w:val="0"/>
      <w:marTop w:val="0"/>
      <w:marBottom w:val="0"/>
      <w:divBdr>
        <w:top w:val="none" w:sz="0" w:space="0" w:color="auto"/>
        <w:left w:val="none" w:sz="0" w:space="0" w:color="auto"/>
        <w:bottom w:val="none" w:sz="0" w:space="0" w:color="auto"/>
        <w:right w:val="none" w:sz="0" w:space="0" w:color="auto"/>
      </w:divBdr>
    </w:div>
    <w:div w:id="1474716290">
      <w:bodyDiv w:val="1"/>
      <w:marLeft w:val="0"/>
      <w:marRight w:val="0"/>
      <w:marTop w:val="0"/>
      <w:marBottom w:val="0"/>
      <w:divBdr>
        <w:top w:val="none" w:sz="0" w:space="0" w:color="auto"/>
        <w:left w:val="none" w:sz="0" w:space="0" w:color="auto"/>
        <w:bottom w:val="none" w:sz="0" w:space="0" w:color="auto"/>
        <w:right w:val="none" w:sz="0" w:space="0" w:color="auto"/>
      </w:divBdr>
    </w:div>
    <w:div w:id="1686400850">
      <w:bodyDiv w:val="1"/>
      <w:marLeft w:val="0"/>
      <w:marRight w:val="0"/>
      <w:marTop w:val="0"/>
      <w:marBottom w:val="0"/>
      <w:divBdr>
        <w:top w:val="none" w:sz="0" w:space="0" w:color="auto"/>
        <w:left w:val="none" w:sz="0" w:space="0" w:color="auto"/>
        <w:bottom w:val="none" w:sz="0" w:space="0" w:color="auto"/>
        <w:right w:val="none" w:sz="0" w:space="0" w:color="auto"/>
      </w:divBdr>
    </w:div>
    <w:div w:id="1720130329">
      <w:bodyDiv w:val="1"/>
      <w:marLeft w:val="0"/>
      <w:marRight w:val="0"/>
      <w:marTop w:val="0"/>
      <w:marBottom w:val="0"/>
      <w:divBdr>
        <w:top w:val="none" w:sz="0" w:space="0" w:color="auto"/>
        <w:left w:val="none" w:sz="0" w:space="0" w:color="auto"/>
        <w:bottom w:val="none" w:sz="0" w:space="0" w:color="auto"/>
        <w:right w:val="none" w:sz="0" w:space="0" w:color="auto"/>
      </w:divBdr>
    </w:div>
    <w:div w:id="1775132021">
      <w:bodyDiv w:val="1"/>
      <w:marLeft w:val="0"/>
      <w:marRight w:val="0"/>
      <w:marTop w:val="0"/>
      <w:marBottom w:val="0"/>
      <w:divBdr>
        <w:top w:val="none" w:sz="0" w:space="0" w:color="auto"/>
        <w:left w:val="none" w:sz="0" w:space="0" w:color="auto"/>
        <w:bottom w:val="none" w:sz="0" w:space="0" w:color="auto"/>
        <w:right w:val="none" w:sz="0" w:space="0" w:color="auto"/>
      </w:divBdr>
    </w:div>
    <w:div w:id="1785298202">
      <w:bodyDiv w:val="1"/>
      <w:marLeft w:val="0"/>
      <w:marRight w:val="0"/>
      <w:marTop w:val="0"/>
      <w:marBottom w:val="0"/>
      <w:divBdr>
        <w:top w:val="none" w:sz="0" w:space="0" w:color="auto"/>
        <w:left w:val="none" w:sz="0" w:space="0" w:color="auto"/>
        <w:bottom w:val="none" w:sz="0" w:space="0" w:color="auto"/>
        <w:right w:val="none" w:sz="0" w:space="0" w:color="auto"/>
      </w:divBdr>
    </w:div>
    <w:div w:id="1786776948">
      <w:bodyDiv w:val="1"/>
      <w:marLeft w:val="0"/>
      <w:marRight w:val="0"/>
      <w:marTop w:val="0"/>
      <w:marBottom w:val="0"/>
      <w:divBdr>
        <w:top w:val="none" w:sz="0" w:space="0" w:color="auto"/>
        <w:left w:val="none" w:sz="0" w:space="0" w:color="auto"/>
        <w:bottom w:val="none" w:sz="0" w:space="0" w:color="auto"/>
        <w:right w:val="none" w:sz="0" w:space="0" w:color="auto"/>
      </w:divBdr>
    </w:div>
    <w:div w:id="1858614018">
      <w:bodyDiv w:val="1"/>
      <w:marLeft w:val="0"/>
      <w:marRight w:val="0"/>
      <w:marTop w:val="0"/>
      <w:marBottom w:val="0"/>
      <w:divBdr>
        <w:top w:val="none" w:sz="0" w:space="0" w:color="auto"/>
        <w:left w:val="none" w:sz="0" w:space="0" w:color="auto"/>
        <w:bottom w:val="none" w:sz="0" w:space="0" w:color="auto"/>
        <w:right w:val="none" w:sz="0" w:space="0" w:color="auto"/>
      </w:divBdr>
    </w:div>
    <w:div w:id="1858806508">
      <w:bodyDiv w:val="1"/>
      <w:marLeft w:val="0"/>
      <w:marRight w:val="0"/>
      <w:marTop w:val="0"/>
      <w:marBottom w:val="0"/>
      <w:divBdr>
        <w:top w:val="none" w:sz="0" w:space="0" w:color="auto"/>
        <w:left w:val="none" w:sz="0" w:space="0" w:color="auto"/>
        <w:bottom w:val="none" w:sz="0" w:space="0" w:color="auto"/>
        <w:right w:val="none" w:sz="0" w:space="0" w:color="auto"/>
      </w:divBdr>
    </w:div>
    <w:div w:id="1940020012">
      <w:bodyDiv w:val="1"/>
      <w:marLeft w:val="0"/>
      <w:marRight w:val="0"/>
      <w:marTop w:val="0"/>
      <w:marBottom w:val="0"/>
      <w:divBdr>
        <w:top w:val="none" w:sz="0" w:space="0" w:color="auto"/>
        <w:left w:val="none" w:sz="0" w:space="0" w:color="auto"/>
        <w:bottom w:val="none" w:sz="0" w:space="0" w:color="auto"/>
        <w:right w:val="none" w:sz="0" w:space="0" w:color="auto"/>
      </w:divBdr>
    </w:div>
    <w:div w:id="1957516704">
      <w:bodyDiv w:val="1"/>
      <w:marLeft w:val="0"/>
      <w:marRight w:val="0"/>
      <w:marTop w:val="0"/>
      <w:marBottom w:val="0"/>
      <w:divBdr>
        <w:top w:val="none" w:sz="0" w:space="0" w:color="auto"/>
        <w:left w:val="none" w:sz="0" w:space="0" w:color="auto"/>
        <w:bottom w:val="none" w:sz="0" w:space="0" w:color="auto"/>
        <w:right w:val="none" w:sz="0" w:space="0" w:color="auto"/>
      </w:divBdr>
    </w:div>
    <w:div w:id="1998146339">
      <w:bodyDiv w:val="1"/>
      <w:marLeft w:val="0"/>
      <w:marRight w:val="0"/>
      <w:marTop w:val="0"/>
      <w:marBottom w:val="0"/>
      <w:divBdr>
        <w:top w:val="none" w:sz="0" w:space="0" w:color="auto"/>
        <w:left w:val="none" w:sz="0" w:space="0" w:color="auto"/>
        <w:bottom w:val="none" w:sz="0" w:space="0" w:color="auto"/>
        <w:right w:val="none" w:sz="0" w:space="0" w:color="auto"/>
      </w:divBdr>
    </w:div>
    <w:div w:id="20229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udderq@nida.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tfind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E487-9A35-4D14-BECD-3F7A5F6F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dc:creator>
  <cp:keywords/>
  <dc:description/>
  <cp:lastModifiedBy>rossie</cp:lastModifiedBy>
  <cp:revision>2</cp:revision>
  <cp:lastPrinted>2009-12-14T18:17:00Z</cp:lastPrinted>
  <dcterms:created xsi:type="dcterms:W3CDTF">2010-04-12T14:11:00Z</dcterms:created>
  <dcterms:modified xsi:type="dcterms:W3CDTF">2010-04-12T14:11:00Z</dcterms:modified>
</cp:coreProperties>
</file>