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6F91" w:rsidRDefault="002C6F91" w:rsidP="002C6F91">
      <w:pPr>
        <w:ind w:firstLine="720"/>
        <w:jc w:val="center"/>
        <w:rPr>
          <w:rFonts w:ascii="Times" w:hAnsi="Times" w:cs="Times"/>
          <w:b/>
          <w:bCs/>
          <w:color w:val="000000"/>
        </w:rPr>
      </w:pPr>
      <w:r>
        <w:rPr>
          <w:rFonts w:ascii="Times" w:hAnsi="Times" w:cs="Times"/>
          <w:b/>
          <w:bCs/>
          <w:color w:val="000000"/>
        </w:rPr>
        <w:t xml:space="preserve">Supporting Statement for the </w:t>
      </w:r>
    </w:p>
    <w:p w:rsidR="002C6F91" w:rsidRDefault="002C6F91" w:rsidP="002C6F91">
      <w:pPr>
        <w:ind w:firstLine="720"/>
        <w:jc w:val="center"/>
        <w:rPr>
          <w:rFonts w:ascii="Times" w:hAnsi="Times" w:cs="Times"/>
          <w:b/>
          <w:bCs/>
          <w:color w:val="000000"/>
        </w:rPr>
      </w:pPr>
      <w:r>
        <w:rPr>
          <w:rFonts w:ascii="Times" w:hAnsi="Times" w:cs="Times"/>
          <w:b/>
          <w:bCs/>
          <w:color w:val="000000"/>
        </w:rPr>
        <w:t>Filings Related to the Gramm-Leach-Bliley Act</w:t>
      </w:r>
    </w:p>
    <w:p w:rsidR="002C6F91" w:rsidRPr="00596A3A" w:rsidRDefault="002C6F91" w:rsidP="002C6F91">
      <w:pPr>
        <w:ind w:firstLine="720"/>
        <w:jc w:val="center"/>
        <w:rPr>
          <w:rFonts w:ascii="Times" w:hAnsi="Times" w:cs="Times"/>
          <w:b/>
          <w:bCs/>
          <w:color w:val="000000"/>
        </w:rPr>
      </w:pPr>
      <w:r>
        <w:rPr>
          <w:rFonts w:ascii="Times" w:hAnsi="Times" w:cs="Times"/>
          <w:b/>
          <w:bCs/>
          <w:color w:val="000000"/>
        </w:rPr>
        <w:t>(</w:t>
      </w:r>
      <w:r w:rsidRPr="00CC63B5">
        <w:rPr>
          <w:rFonts w:ascii="Times" w:hAnsi="Times" w:cs="Times"/>
          <w:b/>
          <w:bCs/>
          <w:color w:val="000000"/>
        </w:rPr>
        <w:t xml:space="preserve">OMB No. </w:t>
      </w:r>
      <w:r w:rsidRPr="00CC63B5">
        <w:rPr>
          <w:b/>
        </w:rPr>
        <w:t>7100-0292</w:t>
      </w:r>
      <w:r w:rsidRPr="00CC63B5">
        <w:rPr>
          <w:rFonts w:ascii="Times" w:hAnsi="Times" w:cs="Times"/>
          <w:b/>
          <w:bCs/>
          <w:color w:val="000000"/>
        </w:rPr>
        <w:t>)</w:t>
      </w:r>
    </w:p>
    <w:p w:rsidR="00746E35" w:rsidRPr="00701D23" w:rsidRDefault="00746E35">
      <w:pPr>
        <w:pStyle w:val="Title"/>
        <w:tabs>
          <w:tab w:val="left" w:pos="0"/>
          <w:tab w:val="left" w:pos="360"/>
          <w:tab w:val="left" w:pos="3960"/>
          <w:tab w:val="left" w:pos="4320"/>
          <w:tab w:val="left" w:pos="5040"/>
          <w:tab w:val="left" w:pos="5760"/>
          <w:tab w:val="left" w:pos="6480"/>
          <w:tab w:val="left" w:pos="7200"/>
          <w:tab w:val="left" w:pos="7920"/>
        </w:tabs>
        <w:ind w:left="720" w:hanging="720"/>
        <w:jc w:val="left"/>
        <w:rPr>
          <w:sz w:val="24"/>
          <w:szCs w:val="24"/>
        </w:rPr>
      </w:pPr>
      <w:r w:rsidRPr="00701D23">
        <w:rPr>
          <w:sz w:val="24"/>
          <w:szCs w:val="24"/>
        </w:rPr>
        <w:tab/>
      </w:r>
      <w:r w:rsidRPr="00701D23">
        <w:rPr>
          <w:sz w:val="24"/>
          <w:szCs w:val="24"/>
        </w:rPr>
        <w:tab/>
      </w:r>
      <w:r w:rsidRPr="00701D23">
        <w:rPr>
          <w:sz w:val="24"/>
          <w:szCs w:val="24"/>
        </w:rPr>
        <w:tab/>
      </w:r>
    </w:p>
    <w:p w:rsidR="00746E35" w:rsidRPr="008E1DAB" w:rsidRDefault="00CD0E67">
      <w:pPr>
        <w:pStyle w:val="Heading8"/>
      </w:pPr>
      <w:r w:rsidRPr="00CD0E67">
        <w:t>Summary</w:t>
      </w:r>
    </w:p>
    <w:p w:rsidR="00E128E2" w:rsidRDefault="00E128E2">
      <w:pPr>
        <w:widowControl/>
        <w:tabs>
          <w:tab w:val="left" w:pos="-1800"/>
          <w:tab w:val="left" w:pos="-1080"/>
          <w:tab w:val="left" w:pos="-360"/>
        </w:tabs>
      </w:pPr>
    </w:p>
    <w:p w:rsidR="00843242" w:rsidRPr="00701D23" w:rsidRDefault="00843242" w:rsidP="00843242">
      <w:pPr>
        <w:widowControl/>
        <w:tabs>
          <w:tab w:val="left" w:pos="-1800"/>
          <w:tab w:val="left" w:pos="-1080"/>
          <w:tab w:val="left" w:pos="-360"/>
        </w:tabs>
        <w:rPr>
          <w:color w:val="000000"/>
        </w:rPr>
      </w:pPr>
      <w:r w:rsidRPr="00C716B2">
        <w:t xml:space="preserve">The </w:t>
      </w:r>
      <w:r>
        <w:t>Board</w:t>
      </w:r>
      <w:r w:rsidRPr="00C716B2">
        <w:t xml:space="preserve"> of Governors of the Federal Reserve System, under delegated authority from the Office of Management and Budget (OMB),</w:t>
      </w:r>
      <w:r w:rsidRPr="00701D23">
        <w:t xml:space="preserve"> proposes to extend for three years, without revision, the following collections of information related </w:t>
      </w:r>
      <w:r>
        <w:t>to the Gramm-Leach-Bliley Act (GLB Act</w:t>
      </w:r>
      <w:r w:rsidRPr="00701D23">
        <w:t>), OMB No. 7100-0292:</w:t>
      </w:r>
    </w:p>
    <w:p w:rsidR="00746E35" w:rsidRPr="00701D23" w:rsidRDefault="00746E35">
      <w:pPr>
        <w:widowControl/>
        <w:tabs>
          <w:tab w:val="left" w:pos="-1800"/>
          <w:tab w:val="left" w:pos="-1080"/>
          <w:tab w:val="left" w:pos="-360"/>
        </w:tabs>
        <w:ind w:right="-360" w:hanging="360"/>
        <w:rPr>
          <w:color w:val="000000"/>
        </w:rPr>
      </w:pPr>
    </w:p>
    <w:p w:rsidR="00746E35" w:rsidRPr="00701D23" w:rsidRDefault="001E15A6">
      <w:pPr>
        <w:pStyle w:val="a"/>
        <w:numPr>
          <w:ilvl w:val="0"/>
          <w:numId w:val="7"/>
        </w:numPr>
        <w:tabs>
          <w:tab w:val="clear" w:pos="720"/>
          <w:tab w:val="num" w:pos="360"/>
        </w:tabs>
        <w:ind w:left="360"/>
      </w:pPr>
      <w:r>
        <w:t xml:space="preserve">The required </w:t>
      </w:r>
      <w:r w:rsidR="00746E35" w:rsidRPr="00701D23">
        <w:t xml:space="preserve">Declarations to Become a Financial Holding Company (FHC) (FR 4010).  Each bank holding company </w:t>
      </w:r>
      <w:r w:rsidR="004E0DE8">
        <w:t xml:space="preserve">(BHC) </w:t>
      </w:r>
      <w:r w:rsidR="00746E35" w:rsidRPr="00701D23">
        <w:t>or foreign banking organization</w:t>
      </w:r>
      <w:r w:rsidR="004E0DE8">
        <w:t xml:space="preserve"> (FBO)</w:t>
      </w:r>
      <w:r w:rsidR="00746E35" w:rsidRPr="00701D23">
        <w:t xml:space="preserve"> seeking FHC status must file this declaration, which includes information needed to verify eligibility for FHC status</w:t>
      </w:r>
      <w:r w:rsidR="008E1DAB">
        <w:t>.</w:t>
      </w:r>
    </w:p>
    <w:p w:rsidR="00746E35" w:rsidRPr="00701D23" w:rsidRDefault="00746E35">
      <w:pPr>
        <w:pStyle w:val="a"/>
        <w:ind w:left="0" w:firstLine="0"/>
      </w:pPr>
    </w:p>
    <w:p w:rsidR="00746E35" w:rsidRPr="00701D23" w:rsidRDefault="001E15A6">
      <w:pPr>
        <w:pStyle w:val="a"/>
        <w:numPr>
          <w:ilvl w:val="0"/>
          <w:numId w:val="7"/>
        </w:numPr>
        <w:tabs>
          <w:tab w:val="clear" w:pos="720"/>
          <w:tab w:val="num" w:pos="360"/>
        </w:tabs>
        <w:ind w:left="360"/>
      </w:pPr>
      <w:r>
        <w:t xml:space="preserve">The voluntary </w:t>
      </w:r>
      <w:r w:rsidR="00746E35" w:rsidRPr="00701D23">
        <w:t>Requests for Determinations and Interpretations Regarding Activities Financial in Nature (FR 4011).  A requestor may ask the Board to determine that an activity is financial in nature, to issue an advisory opinion that an activity is within the scope of an activity previously determined to be financial in nature, or to approve engagement in an activity complementary to a financial activity.  Requests must include information to support the determination or interpretation sought.</w:t>
      </w:r>
    </w:p>
    <w:p w:rsidR="00746E35" w:rsidRPr="00701D23" w:rsidRDefault="00746E35">
      <w:pPr>
        <w:pStyle w:val="a"/>
        <w:ind w:left="0" w:firstLine="0"/>
      </w:pPr>
    </w:p>
    <w:p w:rsidR="00746E35" w:rsidRPr="00701D23" w:rsidRDefault="001E15A6">
      <w:pPr>
        <w:pStyle w:val="a"/>
        <w:numPr>
          <w:ilvl w:val="0"/>
          <w:numId w:val="7"/>
        </w:numPr>
        <w:tabs>
          <w:tab w:val="clear" w:pos="720"/>
          <w:tab w:val="num" w:pos="360"/>
        </w:tabs>
        <w:ind w:left="360"/>
      </w:pPr>
      <w:r>
        <w:t xml:space="preserve">The mandatory </w:t>
      </w:r>
      <w:r w:rsidR="00746E35" w:rsidRPr="00701D23">
        <w:t xml:space="preserve">Notices of Failure to Meet Capital or Management Requirements (FR 4012).  Any FHC ceasing to meet capital or managerial prerequisites for FHC status must notify the Board of the deficiency and often must </w:t>
      </w:r>
      <w:r w:rsidR="00F7272C" w:rsidRPr="00701D23">
        <w:t xml:space="preserve">submit plans to </w:t>
      </w:r>
      <w:r w:rsidR="00273282" w:rsidRPr="00701D23">
        <w:t xml:space="preserve">the Board </w:t>
      </w:r>
      <w:r w:rsidR="00746E35" w:rsidRPr="00701D23">
        <w:t xml:space="preserve">to cure the deficiency. </w:t>
      </w:r>
    </w:p>
    <w:p w:rsidR="00746E35" w:rsidRPr="00701D23" w:rsidRDefault="00746E35">
      <w:pPr>
        <w:pStyle w:val="a"/>
        <w:ind w:left="0" w:firstLine="0"/>
      </w:pPr>
    </w:p>
    <w:p w:rsidR="00746E35" w:rsidRPr="00701D23" w:rsidRDefault="001E15A6">
      <w:pPr>
        <w:pStyle w:val="a"/>
        <w:numPr>
          <w:ilvl w:val="0"/>
          <w:numId w:val="7"/>
        </w:numPr>
        <w:tabs>
          <w:tab w:val="clear" w:pos="720"/>
          <w:tab w:val="num" w:pos="360"/>
        </w:tabs>
        <w:ind w:left="360"/>
      </w:pPr>
      <w:r>
        <w:t xml:space="preserve">The required </w:t>
      </w:r>
      <w:r w:rsidR="00746E35" w:rsidRPr="00701D23">
        <w:t>Notices by State Member Banks to Invest in Financial Subsidiaries (FR 4017).  Any state member bank seeking to establish a financial subsidiary must seek the Board’s prior approval by providing information similar to that required in a FHC declaration.</w:t>
      </w:r>
    </w:p>
    <w:p w:rsidR="00746E35" w:rsidRPr="00701D23" w:rsidRDefault="00746E35">
      <w:pPr>
        <w:pStyle w:val="a"/>
        <w:ind w:left="0" w:firstLine="0"/>
      </w:pPr>
    </w:p>
    <w:p w:rsidR="00746E35" w:rsidRPr="00701D23" w:rsidRDefault="001E15A6">
      <w:pPr>
        <w:pStyle w:val="a"/>
        <w:numPr>
          <w:ilvl w:val="0"/>
          <w:numId w:val="18"/>
        </w:numPr>
        <w:tabs>
          <w:tab w:val="clear" w:pos="720"/>
          <w:tab w:val="num" w:pos="360"/>
        </w:tabs>
        <w:ind w:left="360"/>
      </w:pPr>
      <w:r>
        <w:t xml:space="preserve">The required </w:t>
      </w:r>
      <w:r w:rsidR="00746E35" w:rsidRPr="00701D23">
        <w:t>Regulatory Relief Requests Associated with Merchant Banking Activities (FR 4019).  Any FHC seeking to extend the 10-year holding period for a merchant banking investment must apply for the Board’s prior approval, and a FHC also must notify the Board if it routinely manages or operates a portfolio company for more than nine months.</w:t>
      </w:r>
    </w:p>
    <w:p w:rsidR="00746E35" w:rsidRPr="00701D23" w:rsidRDefault="00746E35">
      <w:pPr>
        <w:pStyle w:val="a"/>
        <w:tabs>
          <w:tab w:val="left" w:pos="360"/>
        </w:tabs>
      </w:pPr>
    </w:p>
    <w:p w:rsidR="00746E35" w:rsidRPr="00701D23" w:rsidRDefault="001E15A6">
      <w:pPr>
        <w:pStyle w:val="a"/>
        <w:numPr>
          <w:ilvl w:val="0"/>
          <w:numId w:val="18"/>
        </w:numPr>
        <w:tabs>
          <w:tab w:val="clear" w:pos="720"/>
          <w:tab w:val="num" w:pos="360"/>
        </w:tabs>
        <w:ind w:left="360"/>
      </w:pPr>
      <w:r>
        <w:t xml:space="preserve">The mandatory </w:t>
      </w:r>
      <w:r w:rsidR="00746E35" w:rsidRPr="00701D23">
        <w:t>Recordkeeping Requirements Associated with Merchant Banking Activities</w:t>
      </w:r>
      <w:r w:rsidR="0037265D">
        <w:t xml:space="preserve"> (FR 4023)</w:t>
      </w:r>
      <w:r w:rsidR="00746E35" w:rsidRPr="00701D23">
        <w:t xml:space="preserve">.  All FHCs engaging in merchant banking activities must keep records of those activities and make them available to examiners.  </w:t>
      </w:r>
    </w:p>
    <w:p w:rsidR="00746E35" w:rsidRPr="00701D23" w:rsidRDefault="00746E35">
      <w:pPr>
        <w:ind w:firstLine="360"/>
      </w:pPr>
    </w:p>
    <w:p w:rsidR="00746E35" w:rsidRPr="00701D23" w:rsidRDefault="00746E35" w:rsidP="00B34CEE">
      <w:pPr>
        <w:pStyle w:val="BodyTextIndent2"/>
        <w:widowControl/>
        <w:ind w:firstLine="0"/>
        <w:jc w:val="left"/>
      </w:pPr>
      <w:r w:rsidRPr="00701D23">
        <w:t xml:space="preserve">There are no formal </w:t>
      </w:r>
      <w:r w:rsidR="00E42416">
        <w:t xml:space="preserve">reporting </w:t>
      </w:r>
      <w:r w:rsidRPr="00701D23">
        <w:t>forms for these collections of information, which are event</w:t>
      </w:r>
      <w:r w:rsidR="00967591">
        <w:t xml:space="preserve"> </w:t>
      </w:r>
      <w:r w:rsidRPr="00701D23">
        <w:t>generated, though in each case</w:t>
      </w:r>
      <w:r w:rsidR="00ED07E0">
        <w:t>,</w:t>
      </w:r>
      <w:r w:rsidRPr="00701D23">
        <w:t xml:space="preserve"> the type of information required to be filed is described in the Board’s regulations.  These collections of information are required pursuant to amendments made by the GLB Act to the Bank Holding Company Act (BHC Act)</w:t>
      </w:r>
      <w:r w:rsidR="008E1DAB">
        <w:t>,</w:t>
      </w:r>
      <w:r w:rsidRPr="00701D23">
        <w:t xml:space="preserve"> the Federal Reserve Act, or Board regulations issued to carry out the GLB Act, and their total annual burden is estimated to be </w:t>
      </w:r>
      <w:r w:rsidR="0071293A">
        <w:t>3,4</w:t>
      </w:r>
      <w:r w:rsidR="001C3008">
        <w:t>85</w:t>
      </w:r>
      <w:r w:rsidR="0098473E" w:rsidRPr="00701D23">
        <w:t xml:space="preserve"> </w:t>
      </w:r>
      <w:r w:rsidRPr="00701D23">
        <w:t>hours.</w:t>
      </w:r>
      <w:r w:rsidR="0097393A">
        <w:t xml:space="preserve">  </w:t>
      </w:r>
    </w:p>
    <w:p w:rsidR="00746E35" w:rsidRPr="00701D23" w:rsidRDefault="00746E35">
      <w:pPr>
        <w:pStyle w:val="BodyTextIndent2"/>
        <w:ind w:firstLine="0"/>
        <w:jc w:val="left"/>
        <w:rPr>
          <w:b/>
          <w:u w:val="single"/>
        </w:rPr>
      </w:pPr>
    </w:p>
    <w:p w:rsidR="00746E35" w:rsidRDefault="00CD0E67">
      <w:pPr>
        <w:pStyle w:val="BodyTextIndent2"/>
        <w:ind w:firstLine="0"/>
        <w:jc w:val="left"/>
        <w:rPr>
          <w:b/>
        </w:rPr>
      </w:pPr>
      <w:r w:rsidRPr="00CD0E67">
        <w:rPr>
          <w:b/>
        </w:rPr>
        <w:t>Background &amp; Justification</w:t>
      </w:r>
    </w:p>
    <w:p w:rsidR="00ED07E0" w:rsidRPr="00701D23" w:rsidRDefault="00ED07E0">
      <w:pPr>
        <w:pStyle w:val="BodyTextIndent2"/>
        <w:ind w:firstLine="0"/>
        <w:jc w:val="left"/>
        <w:rPr>
          <w:b/>
        </w:rPr>
      </w:pPr>
    </w:p>
    <w:p w:rsidR="00746E35" w:rsidRPr="00701D23" w:rsidRDefault="00746E35" w:rsidP="0071293A">
      <w:pPr>
        <w:pStyle w:val="BodyTextIndent2"/>
        <w:jc w:val="left"/>
      </w:pPr>
      <w:r w:rsidRPr="00701D23">
        <w:t xml:space="preserve">President Clinton signed the GLB Act into law on November 12, 1999.  Final regulations implementing the GLB </w:t>
      </w:r>
      <w:r w:rsidR="0038408B" w:rsidRPr="00701D23">
        <w:t xml:space="preserve">Act </w:t>
      </w:r>
      <w:r w:rsidRPr="00701D23">
        <w:t xml:space="preserve">and mandating the subject information collections took effect </w:t>
      </w:r>
      <w:r w:rsidR="00E264A9" w:rsidRPr="00701D23">
        <w:t xml:space="preserve">in </w:t>
      </w:r>
      <w:r w:rsidRPr="00701D23">
        <w:t>2001</w:t>
      </w:r>
      <w:r w:rsidR="00E264A9" w:rsidRPr="00701D23">
        <w:t>.</w:t>
      </w:r>
      <w:r w:rsidRPr="00701D23">
        <w:t xml:space="preserve"> </w:t>
      </w:r>
    </w:p>
    <w:p w:rsidR="00746E35" w:rsidRPr="00701D23" w:rsidRDefault="00746E35">
      <w:pPr>
        <w:pStyle w:val="BodyTextIndent2"/>
        <w:ind w:firstLine="0"/>
      </w:pPr>
    </w:p>
    <w:p w:rsidR="00746E35" w:rsidRPr="00701D23" w:rsidRDefault="00746E35">
      <w:pPr>
        <w:ind w:firstLine="720"/>
      </w:pPr>
      <w:r w:rsidRPr="00701D23">
        <w:t>1.  Declarations to Become a Financial Holding Company (FR 4010).  The BHC Act requires entities to file this declaration in order to be treated as FHCs.</w:t>
      </w:r>
      <w:r w:rsidRPr="00701D23">
        <w:rPr>
          <w:rStyle w:val="FootnoteReference"/>
          <w:vertAlign w:val="superscript"/>
        </w:rPr>
        <w:footnoteReference w:id="1"/>
      </w:r>
      <w:r w:rsidRPr="00701D23">
        <w:t xml:space="preserve">  </w:t>
      </w:r>
      <w:proofErr w:type="gramStart"/>
      <w:r w:rsidRPr="00701D23">
        <w:t>The</w:t>
      </w:r>
      <w:proofErr w:type="gramEnd"/>
      <w:r w:rsidRPr="00701D23">
        <w:t xml:space="preserve"> information contained in a FHC declaration is used by </w:t>
      </w:r>
      <w:r w:rsidR="00843242">
        <w:t>the Federal Reserve</w:t>
      </w:r>
      <w:r w:rsidRPr="00701D23">
        <w:t xml:space="preserve"> to ascertain whether the filer is eligible to become a FHC.</w:t>
      </w:r>
    </w:p>
    <w:p w:rsidR="00746E35" w:rsidRPr="00701D23" w:rsidRDefault="00746E35" w:rsidP="003E212D"/>
    <w:p w:rsidR="00746E35" w:rsidRPr="00701D23" w:rsidRDefault="00746E35">
      <w:pPr>
        <w:ind w:firstLine="720"/>
      </w:pPr>
      <w:r w:rsidRPr="00701D23">
        <w:t>2.  Requests for Determinations and Interpretations Regarding Activities Financial in Nature (FR 4011).</w:t>
      </w:r>
      <w:r w:rsidRPr="00701D23">
        <w:rPr>
          <w:b/>
        </w:rPr>
        <w:t xml:space="preserve">  </w:t>
      </w:r>
      <w:r w:rsidRPr="00701D23">
        <w:t>The GLB Act authorizes the Board, upon request or on its own initiative, to determine</w:t>
      </w:r>
      <w:r w:rsidR="00EC2967">
        <w:t xml:space="preserve"> in conjunction with the Treasury Department </w:t>
      </w:r>
      <w:r w:rsidRPr="00701D23">
        <w:t>that nonbanking activities are financial in nature, incidental to a financial activity, or complementary to a financial activity.</w:t>
      </w:r>
      <w:r w:rsidRPr="00701D23">
        <w:rPr>
          <w:rStyle w:val="FootnoteReference"/>
          <w:vertAlign w:val="superscript"/>
        </w:rPr>
        <w:footnoteReference w:id="2"/>
      </w:r>
      <w:r w:rsidRPr="00701D23">
        <w:t xml:space="preserve">  In addition, Regulation Y permits interested parties to request the Board to issue advisory opinions that specific proposed activities fall within the scope of (or are incidental to) financial activities.</w:t>
      </w:r>
      <w:r w:rsidRPr="00701D23">
        <w:rPr>
          <w:rStyle w:val="FootnoteReference"/>
          <w:vertAlign w:val="superscript"/>
        </w:rPr>
        <w:footnoteReference w:id="3"/>
      </w:r>
      <w:r w:rsidRPr="00701D23">
        <w:t xml:space="preserve">  To gather facts necessary to make determinations or issue opinions, the Board must collect information from parties making such requests.</w:t>
      </w:r>
    </w:p>
    <w:p w:rsidR="00746E35" w:rsidRPr="00701D23" w:rsidRDefault="00746E35" w:rsidP="003E212D">
      <w:pPr>
        <w:rPr>
          <w:b/>
        </w:rPr>
      </w:pPr>
    </w:p>
    <w:p w:rsidR="00746E35" w:rsidRPr="00701D23" w:rsidRDefault="00746E35">
      <w:r w:rsidRPr="00701D23">
        <w:rPr>
          <w:b/>
        </w:rPr>
        <w:tab/>
      </w:r>
      <w:r w:rsidRPr="00701D23">
        <w:t>3.  Notices of Failure to Meet Capital or Management Requirements (FR 4012).</w:t>
      </w:r>
      <w:r w:rsidRPr="00701D23">
        <w:rPr>
          <w:b/>
        </w:rPr>
        <w:t xml:space="preserve"> </w:t>
      </w:r>
      <w:r w:rsidRPr="00701D23">
        <w:t xml:space="preserve">The BHC Act provides that a company is eligible for FHC status only if all of its subsidiary depository institutions (and </w:t>
      </w:r>
      <w:r w:rsidR="00EA2446">
        <w:t xml:space="preserve">in the case of a FBO, </w:t>
      </w:r>
      <w:r w:rsidRPr="00701D23">
        <w:t>the foreign bank</w:t>
      </w:r>
      <w:r w:rsidR="00E264A9" w:rsidRPr="00701D23">
        <w:t xml:space="preserve"> itself</w:t>
      </w:r>
      <w:r w:rsidRPr="00701D23">
        <w:t>, and its U.S. branches, agencies, and commercial lending companies) are well</w:t>
      </w:r>
      <w:r w:rsidR="008E1DAB">
        <w:t xml:space="preserve"> </w:t>
      </w:r>
      <w:r w:rsidRPr="00701D23">
        <w:t>managed and well</w:t>
      </w:r>
      <w:r w:rsidR="008E1DAB">
        <w:t xml:space="preserve"> </w:t>
      </w:r>
      <w:r w:rsidRPr="00701D23">
        <w:t>capitalized, and Regulation Y requires a FHC that falls out of compliance with these requirements to notify the Board of the noncompliance.</w:t>
      </w:r>
      <w:r w:rsidRPr="00701D23">
        <w:rPr>
          <w:rStyle w:val="FootnoteReference"/>
          <w:vertAlign w:val="superscript"/>
        </w:rPr>
        <w:footnoteReference w:id="4"/>
      </w:r>
      <w:r w:rsidRPr="00701D23">
        <w:t xml:space="preserve">  Notice of noncompliance triggers restrictions on the FHC’s ability to engage in additional nonbanking activities and commences a 45-day period for the FHC to </w:t>
      </w:r>
      <w:r w:rsidR="00F7272C" w:rsidRPr="00701D23">
        <w:t xml:space="preserve">submit plans to the Board for curing the deficiencies and to execute </w:t>
      </w:r>
      <w:r w:rsidRPr="00701D23">
        <w:t>a</w:t>
      </w:r>
      <w:r w:rsidR="00F7272C" w:rsidRPr="00701D23">
        <w:t xml:space="preserve"> formal cure agreement with </w:t>
      </w:r>
      <w:r w:rsidR="00273282" w:rsidRPr="00701D23">
        <w:t>the Board</w:t>
      </w:r>
      <w:r w:rsidR="00F7272C" w:rsidRPr="00701D23">
        <w:t>.</w:t>
      </w:r>
      <w:r w:rsidRPr="00701D23">
        <w:rPr>
          <w:rStyle w:val="FootnoteReference"/>
          <w:vertAlign w:val="superscript"/>
        </w:rPr>
        <w:footnoteReference w:id="5"/>
      </w:r>
      <w:r w:rsidRPr="00701D23">
        <w:t xml:space="preserve">   </w:t>
      </w:r>
    </w:p>
    <w:p w:rsidR="00965E0A" w:rsidRPr="00701D23" w:rsidRDefault="00965E0A">
      <w:pPr>
        <w:ind w:firstLine="720"/>
      </w:pPr>
    </w:p>
    <w:p w:rsidR="00746E35" w:rsidRPr="00701D23" w:rsidRDefault="00746E35">
      <w:pPr>
        <w:ind w:firstLine="720"/>
      </w:pPr>
      <w:r w:rsidRPr="00701D23">
        <w:t>4.  Notice</w:t>
      </w:r>
      <w:r w:rsidR="00967591">
        <w:t>s</w:t>
      </w:r>
      <w:r w:rsidRPr="00701D23">
        <w:t xml:space="preserve"> by State Member Banks to Invest in Financial Subsidiaries (FR 4017). The Federal Reserve Act and Regulation H require state member banks to obtain approval from the Board prior to establishing, acquiring control of, or acquiring an interest in a financial subsidiary.</w:t>
      </w:r>
      <w:r w:rsidRPr="00701D23">
        <w:rPr>
          <w:rStyle w:val="FootnoteReference"/>
          <w:vertAlign w:val="superscript"/>
        </w:rPr>
        <w:footnoteReference w:id="6"/>
      </w:r>
      <w:r w:rsidRPr="00701D23">
        <w:t xml:space="preserve">  The information contained in </w:t>
      </w:r>
      <w:r w:rsidR="00A03B7F">
        <w:t>the</w:t>
      </w:r>
      <w:r w:rsidRPr="00701D23">
        <w:t xml:space="preserve"> notice is used by </w:t>
      </w:r>
      <w:r w:rsidR="00843242">
        <w:t>the Federal Reserve</w:t>
      </w:r>
      <w:r w:rsidRPr="00701D23">
        <w:t xml:space="preserve"> to ascertain whether the filer is eligible to establish a financial subsidiary.   </w:t>
      </w:r>
    </w:p>
    <w:p w:rsidR="00746E35" w:rsidRPr="00701D23" w:rsidRDefault="00746E35">
      <w:pPr>
        <w:ind w:left="1440" w:hanging="720"/>
        <w:jc w:val="both"/>
        <w:rPr>
          <w:b/>
        </w:rPr>
      </w:pPr>
    </w:p>
    <w:p w:rsidR="00746E35" w:rsidRPr="00701D23" w:rsidRDefault="00746E35">
      <w:pPr>
        <w:ind w:firstLine="720"/>
      </w:pPr>
      <w:r w:rsidRPr="00701D23">
        <w:t>5.  Regulatory Relief Requests Associated with Merchant Banking Activities (FR 4019).</w:t>
      </w:r>
      <w:r w:rsidRPr="00701D23">
        <w:rPr>
          <w:b/>
        </w:rPr>
        <w:t xml:space="preserve">  </w:t>
      </w:r>
      <w:r w:rsidRPr="00701D23">
        <w:lastRenderedPageBreak/>
        <w:t xml:space="preserve">Regulation Y generally limits holding periods for merchant banking investments to </w:t>
      </w:r>
      <w:r w:rsidR="00CA3134">
        <w:t xml:space="preserve">10 </w:t>
      </w:r>
      <w:r w:rsidRPr="00701D23">
        <w:t>years (15 years in the ca</w:t>
      </w:r>
      <w:r w:rsidR="000C45CC" w:rsidRPr="00701D23">
        <w:t>se of investments in or through</w:t>
      </w:r>
      <w:r w:rsidRPr="00701D23">
        <w:t xml:space="preserve"> private equity funds), but permits a FHC to request holding period extensions on a case-by-case basis.</w:t>
      </w:r>
      <w:r w:rsidRPr="00701D23">
        <w:rPr>
          <w:rStyle w:val="FootnoteReference"/>
          <w:vertAlign w:val="superscript"/>
        </w:rPr>
        <w:footnoteReference w:id="7"/>
      </w:r>
      <w:r w:rsidRPr="00701D23">
        <w:t xml:space="preserve">  Information contained in </w:t>
      </w:r>
      <w:r w:rsidR="00CA3134">
        <w:t xml:space="preserve">the </w:t>
      </w:r>
      <w:r w:rsidRPr="00701D23">
        <w:t xml:space="preserve">request is used to determine whether the request should be granted.  </w:t>
      </w:r>
      <w:r w:rsidR="00E264A9" w:rsidRPr="00701D23">
        <w:t xml:space="preserve">The BHC Act </w:t>
      </w:r>
      <w:r w:rsidRPr="00701D23">
        <w:t>also bars FHCs from routinely managing or operating portfolio companies held as merchant banking investments, except as necessary or required to obtain a reasonable return on investment</w:t>
      </w:r>
      <w:r w:rsidR="00E264A9" w:rsidRPr="00701D23">
        <w:t xml:space="preserve">.  To help monitor compliance with this limitation, Regulation Y </w:t>
      </w:r>
      <w:r w:rsidRPr="00701D23">
        <w:t>requires a FHC to notify the Board if the FHC’s routine management or operation of a portfolio company lasts longer than nine months.</w:t>
      </w:r>
      <w:r w:rsidRPr="00701D23">
        <w:rPr>
          <w:rStyle w:val="FootnoteReference"/>
          <w:vertAlign w:val="superscript"/>
        </w:rPr>
        <w:footnoteReference w:id="8"/>
      </w:r>
      <w:r w:rsidRPr="00701D23">
        <w:t xml:space="preserve">  Information in </w:t>
      </w:r>
      <w:r w:rsidR="00CA3134">
        <w:t>the</w:t>
      </w:r>
      <w:r w:rsidRPr="00701D23">
        <w:t xml:space="preserve"> notice enables </w:t>
      </w:r>
      <w:r w:rsidR="00843242">
        <w:t>the Federal Reserve</w:t>
      </w:r>
      <w:r w:rsidRPr="00701D23">
        <w:t xml:space="preserve"> to monitor compliance with requirements for engaging in merchant banking activities.</w:t>
      </w:r>
      <w:r w:rsidRPr="00701D23">
        <w:rPr>
          <w:vertAlign w:val="superscript"/>
        </w:rPr>
        <w:t xml:space="preserve"> </w:t>
      </w:r>
      <w:r w:rsidRPr="00701D23">
        <w:t xml:space="preserve"> </w:t>
      </w:r>
    </w:p>
    <w:p w:rsidR="00746E35" w:rsidRPr="00701D23" w:rsidRDefault="00746E35">
      <w:pPr>
        <w:jc w:val="both"/>
      </w:pPr>
    </w:p>
    <w:p w:rsidR="00746E35" w:rsidRPr="00701D23" w:rsidRDefault="00746E35">
      <w:pPr>
        <w:ind w:firstLine="720"/>
      </w:pPr>
      <w:r w:rsidRPr="00701D23">
        <w:t>6.  Recordkeeping Requirements Associated with Merchant Banking Activities</w:t>
      </w:r>
      <w:r w:rsidR="00E42416">
        <w:t xml:space="preserve"> (FR 4023)</w:t>
      </w:r>
      <w:r w:rsidRPr="00701D23">
        <w:t>.  Regulation Y requires companies engaging in merchant banking activities to establish and maintain policies, procedures, records, and systems for managing the activities and the risk associated with them and to make these materials available upon request to the Board or appropriate Reserve Bank.</w:t>
      </w:r>
      <w:r w:rsidRPr="00701D23">
        <w:rPr>
          <w:rStyle w:val="FootnoteReference"/>
          <w:vertAlign w:val="superscript"/>
        </w:rPr>
        <w:footnoteReference w:id="9"/>
      </w:r>
      <w:r w:rsidRPr="00701D23">
        <w:t xml:space="preserve">  Regulation Y also requires FHCs to document any routine management or operation of a portfolio company and to make this documentation available to the Board on request.</w:t>
      </w:r>
      <w:r w:rsidRPr="00701D23">
        <w:rPr>
          <w:rStyle w:val="FootnoteReference"/>
          <w:vertAlign w:val="superscript"/>
        </w:rPr>
        <w:footnoteReference w:id="10"/>
      </w:r>
      <w:r w:rsidRPr="00701D23">
        <w:t xml:space="preserve">  Examiners use this information to assess whether the FHC is conducting its merchant banking activities in a safe and sound manner and whether the FHC is in compliance with applicable regulatory requirements for engaging in merchant banking activities.</w:t>
      </w:r>
    </w:p>
    <w:p w:rsidR="00746E35" w:rsidRPr="00701D23" w:rsidRDefault="00746E35">
      <w:pPr>
        <w:ind w:firstLine="720"/>
      </w:pPr>
    </w:p>
    <w:p w:rsidR="00746E35" w:rsidRDefault="00CD0E67">
      <w:pPr>
        <w:jc w:val="both"/>
        <w:rPr>
          <w:b/>
        </w:rPr>
      </w:pPr>
      <w:r w:rsidRPr="00CD0E67">
        <w:rPr>
          <w:b/>
        </w:rPr>
        <w:t>Description of Information Collections</w:t>
      </w:r>
    </w:p>
    <w:p w:rsidR="00CA3134" w:rsidRPr="00701D23" w:rsidRDefault="00CA3134">
      <w:pPr>
        <w:jc w:val="both"/>
        <w:rPr>
          <w:b/>
        </w:rPr>
      </w:pPr>
    </w:p>
    <w:p w:rsidR="00746E35" w:rsidRPr="00701D23" w:rsidRDefault="00746E35">
      <w:r w:rsidRPr="00701D23">
        <w:tab/>
        <w:t>1.  Declarations to Become a Financial Holding Company (FR 4010).</w:t>
      </w:r>
      <w:r w:rsidRPr="00701D23">
        <w:rPr>
          <w:b/>
        </w:rPr>
        <w:t xml:space="preserve">  </w:t>
      </w:r>
      <w:r w:rsidRPr="00701D23">
        <w:t>Regulation Y specifies the information to be included in a declaration.</w:t>
      </w:r>
      <w:r w:rsidRPr="00701D23">
        <w:rPr>
          <w:rStyle w:val="FootnoteReference"/>
          <w:vertAlign w:val="superscript"/>
        </w:rPr>
        <w:footnoteReference w:id="11"/>
      </w:r>
      <w:r w:rsidRPr="00701D23">
        <w:t xml:space="preserve">  In most cases, FHC declarations are filed in the form of a letter addressed to the appropriate Reserve Bank.</w:t>
      </w:r>
      <w:r w:rsidR="00B51D0E" w:rsidRPr="00701D23">
        <w:t xml:space="preserve">  </w:t>
      </w:r>
    </w:p>
    <w:p w:rsidR="00B51D0E" w:rsidRPr="00701D23" w:rsidRDefault="00B51D0E"/>
    <w:p w:rsidR="00746E35" w:rsidRDefault="00746E35">
      <w:r w:rsidRPr="00701D23">
        <w:t>A FHC declaration filed by a U.S. BHC must state that the BHC elects to become a FHC, must be signed by an authorized official or representative, and must provide the following information:</w:t>
      </w:r>
    </w:p>
    <w:p w:rsidR="00CA3134" w:rsidRPr="00701D23" w:rsidRDefault="00CA3134"/>
    <w:p w:rsidR="00746E35" w:rsidRPr="00701D23" w:rsidRDefault="00746E35" w:rsidP="00B51D0E">
      <w:pPr>
        <w:numPr>
          <w:ilvl w:val="0"/>
          <w:numId w:val="24"/>
        </w:numPr>
        <w:tabs>
          <w:tab w:val="clear" w:pos="720"/>
          <w:tab w:val="num" w:pos="360"/>
        </w:tabs>
        <w:ind w:left="360"/>
        <w:rPr>
          <w:b/>
        </w:rPr>
      </w:pPr>
      <w:proofErr w:type="gramStart"/>
      <w:r w:rsidRPr="00701D23">
        <w:t>the</w:t>
      </w:r>
      <w:proofErr w:type="gramEnd"/>
      <w:r w:rsidRPr="00701D23">
        <w:t xml:space="preserve"> name and head office address of the BHC and of each depository institution controlled by the BHC</w:t>
      </w:r>
      <w:r w:rsidR="00B51D0E" w:rsidRPr="00701D23">
        <w:t xml:space="preserve"> (Multi-tiered filers may file a single declaration, provided the name and head office address of each tiered company is listed</w:t>
      </w:r>
      <w:r w:rsidR="00E128E2">
        <w:t>.</w:t>
      </w:r>
      <w:r w:rsidR="00B51D0E" w:rsidRPr="00701D23">
        <w:t>)</w:t>
      </w:r>
      <w:r w:rsidR="009D04D0">
        <w:t>,</w:t>
      </w:r>
    </w:p>
    <w:p w:rsidR="00746E35" w:rsidRPr="00701D23" w:rsidRDefault="00746E35" w:rsidP="00B51D0E">
      <w:pPr>
        <w:numPr>
          <w:ilvl w:val="0"/>
          <w:numId w:val="24"/>
        </w:numPr>
        <w:tabs>
          <w:tab w:val="clear" w:pos="720"/>
          <w:tab w:val="left" w:pos="360"/>
          <w:tab w:val="num" w:pos="450"/>
        </w:tabs>
        <w:ind w:left="360"/>
      </w:pPr>
      <w:r w:rsidRPr="00701D23">
        <w:t>a certification that all depository institutions controlled by the BHC are well</w:t>
      </w:r>
      <w:r w:rsidR="0038408B" w:rsidRPr="00701D23">
        <w:t>-</w:t>
      </w:r>
      <w:r w:rsidRPr="00701D23">
        <w:t>capitalized and well</w:t>
      </w:r>
      <w:r w:rsidR="0038408B" w:rsidRPr="00701D23">
        <w:t>-</w:t>
      </w:r>
      <w:r w:rsidRPr="00701D23">
        <w:t>managed as of the declaration date</w:t>
      </w:r>
      <w:r w:rsidR="009D04D0">
        <w:t>,</w:t>
      </w:r>
      <w:r w:rsidRPr="00701D23">
        <w:t xml:space="preserve"> and</w:t>
      </w:r>
    </w:p>
    <w:p w:rsidR="00746E35" w:rsidRPr="00701D23" w:rsidRDefault="00746E35" w:rsidP="00B51D0E">
      <w:pPr>
        <w:numPr>
          <w:ilvl w:val="0"/>
          <w:numId w:val="24"/>
        </w:numPr>
        <w:tabs>
          <w:tab w:val="clear" w:pos="720"/>
          <w:tab w:val="num" w:pos="360"/>
        </w:tabs>
        <w:ind w:left="360"/>
      </w:pPr>
      <w:proofErr w:type="gramStart"/>
      <w:r w:rsidRPr="00701D23">
        <w:t>the</w:t>
      </w:r>
      <w:proofErr w:type="gramEnd"/>
      <w:r w:rsidRPr="00701D23">
        <w:t xml:space="preserve"> capital ratios (as of the close of the previous quarter) for each depository institution the BHC controls.  </w:t>
      </w:r>
    </w:p>
    <w:p w:rsidR="00746E35" w:rsidRPr="00701D23" w:rsidRDefault="00746E35">
      <w:pPr>
        <w:pStyle w:val="a"/>
        <w:jc w:val="both"/>
      </w:pPr>
    </w:p>
    <w:p w:rsidR="00746E35" w:rsidRDefault="00746E35">
      <w:r w:rsidRPr="00701D23">
        <w:t xml:space="preserve">A FHC declaration filed by a FBO must state that the FBO elects to be treated as a FHC, must be </w:t>
      </w:r>
      <w:r w:rsidRPr="00701D23">
        <w:lastRenderedPageBreak/>
        <w:t>signed by an authorized official or representative, and must provide the following information:</w:t>
      </w:r>
    </w:p>
    <w:p w:rsidR="00CA3134" w:rsidRPr="00701D23" w:rsidRDefault="00CA3134"/>
    <w:p w:rsidR="00746E35" w:rsidRPr="00701D23" w:rsidRDefault="00746E35">
      <w:pPr>
        <w:pStyle w:val="a"/>
        <w:numPr>
          <w:ilvl w:val="0"/>
          <w:numId w:val="25"/>
        </w:numPr>
      </w:pPr>
      <w:r w:rsidRPr="00701D23">
        <w:t>with respect to each foreign bank controlled by the FBO, the bank’s risk-based capital ratios, amount of tier 1 capital, and total assets, as of the close of the most recent quarter and as of the close of the most recent audited reporting period</w:t>
      </w:r>
      <w:r w:rsidR="003E212D">
        <w:t>,</w:t>
      </w:r>
    </w:p>
    <w:p w:rsidR="00746E35" w:rsidRPr="00701D23" w:rsidRDefault="00746E35" w:rsidP="00B34CEE">
      <w:pPr>
        <w:widowControl/>
        <w:numPr>
          <w:ilvl w:val="0"/>
          <w:numId w:val="25"/>
        </w:numPr>
      </w:pPr>
      <w:r w:rsidRPr="00701D23">
        <w:t>a certification that each foreign bank controlled by the FBO is well</w:t>
      </w:r>
      <w:r w:rsidR="00E128E2">
        <w:t xml:space="preserve"> </w:t>
      </w:r>
      <w:r w:rsidRPr="00701D23">
        <w:t>capitalized and well</w:t>
      </w:r>
      <w:r w:rsidR="00E128E2">
        <w:t xml:space="preserve"> </w:t>
      </w:r>
      <w:r w:rsidRPr="00701D23">
        <w:t>managed</w:t>
      </w:r>
      <w:r w:rsidR="003E212D">
        <w:t>,</w:t>
      </w:r>
    </w:p>
    <w:p w:rsidR="00746E35" w:rsidRPr="00701D23" w:rsidRDefault="00746E35">
      <w:pPr>
        <w:numPr>
          <w:ilvl w:val="0"/>
          <w:numId w:val="25"/>
        </w:numPr>
      </w:pPr>
      <w:r w:rsidRPr="00701D23">
        <w:t>a certification that all U.S. depository institutions controlled by the FBO are well</w:t>
      </w:r>
      <w:r w:rsidR="00E128E2">
        <w:t xml:space="preserve"> </w:t>
      </w:r>
      <w:r w:rsidRPr="00701D23">
        <w:t>capitalized and well</w:t>
      </w:r>
      <w:r w:rsidR="00E128E2">
        <w:t xml:space="preserve"> </w:t>
      </w:r>
      <w:r w:rsidRPr="00701D23">
        <w:t>managed as of the declaration date</w:t>
      </w:r>
      <w:r w:rsidR="003E212D">
        <w:t>,</w:t>
      </w:r>
      <w:r w:rsidRPr="00701D23">
        <w:t xml:space="preserve"> and</w:t>
      </w:r>
    </w:p>
    <w:p w:rsidR="00746E35" w:rsidRPr="00701D23" w:rsidRDefault="00746E35">
      <w:pPr>
        <w:numPr>
          <w:ilvl w:val="0"/>
          <w:numId w:val="25"/>
        </w:numPr>
      </w:pPr>
      <w:proofErr w:type="gramStart"/>
      <w:r w:rsidRPr="00701D23">
        <w:t>the</w:t>
      </w:r>
      <w:proofErr w:type="gramEnd"/>
      <w:r w:rsidRPr="00701D23">
        <w:t xml:space="preserve"> capital ratios as of the close of the previous quarter for each </w:t>
      </w:r>
      <w:smartTag w:uri="urn:schemas-microsoft-com:office:smarttags" w:element="country-region">
        <w:smartTag w:uri="urn:schemas-microsoft-com:office:smarttags" w:element="place">
          <w:r w:rsidRPr="00701D23">
            <w:t>U.S.</w:t>
          </w:r>
        </w:smartTag>
      </w:smartTag>
      <w:r w:rsidRPr="00701D23">
        <w:t xml:space="preserve"> depository institution controlled by the FBO.</w:t>
      </w:r>
    </w:p>
    <w:p w:rsidR="00746E35" w:rsidRPr="00701D23" w:rsidRDefault="00746E35">
      <w:r w:rsidRPr="00701D23">
        <w:t xml:space="preserve"> </w:t>
      </w:r>
    </w:p>
    <w:p w:rsidR="00746E35" w:rsidRDefault="007B16BA" w:rsidP="007B16BA">
      <w:r w:rsidRPr="00701D23">
        <w:tab/>
        <w:t xml:space="preserve">2.  </w:t>
      </w:r>
      <w:r w:rsidR="00746E35" w:rsidRPr="00701D23">
        <w:t>Requests for Determinations and Interpretations Regarding Activities Financial in Nature (FR 4011).</w:t>
      </w:r>
      <w:r w:rsidR="00746E35" w:rsidRPr="00701D23">
        <w:rPr>
          <w:b/>
        </w:rPr>
        <w:t xml:space="preserve">  </w:t>
      </w:r>
      <w:r w:rsidR="00746E35" w:rsidRPr="00701D23">
        <w:t>Regulation Y specifies the information to be collected in connection with each type of request.</w:t>
      </w:r>
      <w:r w:rsidR="00746E35" w:rsidRPr="00701D23">
        <w:rPr>
          <w:rStyle w:val="FootnoteReference"/>
          <w:vertAlign w:val="superscript"/>
        </w:rPr>
        <w:footnoteReference w:id="12"/>
      </w:r>
      <w:r w:rsidR="00746E35" w:rsidRPr="00701D23">
        <w:t xml:space="preserve">  A request for a determination that an activity is financial in nature or incidental to a financial activity must be in writing and:</w:t>
      </w:r>
    </w:p>
    <w:p w:rsidR="00CA3134" w:rsidRPr="00701D23" w:rsidRDefault="00CA3134" w:rsidP="007B16BA"/>
    <w:p w:rsidR="00746E35" w:rsidRPr="00701D23" w:rsidRDefault="00746E35">
      <w:pPr>
        <w:pStyle w:val="a"/>
        <w:numPr>
          <w:ilvl w:val="0"/>
          <w:numId w:val="27"/>
        </w:numPr>
      </w:pPr>
      <w:r w:rsidRPr="00701D23">
        <w:t xml:space="preserve">identify, define, </w:t>
      </w:r>
      <w:r w:rsidR="00967591">
        <w:t xml:space="preserve">and </w:t>
      </w:r>
      <w:r w:rsidRPr="00701D23">
        <w:t>describe the activity and explain how the activity would be conducted</w:t>
      </w:r>
      <w:r w:rsidR="003E212D">
        <w:t>,</w:t>
      </w:r>
    </w:p>
    <w:p w:rsidR="00746E35" w:rsidRPr="00701D23" w:rsidRDefault="00746E35">
      <w:pPr>
        <w:numPr>
          <w:ilvl w:val="0"/>
          <w:numId w:val="27"/>
        </w:numPr>
      </w:pPr>
      <w:r w:rsidRPr="00701D23">
        <w:t>explain why the activity should be considered financial in nature or incidental to a financial activity</w:t>
      </w:r>
      <w:r w:rsidR="003E212D">
        <w:t>,</w:t>
      </w:r>
      <w:r w:rsidRPr="00701D23">
        <w:t xml:space="preserve"> and</w:t>
      </w:r>
    </w:p>
    <w:p w:rsidR="00746E35" w:rsidRPr="00701D23" w:rsidRDefault="00746E35">
      <w:pPr>
        <w:numPr>
          <w:ilvl w:val="0"/>
          <w:numId w:val="27"/>
        </w:numPr>
      </w:pPr>
      <w:proofErr w:type="gramStart"/>
      <w:r w:rsidRPr="00701D23">
        <w:t>include</w:t>
      </w:r>
      <w:proofErr w:type="gramEnd"/>
      <w:r w:rsidRPr="00701D23">
        <w:t xml:space="preserve"> information supporting the request and any other information required by the Board.</w:t>
      </w:r>
    </w:p>
    <w:p w:rsidR="00746E35" w:rsidRPr="00701D23" w:rsidRDefault="00746E35">
      <w:pPr>
        <w:pStyle w:val="a"/>
        <w:jc w:val="both"/>
      </w:pPr>
    </w:p>
    <w:p w:rsidR="00746E35" w:rsidRDefault="00746E35">
      <w:pPr>
        <w:pStyle w:val="BodyText3"/>
        <w:jc w:val="left"/>
      </w:pPr>
      <w:r w:rsidRPr="00701D23">
        <w:t>A request for an advisory opinion that a specific activity is within the scope of activities previously determined to be financial in nature, or incidental to a financial activity, must be in writing and:</w:t>
      </w:r>
    </w:p>
    <w:p w:rsidR="00CA3134" w:rsidRPr="00701D23" w:rsidRDefault="00CA3134">
      <w:pPr>
        <w:pStyle w:val="BodyText3"/>
        <w:jc w:val="left"/>
      </w:pPr>
    </w:p>
    <w:p w:rsidR="00746E35" w:rsidRPr="00701D23" w:rsidRDefault="00746E35">
      <w:pPr>
        <w:pStyle w:val="BodyText3"/>
        <w:numPr>
          <w:ilvl w:val="0"/>
          <w:numId w:val="28"/>
        </w:numPr>
        <w:jc w:val="left"/>
      </w:pPr>
      <w:r w:rsidRPr="00701D23">
        <w:t>describe the proposed activity or the proposed product or service</w:t>
      </w:r>
      <w:r w:rsidR="009D04D0">
        <w:t>,</w:t>
      </w:r>
    </w:p>
    <w:p w:rsidR="00746E35" w:rsidRPr="00701D23" w:rsidRDefault="00746E35">
      <w:pPr>
        <w:pStyle w:val="BodyText3"/>
        <w:numPr>
          <w:ilvl w:val="0"/>
          <w:numId w:val="28"/>
        </w:numPr>
        <w:jc w:val="left"/>
      </w:pPr>
      <w:r w:rsidRPr="00701D23">
        <w:t>offer support for the desired interpretation</w:t>
      </w:r>
      <w:r w:rsidR="009D04D0">
        <w:t>,</w:t>
      </w:r>
      <w:r w:rsidRPr="00701D23">
        <w:t xml:space="preserve"> and</w:t>
      </w:r>
    </w:p>
    <w:p w:rsidR="00746E35" w:rsidRPr="00701D23" w:rsidRDefault="00746E35">
      <w:pPr>
        <w:pStyle w:val="BodyText3"/>
        <w:numPr>
          <w:ilvl w:val="0"/>
          <w:numId w:val="28"/>
        </w:numPr>
        <w:jc w:val="left"/>
      </w:pPr>
      <w:proofErr w:type="gramStart"/>
      <w:r w:rsidRPr="00701D23">
        <w:t>include</w:t>
      </w:r>
      <w:proofErr w:type="gramEnd"/>
      <w:r w:rsidRPr="00701D23">
        <w:t xml:space="preserve"> any other information requested by the Board.</w:t>
      </w:r>
    </w:p>
    <w:p w:rsidR="00746E35" w:rsidRPr="00701D23" w:rsidRDefault="00746E35">
      <w:pPr>
        <w:pStyle w:val="a"/>
        <w:jc w:val="both"/>
      </w:pPr>
    </w:p>
    <w:p w:rsidR="00746E35" w:rsidRDefault="00746E35">
      <w:r w:rsidRPr="00701D23">
        <w:t>An applicant seeking prior approval to engage in an activity that the applicant believes is complementary to a financial activity must submit a written request that:</w:t>
      </w:r>
    </w:p>
    <w:p w:rsidR="00CA3134" w:rsidRPr="00701D23" w:rsidRDefault="00CA3134"/>
    <w:p w:rsidR="00746E35" w:rsidRPr="00701D23" w:rsidRDefault="00746E35">
      <w:pPr>
        <w:pStyle w:val="a"/>
        <w:numPr>
          <w:ilvl w:val="0"/>
          <w:numId w:val="29"/>
        </w:numPr>
      </w:pPr>
      <w:r w:rsidRPr="00701D23">
        <w:t>identif</w:t>
      </w:r>
      <w:r w:rsidR="00DC7580" w:rsidRPr="00701D23">
        <w:t>ies</w:t>
      </w:r>
      <w:r w:rsidRPr="00701D23">
        <w:t>, define</w:t>
      </w:r>
      <w:r w:rsidR="00DC7580" w:rsidRPr="00701D23">
        <w:t>s</w:t>
      </w:r>
      <w:r w:rsidRPr="00701D23">
        <w:t>, and describe</w:t>
      </w:r>
      <w:r w:rsidR="00DC7580" w:rsidRPr="00701D23">
        <w:t>s</w:t>
      </w:r>
      <w:r w:rsidRPr="00701D23">
        <w:t xml:space="preserve"> the activity and explain</w:t>
      </w:r>
      <w:r w:rsidR="00F33A30" w:rsidRPr="00701D23">
        <w:t>s</w:t>
      </w:r>
      <w:r w:rsidRPr="00701D23">
        <w:t xml:space="preserve"> how the activity would be conducted</w:t>
      </w:r>
      <w:r w:rsidR="003E212D">
        <w:t>,</w:t>
      </w:r>
    </w:p>
    <w:p w:rsidR="00746E35" w:rsidRPr="00701D23" w:rsidRDefault="00746E35" w:rsidP="00DC7580">
      <w:pPr>
        <w:numPr>
          <w:ilvl w:val="0"/>
          <w:numId w:val="29"/>
        </w:numPr>
      </w:pPr>
      <w:r w:rsidRPr="00701D23">
        <w:t>identif</w:t>
      </w:r>
      <w:r w:rsidR="00DC7580" w:rsidRPr="00701D23">
        <w:t>ies</w:t>
      </w:r>
      <w:r w:rsidRPr="00701D23">
        <w:t xml:space="preserve"> the financial activity to which the proposed activity would be complementary and provide</w:t>
      </w:r>
      <w:r w:rsidR="00DC7580" w:rsidRPr="00701D23">
        <w:t>s</w:t>
      </w:r>
      <w:r w:rsidRPr="00701D23">
        <w:t xml:space="preserve"> information sufficient to support a finding that the proposed activity is complementary to the financial activity</w:t>
      </w:r>
      <w:r w:rsidR="003E212D">
        <w:t>,</w:t>
      </w:r>
    </w:p>
    <w:p w:rsidR="00746E35" w:rsidRPr="00701D23" w:rsidRDefault="00746E35">
      <w:pPr>
        <w:numPr>
          <w:ilvl w:val="0"/>
          <w:numId w:val="29"/>
        </w:numPr>
      </w:pPr>
      <w:r w:rsidRPr="00701D23">
        <w:t>describe</w:t>
      </w:r>
      <w:r w:rsidR="00DC7580" w:rsidRPr="00701D23">
        <w:t>s</w:t>
      </w:r>
      <w:r w:rsidRPr="00701D23">
        <w:t xml:space="preserve"> the scope and relative size of the proposed activity, measured by the percentage of the FHC’s projected revenues expected to be derived from, and assets associated with, the activity</w:t>
      </w:r>
      <w:r w:rsidR="003E212D">
        <w:t>,</w:t>
      </w:r>
    </w:p>
    <w:p w:rsidR="00746E35" w:rsidRPr="00701D23" w:rsidRDefault="00746E35">
      <w:pPr>
        <w:numPr>
          <w:ilvl w:val="0"/>
          <w:numId w:val="29"/>
        </w:numPr>
      </w:pPr>
      <w:r w:rsidRPr="00701D23">
        <w:t>discuss</w:t>
      </w:r>
      <w:r w:rsidR="00DC7580" w:rsidRPr="00701D23">
        <w:t>es</w:t>
      </w:r>
      <w:r w:rsidRPr="00701D23">
        <w:t xml:space="preserve"> the risks the activity may reasonably be expected to pose to the safety and soundness of the FHC’s depository institutions and to the financial system generally</w:t>
      </w:r>
      <w:r w:rsidR="003E212D">
        <w:t>,</w:t>
      </w:r>
    </w:p>
    <w:p w:rsidR="00746E35" w:rsidRPr="00701D23" w:rsidRDefault="00746E35">
      <w:pPr>
        <w:numPr>
          <w:ilvl w:val="0"/>
          <w:numId w:val="29"/>
        </w:numPr>
      </w:pPr>
      <w:r w:rsidRPr="00701D23">
        <w:lastRenderedPageBreak/>
        <w:t>describe</w:t>
      </w:r>
      <w:r w:rsidR="00DC7580" w:rsidRPr="00701D23">
        <w:t>s</w:t>
      </w:r>
      <w:r w:rsidRPr="00701D23">
        <w:t xml:space="preserve"> the potential adverse effects, including potential conflicts of interest, decreased or unfair competition, or other risks, that the activity could cause, and the measures the FHC proposes to take to address those potential effects</w:t>
      </w:r>
      <w:r w:rsidR="003E212D">
        <w:t>,</w:t>
      </w:r>
    </w:p>
    <w:p w:rsidR="00746E35" w:rsidRPr="00701D23" w:rsidRDefault="00746E35">
      <w:pPr>
        <w:numPr>
          <w:ilvl w:val="0"/>
          <w:numId w:val="29"/>
        </w:numPr>
      </w:pPr>
      <w:r w:rsidRPr="00701D23">
        <w:t>describe</w:t>
      </w:r>
      <w:r w:rsidR="00DC7580" w:rsidRPr="00701D23">
        <w:t>s</w:t>
      </w:r>
      <w:r w:rsidRPr="00701D23">
        <w:t xml:space="preserve"> the potential benefits to the public, such as greater convenience, increased competition, or gains i</w:t>
      </w:r>
      <w:r w:rsidR="000C45CC" w:rsidRPr="00701D23">
        <w:t xml:space="preserve">n efficiency, the proposal may </w:t>
      </w:r>
      <w:r w:rsidRPr="00701D23">
        <w:t>be reasonably expected to produce</w:t>
      </w:r>
      <w:r w:rsidR="003E212D">
        <w:t>, and</w:t>
      </w:r>
    </w:p>
    <w:p w:rsidR="00746E35" w:rsidRPr="00701D23" w:rsidRDefault="00746E35">
      <w:pPr>
        <w:numPr>
          <w:ilvl w:val="0"/>
          <w:numId w:val="29"/>
        </w:numPr>
      </w:pPr>
      <w:proofErr w:type="gramStart"/>
      <w:r w:rsidRPr="00701D23">
        <w:t>provide</w:t>
      </w:r>
      <w:r w:rsidR="00DC7580" w:rsidRPr="00701D23">
        <w:t>s</w:t>
      </w:r>
      <w:proofErr w:type="gramEnd"/>
      <w:r w:rsidRPr="00701D23">
        <w:t xml:space="preserve"> information about the FHC’s financial and managerial resources and any other information requested by the Board.</w:t>
      </w:r>
    </w:p>
    <w:p w:rsidR="00746E35" w:rsidRPr="00701D23" w:rsidRDefault="00746E35">
      <w:pPr>
        <w:jc w:val="both"/>
      </w:pPr>
    </w:p>
    <w:p w:rsidR="00F7272C" w:rsidRPr="00701D23" w:rsidRDefault="00746E35" w:rsidP="00B34CEE">
      <w:pPr>
        <w:widowControl/>
        <w:ind w:firstLine="720"/>
      </w:pPr>
      <w:r w:rsidRPr="00701D23">
        <w:t xml:space="preserve">3.  Notices of Failure to Meet Capital or Management Requirements (FR 4012). </w:t>
      </w:r>
      <w:r w:rsidR="001229E2" w:rsidRPr="00701D23">
        <w:t>Regulation Y provides that t</w:t>
      </w:r>
      <w:r w:rsidRPr="00701D23">
        <w:t>he notice must identify the noncompliant banking entity and the area of noncompliance</w:t>
      </w:r>
      <w:r w:rsidR="001229E2" w:rsidRPr="00701D23">
        <w:t xml:space="preserve"> and</w:t>
      </w:r>
      <w:r w:rsidR="003E212D">
        <w:t>,</w:t>
      </w:r>
      <w:r w:rsidR="001229E2" w:rsidRPr="00701D23">
        <w:t xml:space="preserve"> though Regulation Y does not prescribe</w:t>
      </w:r>
      <w:r w:rsidR="005623C9" w:rsidRPr="00701D23">
        <w:t xml:space="preserve"> a format for such notices, they typically take the form of a letter</w:t>
      </w:r>
      <w:r w:rsidRPr="00701D23">
        <w:t>.</w:t>
      </w:r>
      <w:r w:rsidRPr="00701D23">
        <w:rPr>
          <w:rStyle w:val="FootnoteReference"/>
          <w:vertAlign w:val="superscript"/>
        </w:rPr>
        <w:footnoteReference w:id="13"/>
      </w:r>
    </w:p>
    <w:p w:rsidR="00F7272C" w:rsidRPr="00701D23" w:rsidRDefault="00F7272C" w:rsidP="00F7272C"/>
    <w:p w:rsidR="00981AD3" w:rsidRDefault="005623C9" w:rsidP="00F7272C">
      <w:r w:rsidRPr="00701D23">
        <w:t xml:space="preserve">Plans </w:t>
      </w:r>
      <w:r w:rsidR="0023073C" w:rsidRPr="00701D23">
        <w:t xml:space="preserve">submitted to </w:t>
      </w:r>
      <w:r w:rsidR="00F7272C" w:rsidRPr="00701D23">
        <w:t xml:space="preserve">cure capital and management deficiencies </w:t>
      </w:r>
      <w:r w:rsidR="0095465C" w:rsidRPr="00701D23">
        <w:t xml:space="preserve">typically </w:t>
      </w:r>
      <w:r w:rsidR="00981AD3" w:rsidRPr="00701D23">
        <w:t>include the following:</w:t>
      </w:r>
    </w:p>
    <w:p w:rsidR="00CA3134" w:rsidRPr="00701D23" w:rsidRDefault="00CA3134" w:rsidP="00F7272C"/>
    <w:p w:rsidR="00746E35" w:rsidRPr="00701D23" w:rsidRDefault="0023073C" w:rsidP="0023073C">
      <w:pPr>
        <w:numPr>
          <w:ilvl w:val="0"/>
          <w:numId w:val="33"/>
        </w:numPr>
        <w:tabs>
          <w:tab w:val="clear" w:pos="900"/>
          <w:tab w:val="num" w:pos="360"/>
        </w:tabs>
        <w:ind w:left="360"/>
      </w:pPr>
      <w:r w:rsidRPr="00701D23">
        <w:t>an explanation of the specific actions the FHC will take to correct all areas of noncompliance</w:t>
      </w:r>
      <w:r w:rsidR="009D04D0">
        <w:t>,</w:t>
      </w:r>
    </w:p>
    <w:p w:rsidR="0023073C" w:rsidRPr="00701D23" w:rsidRDefault="0023073C" w:rsidP="0023073C">
      <w:pPr>
        <w:numPr>
          <w:ilvl w:val="0"/>
          <w:numId w:val="33"/>
        </w:numPr>
        <w:tabs>
          <w:tab w:val="clear" w:pos="900"/>
          <w:tab w:val="num" w:pos="360"/>
        </w:tabs>
        <w:ind w:left="360"/>
      </w:pPr>
      <w:r w:rsidRPr="00701D23">
        <w:t>a schedule within which each action will be taken</w:t>
      </w:r>
      <w:r w:rsidR="009D04D0">
        <w:t>,</w:t>
      </w:r>
      <w:r w:rsidRPr="00701D23">
        <w:t xml:space="preserve"> and</w:t>
      </w:r>
    </w:p>
    <w:p w:rsidR="0023073C" w:rsidRPr="00701D23" w:rsidRDefault="0023073C" w:rsidP="0023073C">
      <w:pPr>
        <w:numPr>
          <w:ilvl w:val="0"/>
          <w:numId w:val="33"/>
        </w:numPr>
        <w:tabs>
          <w:tab w:val="clear" w:pos="900"/>
          <w:tab w:val="num" w:pos="360"/>
        </w:tabs>
        <w:ind w:left="360"/>
      </w:pPr>
      <w:proofErr w:type="gramStart"/>
      <w:r w:rsidRPr="00701D23">
        <w:t>any</w:t>
      </w:r>
      <w:proofErr w:type="gramEnd"/>
      <w:r w:rsidRPr="00701D23">
        <w:t xml:space="preserve"> other information the Board may require.</w:t>
      </w:r>
    </w:p>
    <w:p w:rsidR="00746E35" w:rsidRPr="00701D23" w:rsidRDefault="00746E35">
      <w:pPr>
        <w:jc w:val="both"/>
      </w:pPr>
    </w:p>
    <w:p w:rsidR="00746E35" w:rsidRDefault="00746E35">
      <w:pPr>
        <w:ind w:firstLine="720"/>
      </w:pPr>
      <w:r w:rsidRPr="00701D23">
        <w:t>4.  Notice</w:t>
      </w:r>
      <w:r w:rsidR="00967591">
        <w:t>s</w:t>
      </w:r>
      <w:r w:rsidRPr="00701D23">
        <w:t xml:space="preserve"> by </w:t>
      </w:r>
      <w:r w:rsidR="00EB313D">
        <w:t xml:space="preserve">State </w:t>
      </w:r>
      <w:r w:rsidRPr="00701D23">
        <w:t xml:space="preserve">Member Banks to Invest in Financial Subsidiaries (FR 4017). </w:t>
      </w:r>
      <w:r w:rsidRPr="00701D23">
        <w:rPr>
          <w:i/>
        </w:rPr>
        <w:t xml:space="preserve">  </w:t>
      </w:r>
      <w:r w:rsidRPr="00701D23">
        <w:t>Regulation H requires these notices to be in the form of a letter with enclosures and</w:t>
      </w:r>
      <w:r w:rsidR="005C53DD" w:rsidRPr="00701D23">
        <w:t>:</w:t>
      </w:r>
      <w:r w:rsidR="005C53DD" w:rsidRPr="00701D23">
        <w:rPr>
          <w:rStyle w:val="FootnoteReference"/>
          <w:vertAlign w:val="superscript"/>
        </w:rPr>
        <w:footnoteReference w:id="14"/>
      </w:r>
    </w:p>
    <w:p w:rsidR="00CA3134" w:rsidRPr="00701D23" w:rsidRDefault="00CA3134">
      <w:pPr>
        <w:ind w:firstLine="720"/>
      </w:pPr>
    </w:p>
    <w:p w:rsidR="00746E35" w:rsidRPr="00701D23" w:rsidRDefault="00746E35">
      <w:pPr>
        <w:pStyle w:val="a"/>
        <w:numPr>
          <w:ilvl w:val="0"/>
          <w:numId w:val="30"/>
        </w:numPr>
      </w:pPr>
      <w:r w:rsidRPr="00701D23">
        <w:t>describe the proposed transaction by which the bank</w:t>
      </w:r>
      <w:r w:rsidR="00845558" w:rsidRPr="00701D23">
        <w:t xml:space="preserve"> would acquire the stake in the</w:t>
      </w:r>
      <w:r w:rsidRPr="00701D23">
        <w:t xml:space="preserve"> financial subsidiary</w:t>
      </w:r>
      <w:r w:rsidR="009D04D0">
        <w:t>,</w:t>
      </w:r>
    </w:p>
    <w:p w:rsidR="00746E35" w:rsidRPr="00701D23" w:rsidRDefault="00746E35">
      <w:pPr>
        <w:numPr>
          <w:ilvl w:val="0"/>
          <w:numId w:val="30"/>
        </w:numPr>
      </w:pPr>
      <w:r w:rsidRPr="00701D23">
        <w:t>provide the name and head o</w:t>
      </w:r>
      <w:r w:rsidR="009D04D0">
        <w:t>ffice address of the subsidiary,</w:t>
      </w:r>
    </w:p>
    <w:p w:rsidR="00746E35" w:rsidRPr="00701D23" w:rsidRDefault="00746E35">
      <w:pPr>
        <w:numPr>
          <w:ilvl w:val="0"/>
          <w:numId w:val="30"/>
        </w:numPr>
      </w:pPr>
      <w:r w:rsidRPr="00701D23">
        <w:t>describe each current and proposed activity of the finan</w:t>
      </w:r>
      <w:r w:rsidR="00845558" w:rsidRPr="00701D23">
        <w:t xml:space="preserve">cial subsidiary and the legal </w:t>
      </w:r>
      <w:r w:rsidR="009D04D0">
        <w:t>authority for each activity,</w:t>
      </w:r>
    </w:p>
    <w:p w:rsidR="00746E35" w:rsidRPr="00701D23" w:rsidRDefault="00746E35">
      <w:pPr>
        <w:numPr>
          <w:ilvl w:val="0"/>
          <w:numId w:val="30"/>
        </w:numPr>
      </w:pPr>
      <w:r w:rsidRPr="00701D23">
        <w:t>provide the capital ratios, as of the end of the most recent calendar quarter, for the bank and each of its de</w:t>
      </w:r>
      <w:r w:rsidR="009D04D0">
        <w:t>pository institution affiliates,</w:t>
      </w:r>
    </w:p>
    <w:p w:rsidR="00746E35" w:rsidRPr="00701D23" w:rsidRDefault="00746E35">
      <w:pPr>
        <w:numPr>
          <w:ilvl w:val="0"/>
          <w:numId w:val="30"/>
        </w:numPr>
      </w:pPr>
      <w:r w:rsidRPr="00701D23">
        <w:t>certify that the bank and each of its depository institution affiliates were well</w:t>
      </w:r>
      <w:r w:rsidR="003E212D">
        <w:t xml:space="preserve"> </w:t>
      </w:r>
      <w:r w:rsidRPr="00701D23">
        <w:t>capitalized at the close of the previous calendar qu</w:t>
      </w:r>
      <w:r w:rsidR="009D04D0">
        <w:t>arter and as of the notice date,</w:t>
      </w:r>
    </w:p>
    <w:p w:rsidR="00965E0A" w:rsidRPr="00701D23" w:rsidRDefault="00746E35" w:rsidP="00965E0A">
      <w:pPr>
        <w:numPr>
          <w:ilvl w:val="0"/>
          <w:numId w:val="30"/>
        </w:numPr>
      </w:pPr>
      <w:r w:rsidRPr="00701D23">
        <w:t>certify that the bank and each of its depository institution affiliates are well</w:t>
      </w:r>
      <w:r w:rsidR="003E212D">
        <w:t xml:space="preserve"> </w:t>
      </w:r>
      <w:r w:rsidR="009D04D0">
        <w:t>managed as of the notice date,</w:t>
      </w:r>
    </w:p>
    <w:p w:rsidR="00746E35" w:rsidRPr="00701D23" w:rsidRDefault="00746E35">
      <w:pPr>
        <w:numPr>
          <w:ilvl w:val="0"/>
          <w:numId w:val="30"/>
        </w:numPr>
      </w:pPr>
      <w:r w:rsidRPr="00701D23">
        <w:t xml:space="preserve">certify that the bank meets any applicable debt rating or alternative requirements and complies both before </w:t>
      </w:r>
      <w:r w:rsidR="00845558" w:rsidRPr="00701D23">
        <w:t xml:space="preserve">and after the transaction with </w:t>
      </w:r>
      <w:r w:rsidRPr="00701D23">
        <w:t>the limit on the aggregate amount of assets held by the bank’s financial subsidiaries</w:t>
      </w:r>
      <w:r w:rsidR="009D04D0">
        <w:t>,</w:t>
      </w:r>
      <w:r w:rsidRPr="00701D23">
        <w:t xml:space="preserve"> and</w:t>
      </w:r>
    </w:p>
    <w:p w:rsidR="00746E35" w:rsidRDefault="00746E35">
      <w:pPr>
        <w:numPr>
          <w:ilvl w:val="0"/>
          <w:numId w:val="30"/>
        </w:numPr>
      </w:pPr>
      <w:proofErr w:type="gramStart"/>
      <w:r w:rsidRPr="00701D23">
        <w:t>if</w:t>
      </w:r>
      <w:proofErr w:type="gramEnd"/>
      <w:r w:rsidRPr="00701D23">
        <w:t xml:space="preserve"> the financial subsidiary will engage in insurance activities, describe the insurance activities to be conducted and identify each state in which the company holds an insurance license and the state insurance authority that issued the license.</w:t>
      </w:r>
    </w:p>
    <w:p w:rsidR="005D77A9" w:rsidRPr="00701D23" w:rsidRDefault="005D77A9" w:rsidP="005D77A9">
      <w:pPr>
        <w:ind w:left="360"/>
      </w:pPr>
    </w:p>
    <w:p w:rsidR="00746E35" w:rsidRDefault="00746E35">
      <w:pPr>
        <w:ind w:firstLine="720"/>
        <w:rPr>
          <w:vertAlign w:val="superscript"/>
        </w:rPr>
      </w:pPr>
      <w:r w:rsidRPr="00701D23">
        <w:t>5.  Regulatory Relief Requests Associated with Merchant Banking Activities (FR 4019).</w:t>
      </w:r>
      <w:r w:rsidRPr="00701D23">
        <w:rPr>
          <w:b/>
        </w:rPr>
        <w:t xml:space="preserve">  </w:t>
      </w:r>
      <w:r w:rsidRPr="00701D23">
        <w:lastRenderedPageBreak/>
        <w:t>Regulation Y requires requests for extension of the holding period for a merchant bank investment to include the following information:</w:t>
      </w:r>
      <w:r w:rsidR="005C53DD" w:rsidRPr="00701D23">
        <w:rPr>
          <w:rStyle w:val="FootnoteReference"/>
          <w:vertAlign w:val="superscript"/>
        </w:rPr>
        <w:t xml:space="preserve"> </w:t>
      </w:r>
      <w:r w:rsidR="005C53DD" w:rsidRPr="00701D23">
        <w:rPr>
          <w:rStyle w:val="FootnoteReference"/>
          <w:vertAlign w:val="superscript"/>
        </w:rPr>
        <w:footnoteReference w:id="15"/>
      </w:r>
    </w:p>
    <w:p w:rsidR="00CA3134" w:rsidRPr="00701D23" w:rsidRDefault="00CA3134">
      <w:pPr>
        <w:ind w:firstLine="720"/>
      </w:pPr>
    </w:p>
    <w:p w:rsidR="00746E35" w:rsidRPr="00701D23" w:rsidRDefault="00746E35">
      <w:pPr>
        <w:pStyle w:val="a"/>
        <w:numPr>
          <w:ilvl w:val="0"/>
          <w:numId w:val="31"/>
        </w:numPr>
      </w:pPr>
      <w:r w:rsidRPr="00701D23">
        <w:t>the reasons for the request, including information addressing the factors the Board must consider in acting on such a request (including the costs and risks to the FHC of disposing of the investment, market conditions, the extent and history of the FHC’s involvement in managing or operating the portfolio company, and the FHC’s average holding period for its merchant banking investments) and</w:t>
      </w:r>
    </w:p>
    <w:p w:rsidR="00746E35" w:rsidRPr="00701D23" w:rsidRDefault="00746E35">
      <w:pPr>
        <w:numPr>
          <w:ilvl w:val="0"/>
          <w:numId w:val="31"/>
        </w:numPr>
      </w:pPr>
      <w:proofErr w:type="gramStart"/>
      <w:r w:rsidRPr="00701D23">
        <w:t>an</w:t>
      </w:r>
      <w:proofErr w:type="gramEnd"/>
      <w:r w:rsidRPr="00701D23">
        <w:t xml:space="preserve"> explanation of the FHC’s plan for divesting the investment.</w:t>
      </w:r>
    </w:p>
    <w:p w:rsidR="00746E35" w:rsidRPr="00701D23" w:rsidRDefault="00746E35">
      <w:pPr>
        <w:jc w:val="both"/>
      </w:pPr>
    </w:p>
    <w:p w:rsidR="00CD0E67" w:rsidRDefault="00746E35" w:rsidP="00CD0E67">
      <w:pPr>
        <w:widowControl/>
        <w:rPr>
          <w:b/>
        </w:rPr>
      </w:pPr>
      <w:r w:rsidRPr="00701D23">
        <w:t>A notice of extended routine management or operation of a portfolio company can be in the form of a brief letter and must identify the portfolio company, the date on which the FHC first became involved in the routine management or operation of the portfolio company, the reasons for the FHC’s involvement, the actions taken by the FHC to address the circumstances giving rise to its involvement, and an estimate of when the FHC anticipates ceasing routinely managing or operating the portfolio company.</w:t>
      </w:r>
    </w:p>
    <w:p w:rsidR="00746E35" w:rsidRPr="00701D23" w:rsidRDefault="00746E35">
      <w:pPr>
        <w:jc w:val="both"/>
      </w:pPr>
    </w:p>
    <w:p w:rsidR="00746E35" w:rsidRDefault="00746E35">
      <w:pPr>
        <w:ind w:firstLine="720"/>
      </w:pPr>
      <w:r w:rsidRPr="00701D23">
        <w:t>6.  Recordkeeping Requirements Associated with Merchant Banking Activities</w:t>
      </w:r>
      <w:r w:rsidR="00E42416">
        <w:t xml:space="preserve"> (FR 4023)</w:t>
      </w:r>
      <w:r w:rsidRPr="00701D23">
        <w:t>.</w:t>
      </w:r>
      <w:r w:rsidRPr="00701D23">
        <w:rPr>
          <w:b/>
        </w:rPr>
        <w:t xml:space="preserve">  </w:t>
      </w:r>
      <w:r w:rsidRPr="00701D23">
        <w:t>The general policies and procedures that a FHC must establish with respect to merchant banking must be reasonably designed to:</w:t>
      </w:r>
      <w:r w:rsidRPr="00701D23">
        <w:rPr>
          <w:rStyle w:val="FootnoteReference"/>
          <w:vertAlign w:val="superscript"/>
        </w:rPr>
        <w:footnoteReference w:id="16"/>
      </w:r>
    </w:p>
    <w:p w:rsidR="00CA3134" w:rsidRPr="00701D23" w:rsidRDefault="00CA3134">
      <w:pPr>
        <w:ind w:firstLine="720"/>
      </w:pPr>
    </w:p>
    <w:p w:rsidR="00746E35" w:rsidRPr="00701D23" w:rsidRDefault="001229E2" w:rsidP="00746E35">
      <w:pPr>
        <w:numPr>
          <w:ilvl w:val="0"/>
          <w:numId w:val="32"/>
        </w:numPr>
        <w:tabs>
          <w:tab w:val="clear" w:pos="840"/>
          <w:tab w:val="num" w:pos="360"/>
        </w:tabs>
        <w:ind w:left="360"/>
        <w:rPr>
          <w:b/>
        </w:rPr>
      </w:pPr>
      <w:r w:rsidRPr="00701D23">
        <w:t>m</w:t>
      </w:r>
      <w:r w:rsidR="00746E35" w:rsidRPr="00701D23">
        <w:t>onitor, with respect to each investment and the entire portfolio, carrying and market values and performance</w:t>
      </w:r>
      <w:r w:rsidR="003E212D">
        <w:t>,</w:t>
      </w:r>
    </w:p>
    <w:p w:rsidR="00746E35" w:rsidRPr="00701D23" w:rsidRDefault="001229E2" w:rsidP="00746E35">
      <w:pPr>
        <w:numPr>
          <w:ilvl w:val="0"/>
          <w:numId w:val="32"/>
        </w:numPr>
        <w:tabs>
          <w:tab w:val="clear" w:pos="840"/>
          <w:tab w:val="num" w:pos="360"/>
        </w:tabs>
        <w:ind w:left="360"/>
        <w:rPr>
          <w:b/>
        </w:rPr>
      </w:pPr>
      <w:r w:rsidRPr="00701D23">
        <w:t>i</w:t>
      </w:r>
      <w:r w:rsidR="00746E35" w:rsidRPr="00701D23">
        <w:t>dentify and manage market, credit, and other risks of such investments</w:t>
      </w:r>
      <w:r w:rsidR="003E212D">
        <w:t>,</w:t>
      </w:r>
    </w:p>
    <w:p w:rsidR="00746E35" w:rsidRPr="00701D23" w:rsidRDefault="001229E2" w:rsidP="00746E35">
      <w:pPr>
        <w:numPr>
          <w:ilvl w:val="0"/>
          <w:numId w:val="32"/>
        </w:numPr>
        <w:tabs>
          <w:tab w:val="clear" w:pos="840"/>
          <w:tab w:val="num" w:pos="360"/>
        </w:tabs>
        <w:ind w:left="360"/>
        <w:rPr>
          <w:b/>
        </w:rPr>
      </w:pPr>
      <w:r w:rsidRPr="00701D23">
        <w:t>i</w:t>
      </w:r>
      <w:r w:rsidR="00746E35" w:rsidRPr="00701D23">
        <w:t>dentify and monitor terms and risks of transactions of companies in which the FHC has merchant banking investments</w:t>
      </w:r>
      <w:r w:rsidR="003E212D">
        <w:t>,</w:t>
      </w:r>
    </w:p>
    <w:p w:rsidR="00746E35" w:rsidRPr="00701D23" w:rsidRDefault="001229E2" w:rsidP="00746E35">
      <w:pPr>
        <w:numPr>
          <w:ilvl w:val="0"/>
          <w:numId w:val="32"/>
        </w:numPr>
        <w:tabs>
          <w:tab w:val="clear" w:pos="840"/>
          <w:tab w:val="num" w:pos="360"/>
        </w:tabs>
        <w:ind w:left="360"/>
        <w:rPr>
          <w:b/>
        </w:rPr>
      </w:pPr>
      <w:r w:rsidRPr="00701D23">
        <w:t>e</w:t>
      </w:r>
      <w:r w:rsidR="00746E35" w:rsidRPr="00701D23">
        <w:t>nsure the corporate separateness of the FHC and the companies in which it has merchant banking investments</w:t>
      </w:r>
      <w:r w:rsidR="003E212D">
        <w:t>,</w:t>
      </w:r>
      <w:r w:rsidR="00746E35" w:rsidRPr="00701D23">
        <w:t xml:space="preserve"> and</w:t>
      </w:r>
    </w:p>
    <w:p w:rsidR="00746E35" w:rsidRPr="00701D23" w:rsidRDefault="001229E2" w:rsidP="00746E35">
      <w:pPr>
        <w:numPr>
          <w:ilvl w:val="0"/>
          <w:numId w:val="32"/>
        </w:numPr>
        <w:tabs>
          <w:tab w:val="clear" w:pos="840"/>
          <w:tab w:val="num" w:pos="360"/>
        </w:tabs>
        <w:ind w:left="360"/>
        <w:rPr>
          <w:b/>
        </w:rPr>
      </w:pPr>
      <w:proofErr w:type="gramStart"/>
      <w:r w:rsidRPr="00701D23">
        <w:t>e</w:t>
      </w:r>
      <w:r w:rsidR="00746E35" w:rsidRPr="00701D23">
        <w:t>nsure</w:t>
      </w:r>
      <w:proofErr w:type="gramEnd"/>
      <w:r w:rsidR="00746E35" w:rsidRPr="00701D23">
        <w:t xml:space="preserve"> compliance with sections 23A and 23B of the Federal Reserve Act, anti-tying statutes, Regulation Y, and any other applicable provisions of law.</w:t>
      </w:r>
    </w:p>
    <w:p w:rsidR="00246254" w:rsidRPr="00701D23" w:rsidRDefault="00246254" w:rsidP="00965E0A"/>
    <w:p w:rsidR="00746E35" w:rsidRDefault="00CD0E67">
      <w:pPr>
        <w:jc w:val="both"/>
        <w:rPr>
          <w:b/>
        </w:rPr>
      </w:pPr>
      <w:r w:rsidRPr="00CD0E67">
        <w:rPr>
          <w:b/>
        </w:rPr>
        <w:t>Time Schedule for Information Collection</w:t>
      </w:r>
    </w:p>
    <w:p w:rsidR="00CA3134" w:rsidRDefault="00CA3134">
      <w:pPr>
        <w:jc w:val="both"/>
        <w:rPr>
          <w:b/>
        </w:rPr>
      </w:pPr>
    </w:p>
    <w:p w:rsidR="00746E35" w:rsidRPr="00701D23" w:rsidRDefault="00746E35">
      <w:pPr>
        <w:ind w:firstLine="720"/>
      </w:pPr>
      <w:r w:rsidRPr="00701D23">
        <w:t>1.  Declarations to Become a Financial Holding Company</w:t>
      </w:r>
      <w:r w:rsidR="0037265D">
        <w:t xml:space="preserve"> (FR 4010)</w:t>
      </w:r>
      <w:r w:rsidRPr="00701D23">
        <w:t>.</w:t>
      </w:r>
      <w:r w:rsidR="00D91CA0" w:rsidRPr="00226FF8">
        <w:rPr>
          <w:rStyle w:val="FootnoteReference"/>
          <w:vertAlign w:val="superscript"/>
        </w:rPr>
        <w:footnoteReference w:id="17"/>
      </w:r>
      <w:r w:rsidRPr="00701D23">
        <w:t xml:space="preserve">  Under Regulation Y, a company’s election to be treated as a FHC is effective on the 31</w:t>
      </w:r>
      <w:r w:rsidRPr="00701D23">
        <w:rPr>
          <w:vertAlign w:val="superscript"/>
        </w:rPr>
        <w:t>st</w:t>
      </w:r>
      <w:r w:rsidRPr="00701D23">
        <w:t xml:space="preserve"> day after the declaration is received, unless the </w:t>
      </w:r>
      <w:r w:rsidR="00C97B88">
        <w:t xml:space="preserve">Federal Reserve </w:t>
      </w:r>
      <w:r w:rsidRPr="00701D23">
        <w:t xml:space="preserve">notifies the company before that date that the election is ineffective because the filer does not meet the eligibility criteria to become a FHC.  Alternatively, the </w:t>
      </w:r>
      <w:r w:rsidR="00C97B88">
        <w:t xml:space="preserve">Federal Reserve </w:t>
      </w:r>
      <w:r w:rsidRPr="00701D23">
        <w:t>may make a FHC election effective prior to the 31</w:t>
      </w:r>
      <w:r w:rsidRPr="00701D23">
        <w:rPr>
          <w:vertAlign w:val="superscript"/>
        </w:rPr>
        <w:t>st</w:t>
      </w:r>
      <w:r w:rsidRPr="00701D23">
        <w:t xml:space="preserve"> day by notifying the filer in writing.  In cases in which a company files a declaration in tandem with an application to become a BHC, an election typically becomes effective at the time the company becomes a BHC.</w:t>
      </w:r>
      <w:r w:rsidRPr="00701D23">
        <w:rPr>
          <w:b/>
        </w:rPr>
        <w:t xml:space="preserve"> </w:t>
      </w:r>
      <w:r w:rsidRPr="00701D23">
        <w:t>For records management purposes, FHC declarations are treated in the same manner as other banking applications.</w:t>
      </w:r>
    </w:p>
    <w:p w:rsidR="00746E35" w:rsidRPr="00701D23" w:rsidRDefault="00746E35">
      <w:pPr>
        <w:jc w:val="both"/>
        <w:rPr>
          <w:b/>
        </w:rPr>
      </w:pPr>
    </w:p>
    <w:p w:rsidR="00746E35" w:rsidRPr="00701D23" w:rsidRDefault="00746E35">
      <w:pPr>
        <w:ind w:firstLine="720"/>
      </w:pPr>
      <w:r w:rsidRPr="00701D23">
        <w:t>2.  Requests for Determinations and Interpretations Regarding Activities Financial in Nature</w:t>
      </w:r>
      <w:r w:rsidR="0037265D">
        <w:t xml:space="preserve"> (FR 4011)</w:t>
      </w:r>
      <w:r w:rsidRPr="00701D23">
        <w:t xml:space="preserve">.  The GLB Act requires the Board to </w:t>
      </w:r>
      <w:r w:rsidR="00EC2967">
        <w:t xml:space="preserve">notify the </w:t>
      </w:r>
      <w:r w:rsidR="00745924">
        <w:t xml:space="preserve">Department of the </w:t>
      </w:r>
      <w:r w:rsidRPr="00701D23">
        <w:t xml:space="preserve">Treasury about any request for a determination that an activity is financial in nature or incidental to a financial activity and bars the Board from making a favorable determination on such a request if Treasury </w:t>
      </w:r>
      <w:r w:rsidR="00EC2967">
        <w:t xml:space="preserve">advises </w:t>
      </w:r>
      <w:r w:rsidRPr="00701D23">
        <w:t xml:space="preserve">the Board in writing </w:t>
      </w:r>
      <w:r w:rsidR="00EC2967">
        <w:t xml:space="preserve">within 30 days </w:t>
      </w:r>
      <w:r w:rsidRPr="00701D23">
        <w:t>that Treasury believes the proposed activity is not financial in nature or incidental to financial activities.</w:t>
      </w:r>
      <w:r w:rsidR="00A357F8" w:rsidRPr="00A357F8">
        <w:rPr>
          <w:rStyle w:val="FootnoteReference"/>
          <w:vertAlign w:val="superscript"/>
        </w:rPr>
        <w:footnoteReference w:id="18"/>
      </w:r>
      <w:r w:rsidRPr="00701D23">
        <w:t xml:space="preserve">  </w:t>
      </w:r>
      <w:r w:rsidR="00843242">
        <w:t>The Federal Reserve</w:t>
      </w:r>
      <w:r w:rsidRPr="00701D23">
        <w:t xml:space="preserve">’s review of such a request often causes </w:t>
      </w:r>
      <w:r w:rsidR="00843242">
        <w:t>it</w:t>
      </w:r>
      <w:r w:rsidRPr="00701D23">
        <w:t xml:space="preserve"> to request additional information from the filer about the precise nature of the activity, the way in which it would be conducted, and the risks posed by the activity, among other matters.  The Board may (and typically does) publish a description of a request in the </w:t>
      </w:r>
      <w:r w:rsidRPr="00701D23">
        <w:rPr>
          <w:i/>
        </w:rPr>
        <w:t>Federal Register</w:t>
      </w:r>
      <w:r w:rsidRPr="00701D23">
        <w:t xml:space="preserve"> and request public comment.</w:t>
      </w:r>
      <w:r w:rsidR="00A357F8" w:rsidRPr="00A357F8">
        <w:rPr>
          <w:rStyle w:val="FootnoteReference"/>
          <w:vertAlign w:val="superscript"/>
        </w:rPr>
        <w:footnoteReference w:id="19"/>
      </w:r>
      <w:r w:rsidRPr="00701D23">
        <w:t xml:space="preserve">  Under Regulation Y, the Board strives to make decisions on requests not more than 60 days after the consultative process and the public comment period have ended.</w:t>
      </w:r>
      <w:r w:rsidR="00A357F8" w:rsidRPr="00A357F8">
        <w:rPr>
          <w:rStyle w:val="FootnoteReference"/>
          <w:vertAlign w:val="superscript"/>
        </w:rPr>
        <w:footnoteReference w:id="20"/>
      </w:r>
      <w:r w:rsidRPr="00701D23">
        <w:t xml:space="preserve">  </w:t>
      </w:r>
    </w:p>
    <w:p w:rsidR="00746E35" w:rsidRPr="00701D23" w:rsidRDefault="00746E35">
      <w:pPr>
        <w:jc w:val="both"/>
      </w:pPr>
    </w:p>
    <w:p w:rsidR="00CD0E67" w:rsidRDefault="00746E35" w:rsidP="00CD0E67">
      <w:r w:rsidRPr="00701D23">
        <w:t xml:space="preserve">The Board is not required to consult with Treasury about requests for advisory opinions regarding whether particular proposed activities would be within the scope of activities previously determined to be financial in nature or incidental to financial activities.  </w:t>
      </w:r>
      <w:r w:rsidR="00843242">
        <w:t>The Federal Reserve</w:t>
      </w:r>
      <w:r w:rsidRPr="00701D23">
        <w:t xml:space="preserve"> will often request additional information from a filer and typically will not deem a request to be complete until the filer has provided the requested additional information.  Under Regulation Y, the Board is to provide an advisory opinion within 45 days of receiving a complete written request.</w:t>
      </w:r>
      <w:r w:rsidR="00A357F8" w:rsidRPr="00A357F8">
        <w:rPr>
          <w:rStyle w:val="FootnoteReference"/>
          <w:vertAlign w:val="superscript"/>
        </w:rPr>
        <w:footnoteReference w:id="21"/>
      </w:r>
      <w:r w:rsidRPr="00701D23">
        <w:t xml:space="preserve">  </w:t>
      </w:r>
    </w:p>
    <w:p w:rsidR="00CD0E67" w:rsidRDefault="00CD0E67" w:rsidP="00CD0E67"/>
    <w:p w:rsidR="00CD0E67" w:rsidRDefault="00843242" w:rsidP="00CD0E67">
      <w:pPr>
        <w:widowControl/>
      </w:pPr>
      <w:r>
        <w:t>The Federal Reserve</w:t>
      </w:r>
      <w:r w:rsidR="00746E35" w:rsidRPr="00701D23">
        <w:t xml:space="preserve"> also typically needs to seek additional information from filers of requests for approval to engage in activities complementary to financial activities, and such a notice is not deemed complete until the Board receives the requested information.  No consultation with Treasury is required, but the Board typically will publish a description of the request in the </w:t>
      </w:r>
      <w:r w:rsidR="00746E35" w:rsidRPr="00701D23">
        <w:rPr>
          <w:i/>
        </w:rPr>
        <w:t>Federal Register</w:t>
      </w:r>
      <w:r w:rsidR="00746E35" w:rsidRPr="00701D23">
        <w:t xml:space="preserve"> and request public comment.  Under</w:t>
      </w:r>
      <w:r w:rsidR="00BB1F9C" w:rsidRPr="00701D23">
        <w:t xml:space="preserve"> the </w:t>
      </w:r>
      <w:r w:rsidR="00746E35" w:rsidRPr="00701D23">
        <w:t>GLB</w:t>
      </w:r>
      <w:r w:rsidR="00BB1F9C" w:rsidRPr="00701D23">
        <w:t xml:space="preserve"> Act</w:t>
      </w:r>
      <w:r w:rsidR="00746E35" w:rsidRPr="00701D23">
        <w:t>, a notice seeking to engage in complementary activities is deemed approved 60 days after the date the notice is complete, though the Board may extend the period an additional 30 days.</w:t>
      </w:r>
      <w:r w:rsidR="008D124F" w:rsidRPr="008D124F">
        <w:rPr>
          <w:rStyle w:val="FootnoteReference"/>
          <w:vertAlign w:val="superscript"/>
        </w:rPr>
        <w:footnoteReference w:id="22"/>
      </w:r>
      <w:r w:rsidR="00746E35" w:rsidRPr="00701D23">
        <w:t xml:space="preserve">  </w:t>
      </w:r>
    </w:p>
    <w:p w:rsidR="00746E35" w:rsidRPr="00701D23" w:rsidRDefault="00746E35">
      <w:pPr>
        <w:jc w:val="both"/>
        <w:rPr>
          <w:b/>
        </w:rPr>
      </w:pPr>
    </w:p>
    <w:p w:rsidR="00746E35" w:rsidRPr="00701D23" w:rsidRDefault="00746E35">
      <w:pPr>
        <w:ind w:firstLine="720"/>
      </w:pPr>
      <w:r w:rsidRPr="00701D23">
        <w:t>3.  Notices of Failure to Meet Capital or Management Requirements</w:t>
      </w:r>
      <w:r w:rsidR="0037265D">
        <w:t xml:space="preserve"> (FR 4012)</w:t>
      </w:r>
      <w:r w:rsidRPr="00701D23">
        <w:t>.  A FHC must file this notice within 15 days of becoming aware of failure to meet capital or management requirements,</w:t>
      </w:r>
      <w:r w:rsidR="00C32E3A" w:rsidRPr="00C32E3A">
        <w:rPr>
          <w:rStyle w:val="FootnoteReference"/>
          <w:vertAlign w:val="superscript"/>
        </w:rPr>
        <w:footnoteReference w:id="23"/>
      </w:r>
      <w:r w:rsidRPr="00701D23">
        <w:t xml:space="preserve"> and then has 45 days to reach agreement with the </w:t>
      </w:r>
      <w:r w:rsidR="00C97B88">
        <w:t xml:space="preserve">Federal Reserve </w:t>
      </w:r>
      <w:r w:rsidRPr="00701D23">
        <w:t>on a plan to cure the deficiencies.</w:t>
      </w:r>
      <w:r w:rsidR="00C32E3A" w:rsidRPr="00C32E3A">
        <w:rPr>
          <w:rStyle w:val="FootnoteReference"/>
          <w:vertAlign w:val="superscript"/>
        </w:rPr>
        <w:footnoteReference w:id="24"/>
      </w:r>
      <w:r w:rsidRPr="00701D23">
        <w:t xml:space="preserve">  If deficiencies are not cured within 180 days of the notice, the Board is empowered to order the FHC to divest its banking companies or to cease engaging in all nonbanking activities apart from those authorized for BHCs prior to </w:t>
      </w:r>
      <w:r w:rsidR="00BB1F9C" w:rsidRPr="00701D23">
        <w:t>the enactment of the GLB Act</w:t>
      </w:r>
      <w:r w:rsidRPr="00701D23">
        <w:t>.</w:t>
      </w:r>
      <w:r w:rsidR="00C32E3A" w:rsidRPr="00C32E3A">
        <w:rPr>
          <w:rStyle w:val="FootnoteReference"/>
          <w:vertAlign w:val="superscript"/>
        </w:rPr>
        <w:footnoteReference w:id="25"/>
      </w:r>
      <w:r w:rsidRPr="00701D23">
        <w:t xml:space="preserve">  However, the Board also may grant extensions of this cure period.</w:t>
      </w:r>
    </w:p>
    <w:p w:rsidR="00746E35" w:rsidRPr="00701D23" w:rsidRDefault="00746E35">
      <w:pPr>
        <w:jc w:val="both"/>
      </w:pPr>
    </w:p>
    <w:p w:rsidR="00746E35" w:rsidRPr="00701D23" w:rsidRDefault="00746E35" w:rsidP="00965E0A">
      <w:pPr>
        <w:ind w:firstLine="720"/>
      </w:pPr>
      <w:r w:rsidRPr="00701D23">
        <w:t>4.  Notice</w:t>
      </w:r>
      <w:r w:rsidR="00967591">
        <w:t>s</w:t>
      </w:r>
      <w:r w:rsidRPr="00701D23">
        <w:t xml:space="preserve"> by State Member Banks to Invest in Financial Subsidiaries</w:t>
      </w:r>
      <w:r w:rsidR="0037265D">
        <w:t xml:space="preserve"> (FR 4017)</w:t>
      </w:r>
      <w:r w:rsidRPr="00701D23">
        <w:t xml:space="preserve">.  Under Regulation H, a notice to invest in financial subsidiaries is deemed approved 15 days after it is received, unless the </w:t>
      </w:r>
      <w:r w:rsidR="00C97B88">
        <w:t xml:space="preserve">Federal Reserve </w:t>
      </w:r>
      <w:r w:rsidRPr="00701D23">
        <w:t>notifies the filer prior to that date that the notice will require additional review or that the bank does not meet the requirements to hold a stake in a financial subsidiary.</w:t>
      </w:r>
      <w:r w:rsidR="00A274C0" w:rsidRPr="008D124F">
        <w:rPr>
          <w:rStyle w:val="FootnoteReference"/>
          <w:vertAlign w:val="superscript"/>
        </w:rPr>
        <w:footnoteReference w:id="26"/>
      </w:r>
      <w:r w:rsidRPr="00701D23">
        <w:t xml:space="preserve">  </w:t>
      </w:r>
    </w:p>
    <w:p w:rsidR="00746E35" w:rsidRPr="00701D23" w:rsidRDefault="00746E35">
      <w:pPr>
        <w:jc w:val="both"/>
      </w:pPr>
    </w:p>
    <w:p w:rsidR="00746E35" w:rsidRDefault="00746E35">
      <w:pPr>
        <w:pStyle w:val="BodyText2"/>
        <w:ind w:firstLine="720"/>
        <w:jc w:val="left"/>
        <w:rPr>
          <w:b w:val="0"/>
          <w:i/>
        </w:rPr>
      </w:pPr>
      <w:r w:rsidRPr="00701D23">
        <w:rPr>
          <w:b w:val="0"/>
        </w:rPr>
        <w:t>5.  Regulatory Relief Requests Associated with Merchant Banking Activities</w:t>
      </w:r>
      <w:r w:rsidR="0037265D">
        <w:rPr>
          <w:b w:val="0"/>
        </w:rPr>
        <w:t xml:space="preserve"> (FR 4019)</w:t>
      </w:r>
      <w:r w:rsidRPr="00701D23">
        <w:rPr>
          <w:b w:val="0"/>
        </w:rPr>
        <w:t>.  A request for an extension of a merchant banking investment holding period must be submitted at least 90 days prior to expiration of the holding period.</w:t>
      </w:r>
      <w:r w:rsidR="00DE5B1E" w:rsidRPr="00DE5B1E">
        <w:rPr>
          <w:rStyle w:val="FootnoteReference"/>
          <w:b w:val="0"/>
          <w:vertAlign w:val="superscript"/>
        </w:rPr>
        <w:footnoteReference w:id="27"/>
      </w:r>
      <w:r w:rsidRPr="00701D23">
        <w:rPr>
          <w:b w:val="0"/>
        </w:rPr>
        <w:t xml:space="preserve">  As noted, Regulation Y requires the Board to weigh certain factors in considering a holding period extension request.</w:t>
      </w:r>
      <w:r w:rsidR="00DE5B1E" w:rsidRPr="00DE5B1E">
        <w:rPr>
          <w:rStyle w:val="FootnoteReference"/>
          <w:b w:val="0"/>
          <w:vertAlign w:val="superscript"/>
        </w:rPr>
        <w:footnoteReference w:id="28"/>
      </w:r>
      <w:r w:rsidR="00DE5B1E" w:rsidRPr="00701D23">
        <w:rPr>
          <w:b w:val="0"/>
        </w:rPr>
        <w:t xml:space="preserve"> </w:t>
      </w:r>
      <w:r w:rsidRPr="00701D23">
        <w:rPr>
          <w:b w:val="0"/>
        </w:rPr>
        <w:t xml:space="preserve">  The notice of extended routine management or operation must be filed prior to the date that is nine months after the FHC commenced routinely managing or operating the portfolio company.</w:t>
      </w:r>
      <w:r w:rsidR="00DE5B1E" w:rsidRPr="00DE5B1E">
        <w:rPr>
          <w:rStyle w:val="FootnoteReference"/>
          <w:b w:val="0"/>
          <w:vertAlign w:val="superscript"/>
        </w:rPr>
        <w:footnoteReference w:id="29"/>
      </w:r>
      <w:r w:rsidR="00DE5B1E" w:rsidRPr="00701D23">
        <w:rPr>
          <w:b w:val="0"/>
        </w:rPr>
        <w:t xml:space="preserve"> </w:t>
      </w:r>
      <w:r w:rsidRPr="00701D23">
        <w:rPr>
          <w:b w:val="0"/>
        </w:rPr>
        <w:t xml:space="preserve"> </w:t>
      </w:r>
      <w:r w:rsidRPr="00701D23">
        <w:rPr>
          <w:b w:val="0"/>
          <w:i/>
        </w:rPr>
        <w:t xml:space="preserve">  </w:t>
      </w:r>
    </w:p>
    <w:p w:rsidR="00CA3134" w:rsidRPr="00701D23" w:rsidRDefault="00CA3134">
      <w:pPr>
        <w:pStyle w:val="BodyText2"/>
        <w:ind w:firstLine="720"/>
        <w:jc w:val="left"/>
        <w:rPr>
          <w:b w:val="0"/>
          <w:i/>
        </w:rPr>
      </w:pPr>
    </w:p>
    <w:p w:rsidR="00B974AB" w:rsidRPr="000831A1" w:rsidRDefault="00B974AB" w:rsidP="00B974AB">
      <w:pPr>
        <w:rPr>
          <w:b/>
        </w:rPr>
      </w:pPr>
      <w:r w:rsidRPr="00CD0E67">
        <w:rPr>
          <w:b/>
        </w:rPr>
        <w:t>Sensitive Questions</w:t>
      </w:r>
    </w:p>
    <w:p w:rsidR="00B974AB" w:rsidRPr="00701D23" w:rsidRDefault="00B974AB" w:rsidP="00B974AB"/>
    <w:p w:rsidR="00B974AB" w:rsidRDefault="00B974AB" w:rsidP="00B974AB">
      <w:pPr>
        <w:jc w:val="both"/>
      </w:pPr>
      <w:r w:rsidRPr="00701D23">
        <w:t xml:space="preserve">These information collections contain no questions </w:t>
      </w:r>
      <w:r>
        <w:t xml:space="preserve">of a sensitive nature, </w:t>
      </w:r>
      <w:r w:rsidRPr="00701D23">
        <w:t>as defined by OMB guidelines</w:t>
      </w:r>
      <w:r>
        <w:t>.</w:t>
      </w:r>
    </w:p>
    <w:p w:rsidR="00B974AB" w:rsidRDefault="00B974AB">
      <w:pPr>
        <w:rPr>
          <w:b/>
        </w:rPr>
      </w:pPr>
    </w:p>
    <w:p w:rsidR="00B974AB" w:rsidRDefault="00B974AB" w:rsidP="00B974AB">
      <w:pPr>
        <w:rPr>
          <w:b/>
        </w:rPr>
      </w:pPr>
      <w:r w:rsidRPr="00CD0E67">
        <w:rPr>
          <w:b/>
        </w:rPr>
        <w:t xml:space="preserve">Consultation </w:t>
      </w:r>
      <w:proofErr w:type="gramStart"/>
      <w:r w:rsidRPr="00CD0E67">
        <w:rPr>
          <w:b/>
        </w:rPr>
        <w:t>Outside</w:t>
      </w:r>
      <w:proofErr w:type="gramEnd"/>
      <w:r w:rsidRPr="00CD0E67">
        <w:rPr>
          <w:b/>
        </w:rPr>
        <w:t xml:space="preserve"> the Agency</w:t>
      </w:r>
      <w:r w:rsidR="00E5158C">
        <w:rPr>
          <w:b/>
        </w:rPr>
        <w:t xml:space="preserve"> and Discussion of Public Comment</w:t>
      </w:r>
    </w:p>
    <w:p w:rsidR="00B974AB" w:rsidRPr="00701D23" w:rsidRDefault="00B974AB" w:rsidP="00B974AB"/>
    <w:p w:rsidR="00B221AF" w:rsidRPr="007F2219" w:rsidRDefault="00E5158C" w:rsidP="00B221AF">
      <w:pPr>
        <w:ind w:firstLine="720"/>
        <w:rPr>
          <w:color w:val="000000"/>
        </w:rPr>
      </w:pPr>
      <w:r w:rsidRPr="00E5158C">
        <w:t xml:space="preserve">On March 31, 2010, the Federal Reserve published a notice in the </w:t>
      </w:r>
      <w:r w:rsidRPr="00E5158C">
        <w:rPr>
          <w:i/>
        </w:rPr>
        <w:t>Federal Register</w:t>
      </w:r>
      <w:r w:rsidRPr="00E5158C">
        <w:t xml:space="preserve"> (75 FR 16120) requesting public comment for 60 days on the extension for three years, without revision, of the FR 4021.  The comment period for this notice expire</w:t>
      </w:r>
      <w:r w:rsidR="00B221AF">
        <w:t>d</w:t>
      </w:r>
      <w:r w:rsidRPr="00E5158C">
        <w:t xml:space="preserve"> on June 1, 2010.  </w:t>
      </w:r>
      <w:r w:rsidR="00B221AF" w:rsidRPr="00A61C73">
        <w:t xml:space="preserve">The Federal Reserve did not receive any comments.  On </w:t>
      </w:r>
      <w:r w:rsidR="00B221AF">
        <w:t xml:space="preserve">June </w:t>
      </w:r>
      <w:r w:rsidR="00B221AF">
        <w:t>15</w:t>
      </w:r>
      <w:r w:rsidR="00B221AF">
        <w:t>, 2010</w:t>
      </w:r>
      <w:r w:rsidR="00B221AF" w:rsidRPr="00A61C73">
        <w:t xml:space="preserve">, the Federal Reserve published a final notice in the </w:t>
      </w:r>
      <w:r w:rsidR="00B221AF" w:rsidRPr="00A61C73">
        <w:rPr>
          <w:i/>
          <w:iCs/>
        </w:rPr>
        <w:t xml:space="preserve">Federal Register </w:t>
      </w:r>
      <w:r w:rsidR="00B221AF" w:rsidRPr="00A61C73">
        <w:t>(7</w:t>
      </w:r>
      <w:r w:rsidR="00B221AF">
        <w:t>5</w:t>
      </w:r>
      <w:r w:rsidR="00B221AF" w:rsidRPr="00A61C73">
        <w:t xml:space="preserve"> </w:t>
      </w:r>
      <w:r w:rsidR="00B221AF" w:rsidRPr="00187C15">
        <w:t xml:space="preserve">FR </w:t>
      </w:r>
      <w:r w:rsidR="00B221AF">
        <w:t>33807</w:t>
      </w:r>
      <w:r w:rsidR="00B221AF" w:rsidRPr="00187C15">
        <w:t xml:space="preserve">).  </w:t>
      </w:r>
    </w:p>
    <w:p w:rsidR="00B974AB" w:rsidRPr="00E5158C" w:rsidRDefault="00B974AB"/>
    <w:p w:rsidR="00B974AB" w:rsidRDefault="00B974AB">
      <w:pPr>
        <w:widowControl/>
        <w:autoSpaceDE/>
        <w:autoSpaceDN/>
        <w:adjustRightInd/>
        <w:rPr>
          <w:b/>
        </w:rPr>
      </w:pPr>
      <w:r>
        <w:rPr>
          <w:b/>
        </w:rPr>
        <w:br w:type="page"/>
      </w:r>
    </w:p>
    <w:p w:rsidR="00746E35" w:rsidRDefault="00CD0E67">
      <w:pPr>
        <w:rPr>
          <w:b/>
        </w:rPr>
      </w:pPr>
      <w:r w:rsidRPr="00CD0E67">
        <w:rPr>
          <w:b/>
        </w:rPr>
        <w:lastRenderedPageBreak/>
        <w:t>Legal Status</w:t>
      </w:r>
    </w:p>
    <w:p w:rsidR="00CA3134" w:rsidRPr="00701D23" w:rsidRDefault="00CA3134">
      <w:pPr>
        <w:rPr>
          <w:b/>
        </w:rPr>
      </w:pPr>
    </w:p>
    <w:p w:rsidR="0067778D" w:rsidRPr="00701D23" w:rsidRDefault="0036552B">
      <w:r w:rsidRPr="0036552B">
        <w:t>The Board’s Legal Division has determined that t</w:t>
      </w:r>
      <w:r w:rsidR="00746E35" w:rsidRPr="00701D23">
        <w:t xml:space="preserve">hese collections of information are authorized </w:t>
      </w:r>
      <w:r w:rsidR="00B27AA4" w:rsidRPr="00701D23">
        <w:t xml:space="preserve">pursuant to </w:t>
      </w:r>
      <w:r w:rsidR="0067778D" w:rsidRPr="00701D23">
        <w:t>the following statutes and regulations:</w:t>
      </w:r>
    </w:p>
    <w:p w:rsidR="0067778D" w:rsidRPr="00701D23" w:rsidRDefault="0067778D"/>
    <w:tbl>
      <w:tblPr>
        <w:tblStyle w:val="TableGrid"/>
        <w:tblW w:w="0" w:type="auto"/>
        <w:tblLook w:val="01E0"/>
      </w:tblPr>
      <w:tblGrid>
        <w:gridCol w:w="5058"/>
        <w:gridCol w:w="4518"/>
      </w:tblGrid>
      <w:tr w:rsidR="000D46E5" w:rsidRPr="00701D23" w:rsidTr="00BB3B78">
        <w:tc>
          <w:tcPr>
            <w:tcW w:w="5058" w:type="dxa"/>
            <w:vAlign w:val="center"/>
          </w:tcPr>
          <w:p w:rsidR="000D46E5" w:rsidRPr="00701D23" w:rsidRDefault="000D46E5" w:rsidP="00701D23">
            <w:r w:rsidRPr="00701D23">
              <w:t>1. Declarations to Become a FHC (FR 4010).</w:t>
            </w:r>
          </w:p>
        </w:tc>
        <w:tc>
          <w:tcPr>
            <w:tcW w:w="4518" w:type="dxa"/>
            <w:vAlign w:val="center"/>
          </w:tcPr>
          <w:p w:rsidR="000D46E5" w:rsidRPr="00701D23" w:rsidRDefault="00B27AA4" w:rsidP="00701D23">
            <w:r w:rsidRPr="00701D23">
              <w:t>Section 4(</w:t>
            </w:r>
            <w:r w:rsidR="00071106">
              <w:t>l</w:t>
            </w:r>
            <w:proofErr w:type="gramStart"/>
            <w:r w:rsidRPr="00701D23">
              <w:t>)(</w:t>
            </w:r>
            <w:proofErr w:type="gramEnd"/>
            <w:r w:rsidRPr="00701D23">
              <w:t>1)(C) of the BHC Act, 12 U.S.C. § 1843(</w:t>
            </w:r>
            <w:r w:rsidR="00071106">
              <w:t>l</w:t>
            </w:r>
            <w:r w:rsidRPr="00701D23">
              <w:t>)(l)(C)</w:t>
            </w:r>
            <w:r w:rsidR="00B1406F" w:rsidRPr="00701D23">
              <w:t>;</w:t>
            </w:r>
            <w:r w:rsidRPr="00701D23">
              <w:t xml:space="preserve"> </w:t>
            </w:r>
            <w:r w:rsidR="009D435A" w:rsidRPr="00701D23">
              <w:t>section 8(a) of the International Banking Act, 12 U.S.C. § 3106(a)</w:t>
            </w:r>
            <w:r w:rsidR="00B1406F" w:rsidRPr="00701D23">
              <w:t>;</w:t>
            </w:r>
            <w:r w:rsidR="009D435A" w:rsidRPr="00701D23">
              <w:t xml:space="preserve"> </w:t>
            </w:r>
            <w:r w:rsidRPr="00701D23">
              <w:t xml:space="preserve">and sections 225.82 and 225.91 of Regulation Y, 12 C.F.R. 225.82 and 225.91. </w:t>
            </w:r>
          </w:p>
        </w:tc>
      </w:tr>
      <w:tr w:rsidR="0067778D" w:rsidRPr="00701D23" w:rsidTr="00BB3B78">
        <w:tc>
          <w:tcPr>
            <w:tcW w:w="5058" w:type="dxa"/>
            <w:vAlign w:val="center"/>
          </w:tcPr>
          <w:p w:rsidR="0067778D" w:rsidRPr="00701D23" w:rsidRDefault="0067778D" w:rsidP="00701D23">
            <w:pPr>
              <w:ind w:left="270" w:hanging="270"/>
            </w:pPr>
            <w:r w:rsidRPr="00701D23">
              <w:t xml:space="preserve">2. Requests for Determinations and Interpretations Regarding Activities Financial in Nature (FR 4011). </w:t>
            </w:r>
          </w:p>
        </w:tc>
        <w:tc>
          <w:tcPr>
            <w:tcW w:w="4518" w:type="dxa"/>
            <w:vAlign w:val="center"/>
          </w:tcPr>
          <w:p w:rsidR="0067778D" w:rsidRPr="00701D23" w:rsidRDefault="000D46E5" w:rsidP="00701D23">
            <w:r w:rsidRPr="00701D23">
              <w:t>Section</w:t>
            </w:r>
            <w:r w:rsidR="00071106">
              <w:t>s 4(j) and</w:t>
            </w:r>
            <w:r w:rsidRPr="00701D23">
              <w:t xml:space="preserve"> 4(k) of the BHC Act, 12 U.S.C. § 1843</w:t>
            </w:r>
            <w:r w:rsidR="00071106">
              <w:t xml:space="preserve">(j) through </w:t>
            </w:r>
            <w:r w:rsidRPr="00701D23">
              <w:t>(k)</w:t>
            </w:r>
            <w:r w:rsidR="00B1406F" w:rsidRPr="00701D23">
              <w:t>;</w:t>
            </w:r>
            <w:r w:rsidRPr="00701D23">
              <w:t xml:space="preserve"> and section</w:t>
            </w:r>
            <w:r w:rsidR="00B27AA4" w:rsidRPr="00701D23">
              <w:t>s</w:t>
            </w:r>
            <w:r w:rsidRPr="00701D23">
              <w:t xml:space="preserve"> </w:t>
            </w:r>
            <w:r w:rsidR="00B27AA4" w:rsidRPr="00701D23">
              <w:t>225.88, and 225.89, of Regulation Y, 12 C.F.R. 225.88, and 225.89.</w:t>
            </w:r>
          </w:p>
        </w:tc>
      </w:tr>
      <w:tr w:rsidR="00B27AA4" w:rsidRPr="00701D23" w:rsidTr="00BB3B78">
        <w:tc>
          <w:tcPr>
            <w:tcW w:w="5058" w:type="dxa"/>
            <w:vAlign w:val="center"/>
          </w:tcPr>
          <w:p w:rsidR="00B27AA4" w:rsidRPr="00701D23" w:rsidRDefault="00B27AA4" w:rsidP="00701D23">
            <w:pPr>
              <w:ind w:left="270" w:hanging="270"/>
            </w:pPr>
            <w:r w:rsidRPr="00701D23">
              <w:t>3. Notices of Failure to Meet Capital or Management Requirements (FR 4012).</w:t>
            </w:r>
          </w:p>
        </w:tc>
        <w:tc>
          <w:tcPr>
            <w:tcW w:w="4518" w:type="dxa"/>
            <w:vAlign w:val="center"/>
          </w:tcPr>
          <w:p w:rsidR="00B27AA4" w:rsidRPr="00701D23" w:rsidRDefault="00FA01D7" w:rsidP="00701D23">
            <w:r w:rsidRPr="00701D23">
              <w:t>Section 4</w:t>
            </w:r>
            <w:r w:rsidR="00071106">
              <w:t>(l</w:t>
            </w:r>
            <w:proofErr w:type="gramStart"/>
            <w:r w:rsidR="00071106">
              <w:t>)(</w:t>
            </w:r>
            <w:proofErr w:type="gramEnd"/>
            <w:r w:rsidR="00071106">
              <w:t>1)</w:t>
            </w:r>
            <w:r w:rsidRPr="00701D23">
              <w:t xml:space="preserve"> </w:t>
            </w:r>
            <w:r w:rsidR="002C3A6B">
              <w:t xml:space="preserve">and 4(m) </w:t>
            </w:r>
            <w:r w:rsidRPr="00701D23">
              <w:t>of the BHC Act, 12 U.S.C. § 1843(</w:t>
            </w:r>
            <w:r w:rsidR="00071106">
              <w:t>l)(1</w:t>
            </w:r>
            <w:r w:rsidRPr="00701D23">
              <w:t>)</w:t>
            </w:r>
            <w:r w:rsidR="002C3A6B">
              <w:t xml:space="preserve"> and (m)</w:t>
            </w:r>
            <w:r w:rsidR="00B1406F" w:rsidRPr="00701D23">
              <w:t xml:space="preserve">; </w:t>
            </w:r>
            <w:r w:rsidR="009D435A" w:rsidRPr="00701D23">
              <w:t>section 8(a) of the International Banking Act, 12 U.S.C. § 3106(a)</w:t>
            </w:r>
            <w:r w:rsidR="00B1406F" w:rsidRPr="00701D23">
              <w:t>;</w:t>
            </w:r>
            <w:r w:rsidR="009D435A" w:rsidRPr="00701D23">
              <w:t xml:space="preserve"> </w:t>
            </w:r>
            <w:r w:rsidRPr="00701D23">
              <w:t>and section</w:t>
            </w:r>
            <w:r w:rsidR="009D435A" w:rsidRPr="00701D23">
              <w:t>s</w:t>
            </w:r>
            <w:r w:rsidRPr="00701D23">
              <w:t xml:space="preserve"> 225.83 </w:t>
            </w:r>
            <w:r w:rsidR="009D435A" w:rsidRPr="00701D23">
              <w:t xml:space="preserve">and 225.93 </w:t>
            </w:r>
            <w:r w:rsidRPr="00701D23">
              <w:t>of Regulation Y, 12 C.F.R. 225.83</w:t>
            </w:r>
            <w:r w:rsidR="009D435A" w:rsidRPr="00701D23">
              <w:t xml:space="preserve"> and 225.93</w:t>
            </w:r>
            <w:r w:rsidRPr="00701D23">
              <w:t>.</w:t>
            </w:r>
          </w:p>
        </w:tc>
      </w:tr>
      <w:tr w:rsidR="00FA01D7" w:rsidRPr="00701D23" w:rsidTr="00BB3B78">
        <w:tc>
          <w:tcPr>
            <w:tcW w:w="5058" w:type="dxa"/>
            <w:vAlign w:val="center"/>
          </w:tcPr>
          <w:p w:rsidR="00FA01D7" w:rsidRPr="00701D23" w:rsidRDefault="00FA01D7" w:rsidP="00701D23">
            <w:pPr>
              <w:ind w:left="270" w:hanging="270"/>
            </w:pPr>
            <w:r w:rsidRPr="00701D23">
              <w:t>4. Notices by State Member Banks to Invest in Financial Subsidiaries (FR 4017).</w:t>
            </w:r>
          </w:p>
        </w:tc>
        <w:tc>
          <w:tcPr>
            <w:tcW w:w="4518" w:type="dxa"/>
            <w:vAlign w:val="center"/>
          </w:tcPr>
          <w:p w:rsidR="00FA01D7" w:rsidRPr="00701D23" w:rsidRDefault="00FA01D7" w:rsidP="00701D23">
            <w:r w:rsidRPr="00701D23">
              <w:t>Section 9 of the Federal Reserve Act, 12 U.S.C. § 335</w:t>
            </w:r>
            <w:r w:rsidR="00B1406F" w:rsidRPr="00701D23">
              <w:t>;</w:t>
            </w:r>
            <w:r w:rsidRPr="00701D23">
              <w:t xml:space="preserve"> and section 208.76 of Regulation H, 12 C.F.R. 208.76.</w:t>
            </w:r>
          </w:p>
        </w:tc>
      </w:tr>
      <w:tr w:rsidR="009D435A" w:rsidRPr="00701D23" w:rsidTr="00BB3B78">
        <w:tc>
          <w:tcPr>
            <w:tcW w:w="5058" w:type="dxa"/>
            <w:vAlign w:val="center"/>
          </w:tcPr>
          <w:p w:rsidR="009D435A" w:rsidRPr="00701D23" w:rsidRDefault="009D435A" w:rsidP="00701D23">
            <w:pPr>
              <w:ind w:left="270" w:hanging="270"/>
            </w:pPr>
            <w:r w:rsidRPr="00701D23">
              <w:t>5. Regulatory Relief Requests Associated with Merchant Banking Activities (FR 4019).</w:t>
            </w:r>
          </w:p>
        </w:tc>
        <w:tc>
          <w:tcPr>
            <w:tcW w:w="4518" w:type="dxa"/>
            <w:vAlign w:val="center"/>
          </w:tcPr>
          <w:p w:rsidR="009D435A" w:rsidRPr="00701D23" w:rsidRDefault="00FB7B3B" w:rsidP="00701D23">
            <w:r w:rsidRPr="00701D23">
              <w:t>Section 4(k</w:t>
            </w:r>
            <w:proofErr w:type="gramStart"/>
            <w:r w:rsidRPr="00701D23">
              <w:t>)(</w:t>
            </w:r>
            <w:proofErr w:type="gramEnd"/>
            <w:r w:rsidRPr="00701D23">
              <w:t>7) of the BHC Act, 12 U.S.C. § 1843(k)(7)</w:t>
            </w:r>
            <w:r w:rsidR="00B1406F" w:rsidRPr="00701D23">
              <w:t>;</w:t>
            </w:r>
            <w:r w:rsidRPr="00701D23">
              <w:t xml:space="preserve"> and s</w:t>
            </w:r>
            <w:r w:rsidR="009D435A" w:rsidRPr="00701D23">
              <w:t xml:space="preserve">ections </w:t>
            </w:r>
            <w:r w:rsidRPr="00701D23">
              <w:t xml:space="preserve">225.171(e)(3), </w:t>
            </w:r>
            <w:r w:rsidR="009D435A" w:rsidRPr="00701D23">
              <w:t>225.172(b)(4)</w:t>
            </w:r>
            <w:r w:rsidRPr="00701D23">
              <w:t>, and 225.173(c)(2)</w:t>
            </w:r>
            <w:r w:rsidR="009D435A" w:rsidRPr="00701D23">
              <w:t xml:space="preserve"> of Regulation Y</w:t>
            </w:r>
            <w:r w:rsidRPr="00701D23">
              <w:t>, 12 C.F.R. 225.171(e)(3), 225.172(b)(4), and 225.173(c)(2).</w:t>
            </w:r>
          </w:p>
        </w:tc>
      </w:tr>
      <w:tr w:rsidR="00FB7B3B" w:rsidRPr="00701D23" w:rsidTr="00BB3B78">
        <w:tc>
          <w:tcPr>
            <w:tcW w:w="5058" w:type="dxa"/>
            <w:vAlign w:val="center"/>
          </w:tcPr>
          <w:p w:rsidR="00FB7B3B" w:rsidRPr="00701D23" w:rsidRDefault="00FB7B3B" w:rsidP="00701D23">
            <w:pPr>
              <w:ind w:left="270" w:hanging="270"/>
            </w:pPr>
            <w:r w:rsidRPr="00701D23">
              <w:t>6. Recordkeeping Requirements Associated with Merchant Banking Activities</w:t>
            </w:r>
            <w:r w:rsidR="00A274C0">
              <w:t xml:space="preserve"> (FR 4023)</w:t>
            </w:r>
            <w:r w:rsidRPr="00701D23">
              <w:t>.</w:t>
            </w:r>
          </w:p>
        </w:tc>
        <w:tc>
          <w:tcPr>
            <w:tcW w:w="4518" w:type="dxa"/>
            <w:vAlign w:val="center"/>
          </w:tcPr>
          <w:p w:rsidR="00FB7B3B" w:rsidRPr="00701D23" w:rsidRDefault="00FB7B3B" w:rsidP="00701D23">
            <w:r w:rsidRPr="00701D23">
              <w:t>Section 4(k</w:t>
            </w:r>
            <w:proofErr w:type="gramStart"/>
            <w:r w:rsidRPr="00701D23">
              <w:t>)(</w:t>
            </w:r>
            <w:proofErr w:type="gramEnd"/>
            <w:r w:rsidRPr="00701D23">
              <w:t>7) of the BHC Act, 12 U.S.C. § 1843(k)(7)</w:t>
            </w:r>
            <w:r w:rsidR="00B1406F" w:rsidRPr="00701D23">
              <w:t>;</w:t>
            </w:r>
            <w:r w:rsidRPr="00701D23">
              <w:t xml:space="preserve"> and sections </w:t>
            </w:r>
            <w:r w:rsidR="00F16D48" w:rsidRPr="00701D23">
              <w:t>225.171(e)(4) and 225.175 of Regulation Y, 12 C.F.R. 225.171(e)(4) and 225.17</w:t>
            </w:r>
            <w:r w:rsidR="00071106">
              <w:t>5</w:t>
            </w:r>
            <w:r w:rsidR="00F16D48" w:rsidRPr="00701D23">
              <w:t>.</w:t>
            </w:r>
            <w:r w:rsidRPr="00701D23">
              <w:t xml:space="preserve"> </w:t>
            </w:r>
          </w:p>
        </w:tc>
      </w:tr>
    </w:tbl>
    <w:p w:rsidR="0067778D" w:rsidRPr="00701D23" w:rsidRDefault="0067778D"/>
    <w:p w:rsidR="006C7C30" w:rsidRPr="00604ACC" w:rsidRDefault="00BE5CDF" w:rsidP="006C7C30">
      <w:pPr>
        <w:widowControl/>
        <w:tabs>
          <w:tab w:val="left" w:pos="360"/>
          <w:tab w:val="left" w:pos="1080"/>
        </w:tabs>
      </w:pPr>
      <w:r>
        <w:t>For the FR 4010, FR 4011, FR 4017, FR 4019,</w:t>
      </w:r>
      <w:r w:rsidR="00DB376A">
        <w:t xml:space="preserve"> and information related to a failure to meet capital requirements on the FR 4012,</w:t>
      </w:r>
      <w:r>
        <w:t xml:space="preserve"> a</w:t>
      </w:r>
      <w:r w:rsidR="00746E35" w:rsidRPr="00701D23">
        <w:t xml:space="preserve"> company may request confidential treatment of th</w:t>
      </w:r>
      <w:r w:rsidR="00E264A9" w:rsidRPr="00701D23">
        <w:t>e</w:t>
      </w:r>
      <w:r w:rsidR="00746E35" w:rsidRPr="00701D23">
        <w:t xml:space="preserve"> information contained in these information collections pursuant to section (b</w:t>
      </w:r>
      <w:proofErr w:type="gramStart"/>
      <w:r w:rsidR="00746E35" w:rsidRPr="00701D23">
        <w:t>)(</w:t>
      </w:r>
      <w:proofErr w:type="gramEnd"/>
      <w:r w:rsidR="00746E35" w:rsidRPr="00701D23">
        <w:t xml:space="preserve">4) and (b)(6) of the Freedom of Information Act </w:t>
      </w:r>
      <w:r>
        <w:t>(FOIA)</w:t>
      </w:r>
      <w:r w:rsidR="00746E35" w:rsidRPr="00701D23">
        <w:t xml:space="preserve">(5 U.S.C. </w:t>
      </w:r>
      <w:r w:rsidR="00A274C0">
        <w:t xml:space="preserve">§ </w:t>
      </w:r>
      <w:r w:rsidR="00746E35" w:rsidRPr="00701D23">
        <w:t>552 (b)(4) and (b)(6)).</w:t>
      </w:r>
      <w:r>
        <w:t xml:space="preserve">  </w:t>
      </w:r>
      <w:r w:rsidR="00DB376A">
        <w:t>Information related to a failure to meet management requirements on the FR 4012 is confidential and exempt from disclosure under s</w:t>
      </w:r>
      <w:r w:rsidR="00A20872">
        <w:t>e</w:t>
      </w:r>
      <w:r w:rsidR="00DB376A">
        <w:t>ction (b</w:t>
      </w:r>
      <w:proofErr w:type="gramStart"/>
      <w:r w:rsidR="00DB376A">
        <w:t>)(</w:t>
      </w:r>
      <w:proofErr w:type="gramEnd"/>
      <w:r w:rsidR="00DB376A">
        <w:t xml:space="preserve">4), because the release of this information would cause substantial harm to the competitive position of the entity, and (b)(8) if the information is related to examination, operating, or condition reports prepared by, on behalf of, or for the use of an agency responsible for the regulation or supervision of financial institutions.  </w:t>
      </w:r>
      <w:r>
        <w:t xml:space="preserve">Since the Federal Reserve does not collect the FR 4023, no issue of confidentiality under the FOIA arises.  FOIA will only be implicated if the Board’s examiners retained a copy of the records in their examination or supervision of the institution, and </w:t>
      </w:r>
      <w:r w:rsidR="00EA2446">
        <w:t xml:space="preserve">in this case the information </w:t>
      </w:r>
      <w:r>
        <w:t xml:space="preserve">would likely be </w:t>
      </w:r>
      <w:r>
        <w:rPr>
          <w:rFonts w:ascii="Times" w:hAnsi="Times" w:cs="Times"/>
        </w:rPr>
        <w:t xml:space="preserve">exempt from disclosure pursuant to </w:t>
      </w:r>
      <w:r>
        <w:t xml:space="preserve">FOIA </w:t>
      </w:r>
      <w:r>
        <w:rPr>
          <w:rFonts w:ascii="Times" w:hAnsi="Times" w:cs="Times"/>
        </w:rPr>
        <w:t xml:space="preserve">(5 U.S.C. </w:t>
      </w:r>
      <w:r w:rsidR="00A274C0">
        <w:rPr>
          <w:rFonts w:ascii="Times" w:hAnsi="Times" w:cs="Times"/>
        </w:rPr>
        <w:t xml:space="preserve">§ </w:t>
      </w:r>
      <w:r>
        <w:rPr>
          <w:rFonts w:ascii="Times" w:hAnsi="Times" w:cs="Times"/>
        </w:rPr>
        <w:t>552(b)(4), (b)(6), and (b)(8)).</w:t>
      </w:r>
      <w:r w:rsidR="006C7C30">
        <w:rPr>
          <w:rFonts w:ascii="Times" w:hAnsi="Times" w:cs="Times"/>
        </w:rPr>
        <w:t xml:space="preserve">  </w:t>
      </w:r>
    </w:p>
    <w:p w:rsidR="00746E35" w:rsidRDefault="00746E35"/>
    <w:p w:rsidR="0036552B" w:rsidRDefault="00CD0E67" w:rsidP="0036552B">
      <w:pPr>
        <w:widowControl/>
        <w:autoSpaceDE/>
        <w:autoSpaceDN/>
        <w:adjustRightInd/>
        <w:rPr>
          <w:b/>
        </w:rPr>
      </w:pPr>
      <w:r w:rsidRPr="00CD0E67">
        <w:rPr>
          <w:b/>
        </w:rPr>
        <w:lastRenderedPageBreak/>
        <w:t>Summary of Estimated Burden</w:t>
      </w:r>
    </w:p>
    <w:p w:rsidR="0036552B" w:rsidRDefault="0036552B" w:rsidP="0036552B">
      <w:pPr>
        <w:widowControl/>
        <w:autoSpaceDE/>
        <w:autoSpaceDN/>
        <w:adjustRightInd/>
      </w:pPr>
    </w:p>
    <w:p w:rsidR="00CD0E67" w:rsidRDefault="00746E35" w:rsidP="00CD0E67">
      <w:r w:rsidRPr="00701D23">
        <w:t xml:space="preserve">The estimated total annual burden for these information collections is </w:t>
      </w:r>
      <w:r w:rsidR="0071293A">
        <w:t>3,</w:t>
      </w:r>
      <w:r w:rsidR="001C3008">
        <w:t>485</w:t>
      </w:r>
      <w:r w:rsidR="001C3008" w:rsidRPr="00701D23">
        <w:t xml:space="preserve"> </w:t>
      </w:r>
      <w:r w:rsidRPr="00701D23">
        <w:t>hours, as shown in the table below.</w:t>
      </w:r>
      <w:r w:rsidR="00D87E5B" w:rsidRPr="00701D23">
        <w:t xml:space="preserve">  </w:t>
      </w:r>
      <w:r w:rsidR="0094188E" w:rsidRPr="00701D23">
        <w:t>Th</w:t>
      </w:r>
      <w:r w:rsidR="0094188E">
        <w:t>ese reporting and recordkeeping requirements</w:t>
      </w:r>
      <w:r w:rsidR="0094188E" w:rsidRPr="00701D23">
        <w:t xml:space="preserve"> </w:t>
      </w:r>
      <w:r w:rsidR="00D87E5B" w:rsidRPr="00701D23">
        <w:t xml:space="preserve">represent less than 1 percent of the total burden for the Federal Reserve System.  For each collection of information, the burden estimate is based on the amount of time needed to review filing requirements, collect the necessary information, format and transmit the filing, and respond to requests from the Board for additional information.  </w:t>
      </w:r>
      <w:r w:rsidRPr="00701D23">
        <w:t xml:space="preserve">The estimated number of </w:t>
      </w:r>
      <w:r w:rsidR="00D87E5B" w:rsidRPr="00701D23">
        <w:t xml:space="preserve">respondents </w:t>
      </w:r>
      <w:r w:rsidRPr="00701D23">
        <w:t xml:space="preserve">for each </w:t>
      </w:r>
      <w:r w:rsidR="00D87E5B" w:rsidRPr="00701D23">
        <w:t xml:space="preserve">collection of information </w:t>
      </w:r>
      <w:r w:rsidR="00831638">
        <w:t>was determined using data</w:t>
      </w:r>
      <w:r w:rsidRPr="00701D23">
        <w:t xml:space="preserve"> on the actual number of </w:t>
      </w:r>
      <w:r w:rsidR="00D87E5B" w:rsidRPr="00701D23">
        <w:t xml:space="preserve">respondents </w:t>
      </w:r>
      <w:r w:rsidRPr="00701D23">
        <w:t xml:space="preserve">over the past </w:t>
      </w:r>
      <w:r w:rsidR="00831638">
        <w:t>three</w:t>
      </w:r>
      <w:r w:rsidR="00831638" w:rsidRPr="00701D23">
        <w:t xml:space="preserve"> </w:t>
      </w:r>
      <w:r w:rsidRPr="00701D23">
        <w:t>years</w:t>
      </w:r>
      <w:r w:rsidR="00831638">
        <w:t>.</w:t>
      </w:r>
    </w:p>
    <w:p w:rsidR="00746E35" w:rsidRPr="00701D23" w:rsidRDefault="00746E35">
      <w:pPr>
        <w:jc w:val="both"/>
      </w:pPr>
    </w:p>
    <w:tbl>
      <w:tblPr>
        <w:tblW w:w="9648" w:type="dxa"/>
        <w:tblBorders>
          <w:top w:val="single" w:sz="12" w:space="0" w:color="808080"/>
          <w:left w:val="nil"/>
          <w:bottom w:val="single" w:sz="12" w:space="0" w:color="808080"/>
          <w:right w:val="nil"/>
          <w:insideH w:val="nil"/>
          <w:insideV w:val="nil"/>
        </w:tblBorders>
        <w:tblLayout w:type="fixed"/>
        <w:tblLook w:val="00B7"/>
      </w:tblPr>
      <w:tblGrid>
        <w:gridCol w:w="3438"/>
        <w:gridCol w:w="1710"/>
        <w:gridCol w:w="1350"/>
        <w:gridCol w:w="1620"/>
        <w:gridCol w:w="1530"/>
      </w:tblGrid>
      <w:tr w:rsidR="00746E35" w:rsidRPr="00701D23" w:rsidTr="0041514F">
        <w:trPr>
          <w:trHeight w:val="705"/>
        </w:trPr>
        <w:tc>
          <w:tcPr>
            <w:tcW w:w="3438" w:type="dxa"/>
            <w:tcBorders>
              <w:top w:val="single" w:sz="6" w:space="0" w:color="808080"/>
              <w:left w:val="nil"/>
              <w:bottom w:val="nil"/>
              <w:right w:val="nil"/>
            </w:tcBorders>
          </w:tcPr>
          <w:p w:rsidR="00746E35" w:rsidRPr="00701D23" w:rsidRDefault="00746E35"/>
        </w:tc>
        <w:tc>
          <w:tcPr>
            <w:tcW w:w="1710" w:type="dxa"/>
            <w:tcBorders>
              <w:top w:val="single" w:sz="6" w:space="0" w:color="808080"/>
              <w:left w:val="nil"/>
              <w:bottom w:val="nil"/>
              <w:right w:val="nil"/>
            </w:tcBorders>
            <w:vAlign w:val="center"/>
          </w:tcPr>
          <w:p w:rsidR="00746E35" w:rsidRPr="00701D23" w:rsidRDefault="00746E35">
            <w:pPr>
              <w:jc w:val="center"/>
              <w:rPr>
                <w:i/>
              </w:rPr>
            </w:pPr>
            <w:r w:rsidRPr="00701D23">
              <w:rPr>
                <w:i/>
              </w:rPr>
              <w:t>Number of respondents</w:t>
            </w:r>
          </w:p>
        </w:tc>
        <w:tc>
          <w:tcPr>
            <w:tcW w:w="1350" w:type="dxa"/>
            <w:tcBorders>
              <w:top w:val="single" w:sz="6" w:space="0" w:color="808080"/>
              <w:left w:val="nil"/>
              <w:bottom w:val="nil"/>
              <w:right w:val="nil"/>
            </w:tcBorders>
            <w:vAlign w:val="center"/>
          </w:tcPr>
          <w:p w:rsidR="00746E35" w:rsidRPr="00701D23" w:rsidRDefault="00746E35">
            <w:pPr>
              <w:jc w:val="center"/>
              <w:rPr>
                <w:i/>
              </w:rPr>
            </w:pPr>
            <w:r w:rsidRPr="00701D23">
              <w:rPr>
                <w:i/>
              </w:rPr>
              <w:t>Annual</w:t>
            </w:r>
          </w:p>
          <w:p w:rsidR="00746E35" w:rsidRPr="00701D23" w:rsidRDefault="00746E35">
            <w:pPr>
              <w:jc w:val="center"/>
              <w:rPr>
                <w:i/>
              </w:rPr>
            </w:pPr>
            <w:r w:rsidRPr="00701D23">
              <w:rPr>
                <w:i/>
              </w:rPr>
              <w:t>Frequency</w:t>
            </w:r>
          </w:p>
        </w:tc>
        <w:tc>
          <w:tcPr>
            <w:tcW w:w="1620" w:type="dxa"/>
            <w:tcBorders>
              <w:top w:val="single" w:sz="6" w:space="0" w:color="808080"/>
              <w:left w:val="nil"/>
              <w:bottom w:val="nil"/>
              <w:right w:val="nil"/>
            </w:tcBorders>
            <w:vAlign w:val="center"/>
          </w:tcPr>
          <w:p w:rsidR="00746E35" w:rsidRPr="00701D23" w:rsidRDefault="00746E35">
            <w:pPr>
              <w:jc w:val="center"/>
              <w:rPr>
                <w:i/>
              </w:rPr>
            </w:pPr>
            <w:r w:rsidRPr="00701D23">
              <w:rPr>
                <w:i/>
              </w:rPr>
              <w:t>Estimated average hours</w:t>
            </w:r>
          </w:p>
          <w:p w:rsidR="00746E35" w:rsidRPr="00701D23" w:rsidRDefault="00746E35">
            <w:pPr>
              <w:jc w:val="center"/>
              <w:rPr>
                <w:i/>
              </w:rPr>
            </w:pPr>
            <w:r w:rsidRPr="00701D23">
              <w:rPr>
                <w:i/>
              </w:rPr>
              <w:t>per response</w:t>
            </w:r>
          </w:p>
        </w:tc>
        <w:tc>
          <w:tcPr>
            <w:tcW w:w="1530" w:type="dxa"/>
            <w:tcBorders>
              <w:top w:val="single" w:sz="6" w:space="0" w:color="808080"/>
              <w:left w:val="nil"/>
              <w:bottom w:val="nil"/>
              <w:right w:val="nil"/>
            </w:tcBorders>
            <w:vAlign w:val="center"/>
          </w:tcPr>
          <w:p w:rsidR="00746E35" w:rsidRPr="00701D23" w:rsidRDefault="00746E35">
            <w:pPr>
              <w:jc w:val="center"/>
              <w:rPr>
                <w:i/>
              </w:rPr>
            </w:pPr>
            <w:r w:rsidRPr="00701D23">
              <w:rPr>
                <w:i/>
              </w:rPr>
              <w:t>Estimated annual burden hours</w:t>
            </w:r>
          </w:p>
        </w:tc>
      </w:tr>
      <w:tr w:rsidR="00746E35" w:rsidRPr="00701D23" w:rsidTr="0041514F">
        <w:tc>
          <w:tcPr>
            <w:tcW w:w="3438" w:type="dxa"/>
            <w:tcBorders>
              <w:top w:val="nil"/>
            </w:tcBorders>
          </w:tcPr>
          <w:p w:rsidR="00746E35" w:rsidRPr="00701D23" w:rsidRDefault="00746E35">
            <w:pPr>
              <w:pStyle w:val="Heading1"/>
              <w:widowControl/>
              <w:tabs>
                <w:tab w:val="clear" w:pos="-1440"/>
                <w:tab w:val="clear" w:pos="720"/>
                <w:tab w:val="clear" w:pos="1080"/>
                <w:tab w:val="clear" w:pos="2880"/>
                <w:tab w:val="clear" w:pos="4680"/>
                <w:tab w:val="clear" w:pos="6480"/>
                <w:tab w:val="clear" w:pos="8280"/>
              </w:tabs>
              <w:spacing w:after="0"/>
              <w:rPr>
                <w:rFonts w:ascii="Times New Roman" w:hAnsi="Times New Roman"/>
              </w:rPr>
            </w:pPr>
            <w:r w:rsidRPr="00701D23">
              <w:rPr>
                <w:rFonts w:ascii="Times New Roman" w:hAnsi="Times New Roman"/>
              </w:rPr>
              <w:t>FR 4010</w:t>
            </w:r>
          </w:p>
        </w:tc>
        <w:tc>
          <w:tcPr>
            <w:tcW w:w="1710" w:type="dxa"/>
            <w:tcBorders>
              <w:top w:val="nil"/>
            </w:tcBorders>
          </w:tcPr>
          <w:p w:rsidR="00746E35" w:rsidRPr="00701D23" w:rsidRDefault="00746E35"/>
        </w:tc>
        <w:tc>
          <w:tcPr>
            <w:tcW w:w="1350" w:type="dxa"/>
            <w:tcBorders>
              <w:top w:val="nil"/>
            </w:tcBorders>
          </w:tcPr>
          <w:p w:rsidR="00746E35" w:rsidRPr="00701D23" w:rsidRDefault="00746E35"/>
        </w:tc>
        <w:tc>
          <w:tcPr>
            <w:tcW w:w="1620" w:type="dxa"/>
            <w:tcBorders>
              <w:top w:val="nil"/>
            </w:tcBorders>
          </w:tcPr>
          <w:p w:rsidR="00746E35" w:rsidRPr="00701D23" w:rsidRDefault="00746E35"/>
        </w:tc>
        <w:tc>
          <w:tcPr>
            <w:tcW w:w="1530" w:type="dxa"/>
            <w:tcBorders>
              <w:top w:val="nil"/>
            </w:tcBorders>
          </w:tcPr>
          <w:p w:rsidR="00746E35" w:rsidRPr="00701D23" w:rsidRDefault="00746E35"/>
        </w:tc>
      </w:tr>
      <w:tr w:rsidR="00746E35" w:rsidRPr="00701D23" w:rsidTr="0041514F">
        <w:tc>
          <w:tcPr>
            <w:tcW w:w="3438" w:type="dxa"/>
          </w:tcPr>
          <w:p w:rsidR="00746E35" w:rsidRPr="00701D23" w:rsidRDefault="00746E35">
            <w:r w:rsidRPr="00701D23">
              <w:t>BHC</w:t>
            </w:r>
          </w:p>
        </w:tc>
        <w:tc>
          <w:tcPr>
            <w:tcW w:w="1710" w:type="dxa"/>
            <w:vAlign w:val="center"/>
          </w:tcPr>
          <w:p w:rsidR="00746E35" w:rsidRPr="00701D23" w:rsidRDefault="00D91CA0">
            <w:pPr>
              <w:jc w:val="center"/>
            </w:pPr>
            <w:r>
              <w:t>35</w:t>
            </w:r>
          </w:p>
        </w:tc>
        <w:tc>
          <w:tcPr>
            <w:tcW w:w="1350" w:type="dxa"/>
            <w:vAlign w:val="center"/>
          </w:tcPr>
          <w:p w:rsidR="00746E35" w:rsidRPr="00701D23" w:rsidRDefault="00746E35">
            <w:pPr>
              <w:jc w:val="center"/>
            </w:pPr>
            <w:r w:rsidRPr="00701D23">
              <w:t>1</w:t>
            </w:r>
          </w:p>
        </w:tc>
        <w:tc>
          <w:tcPr>
            <w:tcW w:w="1620" w:type="dxa"/>
            <w:vAlign w:val="center"/>
          </w:tcPr>
          <w:p w:rsidR="00746E35" w:rsidRPr="00701D23" w:rsidRDefault="00746E35">
            <w:pPr>
              <w:jc w:val="center"/>
            </w:pPr>
            <w:r w:rsidRPr="00701D23">
              <w:t>3</w:t>
            </w:r>
          </w:p>
        </w:tc>
        <w:tc>
          <w:tcPr>
            <w:tcW w:w="1530" w:type="dxa"/>
            <w:vAlign w:val="bottom"/>
          </w:tcPr>
          <w:p w:rsidR="00CD0E67" w:rsidRDefault="00746E35" w:rsidP="00CD0E67">
            <w:pPr>
              <w:jc w:val="center"/>
            </w:pPr>
            <w:r w:rsidRPr="00701D23">
              <w:t>1</w:t>
            </w:r>
            <w:r w:rsidR="0071293A">
              <w:t>0</w:t>
            </w:r>
            <w:r w:rsidR="00D91CA0">
              <w:t>5</w:t>
            </w:r>
          </w:p>
        </w:tc>
      </w:tr>
      <w:tr w:rsidR="00746E35" w:rsidRPr="00701D23" w:rsidTr="0041514F">
        <w:tc>
          <w:tcPr>
            <w:tcW w:w="3438" w:type="dxa"/>
          </w:tcPr>
          <w:p w:rsidR="00746E35" w:rsidRPr="00701D23" w:rsidRDefault="00746E35">
            <w:r w:rsidRPr="00701D23">
              <w:t>Foreign Banks</w:t>
            </w:r>
          </w:p>
        </w:tc>
        <w:tc>
          <w:tcPr>
            <w:tcW w:w="1710" w:type="dxa"/>
            <w:vAlign w:val="center"/>
          </w:tcPr>
          <w:p w:rsidR="00746E35" w:rsidRPr="00701D23" w:rsidRDefault="00D91CA0">
            <w:pPr>
              <w:jc w:val="center"/>
            </w:pPr>
            <w:r>
              <w:t>6</w:t>
            </w:r>
          </w:p>
        </w:tc>
        <w:tc>
          <w:tcPr>
            <w:tcW w:w="1350" w:type="dxa"/>
            <w:vAlign w:val="center"/>
          </w:tcPr>
          <w:p w:rsidR="00746E35" w:rsidRPr="00701D23" w:rsidRDefault="00746E35">
            <w:pPr>
              <w:jc w:val="center"/>
            </w:pPr>
            <w:r w:rsidRPr="00701D23">
              <w:t>1</w:t>
            </w:r>
          </w:p>
        </w:tc>
        <w:tc>
          <w:tcPr>
            <w:tcW w:w="1620" w:type="dxa"/>
            <w:vAlign w:val="center"/>
          </w:tcPr>
          <w:p w:rsidR="00746E35" w:rsidRPr="00701D23" w:rsidRDefault="00746E35">
            <w:pPr>
              <w:jc w:val="center"/>
            </w:pPr>
            <w:r w:rsidRPr="00701D23">
              <w:t>3.5</w:t>
            </w:r>
          </w:p>
        </w:tc>
        <w:tc>
          <w:tcPr>
            <w:tcW w:w="1530" w:type="dxa"/>
            <w:vAlign w:val="bottom"/>
          </w:tcPr>
          <w:p w:rsidR="00CD0E67" w:rsidRDefault="00D91CA0" w:rsidP="00CD0E67">
            <w:pPr>
              <w:jc w:val="center"/>
            </w:pPr>
            <w:r>
              <w:t>21</w:t>
            </w:r>
          </w:p>
        </w:tc>
      </w:tr>
      <w:tr w:rsidR="00746E35" w:rsidRPr="00701D23" w:rsidTr="0041514F">
        <w:tc>
          <w:tcPr>
            <w:tcW w:w="3438" w:type="dxa"/>
          </w:tcPr>
          <w:p w:rsidR="00746E35" w:rsidRPr="00701D23" w:rsidRDefault="00746E35"/>
        </w:tc>
        <w:tc>
          <w:tcPr>
            <w:tcW w:w="1710" w:type="dxa"/>
            <w:vAlign w:val="center"/>
          </w:tcPr>
          <w:p w:rsidR="00746E35" w:rsidRPr="00701D23" w:rsidRDefault="00746E35">
            <w:pPr>
              <w:jc w:val="center"/>
            </w:pPr>
          </w:p>
        </w:tc>
        <w:tc>
          <w:tcPr>
            <w:tcW w:w="1350" w:type="dxa"/>
            <w:vAlign w:val="center"/>
          </w:tcPr>
          <w:p w:rsidR="00746E35" w:rsidRPr="00701D23" w:rsidRDefault="00746E35">
            <w:pPr>
              <w:jc w:val="center"/>
            </w:pPr>
          </w:p>
        </w:tc>
        <w:tc>
          <w:tcPr>
            <w:tcW w:w="1620" w:type="dxa"/>
            <w:vAlign w:val="center"/>
          </w:tcPr>
          <w:p w:rsidR="00746E35" w:rsidRPr="00701D23" w:rsidRDefault="00746E35">
            <w:pPr>
              <w:jc w:val="center"/>
            </w:pPr>
          </w:p>
        </w:tc>
        <w:tc>
          <w:tcPr>
            <w:tcW w:w="1530" w:type="dxa"/>
            <w:vAlign w:val="bottom"/>
          </w:tcPr>
          <w:p w:rsidR="00CD0E67" w:rsidRDefault="00CD0E67" w:rsidP="00CD0E67">
            <w:pPr>
              <w:jc w:val="center"/>
            </w:pPr>
          </w:p>
        </w:tc>
      </w:tr>
      <w:tr w:rsidR="0098473E" w:rsidRPr="00701D23" w:rsidTr="0041514F">
        <w:tc>
          <w:tcPr>
            <w:tcW w:w="3438" w:type="dxa"/>
          </w:tcPr>
          <w:p w:rsidR="0098473E" w:rsidRPr="00701D23" w:rsidRDefault="0098473E">
            <w:pPr>
              <w:pStyle w:val="Heading5"/>
              <w:tabs>
                <w:tab w:val="clear" w:pos="360"/>
                <w:tab w:val="clear" w:pos="720"/>
              </w:tabs>
              <w:rPr>
                <w:rFonts w:ascii="Times New Roman" w:hAnsi="Times New Roman"/>
              </w:rPr>
            </w:pPr>
            <w:r w:rsidRPr="00701D23">
              <w:rPr>
                <w:rFonts w:ascii="Times New Roman" w:hAnsi="Times New Roman"/>
              </w:rPr>
              <w:t>FR 4011</w:t>
            </w:r>
          </w:p>
        </w:tc>
        <w:tc>
          <w:tcPr>
            <w:tcW w:w="1710" w:type="dxa"/>
            <w:vAlign w:val="center"/>
          </w:tcPr>
          <w:p w:rsidR="0098473E" w:rsidRPr="00701D23" w:rsidRDefault="00221667">
            <w:pPr>
              <w:jc w:val="center"/>
            </w:pPr>
            <w:r>
              <w:t>6</w:t>
            </w:r>
          </w:p>
        </w:tc>
        <w:tc>
          <w:tcPr>
            <w:tcW w:w="1350" w:type="dxa"/>
            <w:vAlign w:val="center"/>
          </w:tcPr>
          <w:p w:rsidR="0098473E" w:rsidRPr="00701D23" w:rsidRDefault="0098473E">
            <w:pPr>
              <w:jc w:val="center"/>
            </w:pPr>
            <w:r w:rsidRPr="00701D23">
              <w:t>1</w:t>
            </w:r>
          </w:p>
        </w:tc>
        <w:tc>
          <w:tcPr>
            <w:tcW w:w="1620" w:type="dxa"/>
            <w:vAlign w:val="center"/>
          </w:tcPr>
          <w:p w:rsidR="0098473E" w:rsidRPr="00701D23" w:rsidRDefault="0098473E">
            <w:pPr>
              <w:pStyle w:val="Header"/>
              <w:widowControl/>
              <w:tabs>
                <w:tab w:val="clear" w:pos="4320"/>
                <w:tab w:val="clear" w:pos="8640"/>
              </w:tabs>
              <w:jc w:val="center"/>
            </w:pPr>
            <w:r w:rsidRPr="00701D23">
              <w:t>10</w:t>
            </w:r>
          </w:p>
        </w:tc>
        <w:tc>
          <w:tcPr>
            <w:tcW w:w="1530" w:type="dxa"/>
            <w:vAlign w:val="bottom"/>
          </w:tcPr>
          <w:p w:rsidR="00CD0E67" w:rsidRDefault="00221667" w:rsidP="00CD0E67">
            <w:pPr>
              <w:jc w:val="center"/>
            </w:pPr>
            <w:r>
              <w:t>6</w:t>
            </w:r>
            <w:r w:rsidR="0098473E" w:rsidRPr="00701D23">
              <w:t>0</w:t>
            </w:r>
          </w:p>
        </w:tc>
      </w:tr>
      <w:tr w:rsidR="0098473E" w:rsidRPr="00701D23" w:rsidTr="0041514F">
        <w:trPr>
          <w:trHeight w:val="270"/>
        </w:trPr>
        <w:tc>
          <w:tcPr>
            <w:tcW w:w="3438" w:type="dxa"/>
          </w:tcPr>
          <w:p w:rsidR="0098473E" w:rsidRPr="00701D23" w:rsidRDefault="0098473E">
            <w:pPr>
              <w:pStyle w:val="Heading5"/>
              <w:tabs>
                <w:tab w:val="clear" w:pos="360"/>
                <w:tab w:val="clear" w:pos="720"/>
              </w:tabs>
              <w:rPr>
                <w:rFonts w:ascii="Times New Roman" w:hAnsi="Times New Roman"/>
                <w:u w:val="none"/>
              </w:rPr>
            </w:pPr>
          </w:p>
        </w:tc>
        <w:tc>
          <w:tcPr>
            <w:tcW w:w="1710" w:type="dxa"/>
            <w:vAlign w:val="center"/>
          </w:tcPr>
          <w:p w:rsidR="0098473E" w:rsidRPr="00701D23" w:rsidRDefault="0098473E">
            <w:pPr>
              <w:jc w:val="center"/>
            </w:pPr>
          </w:p>
        </w:tc>
        <w:tc>
          <w:tcPr>
            <w:tcW w:w="1350" w:type="dxa"/>
            <w:vAlign w:val="center"/>
          </w:tcPr>
          <w:p w:rsidR="0098473E" w:rsidRPr="00701D23" w:rsidRDefault="0098473E">
            <w:pPr>
              <w:jc w:val="center"/>
            </w:pPr>
          </w:p>
        </w:tc>
        <w:tc>
          <w:tcPr>
            <w:tcW w:w="1620" w:type="dxa"/>
            <w:vAlign w:val="center"/>
          </w:tcPr>
          <w:p w:rsidR="0098473E" w:rsidRPr="00701D23" w:rsidRDefault="0098473E">
            <w:pPr>
              <w:pStyle w:val="Header"/>
              <w:widowControl/>
              <w:tabs>
                <w:tab w:val="clear" w:pos="4320"/>
                <w:tab w:val="clear" w:pos="8640"/>
              </w:tabs>
              <w:jc w:val="center"/>
            </w:pPr>
          </w:p>
        </w:tc>
        <w:tc>
          <w:tcPr>
            <w:tcW w:w="1530" w:type="dxa"/>
            <w:vAlign w:val="bottom"/>
          </w:tcPr>
          <w:p w:rsidR="00CD0E67" w:rsidRDefault="00CD0E67" w:rsidP="00CD0E67">
            <w:pPr>
              <w:jc w:val="center"/>
            </w:pPr>
          </w:p>
        </w:tc>
      </w:tr>
      <w:tr w:rsidR="0098473E" w:rsidRPr="00701D23" w:rsidTr="0041514F">
        <w:tc>
          <w:tcPr>
            <w:tcW w:w="3438" w:type="dxa"/>
          </w:tcPr>
          <w:p w:rsidR="0098473E" w:rsidRPr="00701D23" w:rsidRDefault="0098473E">
            <w:pPr>
              <w:pStyle w:val="Heading5"/>
              <w:tabs>
                <w:tab w:val="clear" w:pos="360"/>
                <w:tab w:val="clear" w:pos="720"/>
              </w:tabs>
              <w:rPr>
                <w:rFonts w:ascii="Times New Roman" w:hAnsi="Times New Roman"/>
              </w:rPr>
            </w:pPr>
            <w:r w:rsidRPr="00701D23">
              <w:rPr>
                <w:rFonts w:ascii="Times New Roman" w:hAnsi="Times New Roman"/>
              </w:rPr>
              <w:t>FR 4012</w:t>
            </w:r>
          </w:p>
        </w:tc>
        <w:tc>
          <w:tcPr>
            <w:tcW w:w="1710" w:type="dxa"/>
            <w:vAlign w:val="center"/>
          </w:tcPr>
          <w:p w:rsidR="0098473E" w:rsidRPr="00701D23" w:rsidRDefault="0098473E">
            <w:pPr>
              <w:jc w:val="center"/>
            </w:pPr>
          </w:p>
        </w:tc>
        <w:tc>
          <w:tcPr>
            <w:tcW w:w="1350" w:type="dxa"/>
            <w:vAlign w:val="center"/>
          </w:tcPr>
          <w:p w:rsidR="0098473E" w:rsidRPr="00701D23" w:rsidRDefault="0098473E">
            <w:pPr>
              <w:jc w:val="center"/>
            </w:pPr>
          </w:p>
        </w:tc>
        <w:tc>
          <w:tcPr>
            <w:tcW w:w="1620" w:type="dxa"/>
            <w:vAlign w:val="center"/>
          </w:tcPr>
          <w:p w:rsidR="0098473E" w:rsidRPr="00701D23" w:rsidRDefault="0098473E">
            <w:pPr>
              <w:pStyle w:val="Header"/>
              <w:widowControl/>
              <w:tabs>
                <w:tab w:val="clear" w:pos="4320"/>
                <w:tab w:val="clear" w:pos="8640"/>
              </w:tabs>
              <w:jc w:val="center"/>
            </w:pPr>
          </w:p>
        </w:tc>
        <w:tc>
          <w:tcPr>
            <w:tcW w:w="1530" w:type="dxa"/>
            <w:vAlign w:val="bottom"/>
          </w:tcPr>
          <w:p w:rsidR="00CD0E67" w:rsidRDefault="00CD0E67" w:rsidP="00CD0E67">
            <w:pPr>
              <w:jc w:val="center"/>
            </w:pPr>
          </w:p>
        </w:tc>
      </w:tr>
      <w:tr w:rsidR="0098473E" w:rsidRPr="00701D23" w:rsidTr="0041514F">
        <w:tc>
          <w:tcPr>
            <w:tcW w:w="3438" w:type="dxa"/>
          </w:tcPr>
          <w:p w:rsidR="0098473E" w:rsidRPr="00701D23" w:rsidRDefault="0098473E">
            <w:pPr>
              <w:pStyle w:val="Header"/>
              <w:widowControl/>
              <w:tabs>
                <w:tab w:val="clear" w:pos="4320"/>
                <w:tab w:val="clear" w:pos="8640"/>
              </w:tabs>
            </w:pPr>
            <w:r w:rsidRPr="00701D23">
              <w:t>BHCs decertified as a FHCs</w:t>
            </w:r>
          </w:p>
        </w:tc>
        <w:tc>
          <w:tcPr>
            <w:tcW w:w="1710" w:type="dxa"/>
            <w:vAlign w:val="center"/>
          </w:tcPr>
          <w:p w:rsidR="0098473E" w:rsidRPr="00701D23" w:rsidRDefault="00172E9E">
            <w:pPr>
              <w:jc w:val="center"/>
            </w:pPr>
            <w:r>
              <w:t>80</w:t>
            </w:r>
          </w:p>
        </w:tc>
        <w:tc>
          <w:tcPr>
            <w:tcW w:w="1350" w:type="dxa"/>
            <w:vAlign w:val="center"/>
          </w:tcPr>
          <w:p w:rsidR="0098473E" w:rsidRPr="00701D23" w:rsidRDefault="0098473E">
            <w:pPr>
              <w:jc w:val="center"/>
            </w:pPr>
            <w:r w:rsidRPr="00701D23">
              <w:t>1</w:t>
            </w:r>
          </w:p>
        </w:tc>
        <w:tc>
          <w:tcPr>
            <w:tcW w:w="1620" w:type="dxa"/>
            <w:vAlign w:val="center"/>
          </w:tcPr>
          <w:p w:rsidR="0098473E" w:rsidRPr="00701D23" w:rsidRDefault="0098473E">
            <w:pPr>
              <w:jc w:val="center"/>
            </w:pPr>
            <w:r w:rsidRPr="00701D23">
              <w:t>1</w:t>
            </w:r>
          </w:p>
        </w:tc>
        <w:tc>
          <w:tcPr>
            <w:tcW w:w="1530" w:type="dxa"/>
            <w:vAlign w:val="bottom"/>
          </w:tcPr>
          <w:p w:rsidR="00CD0E67" w:rsidRDefault="00172E9E" w:rsidP="00CD0E67">
            <w:pPr>
              <w:jc w:val="center"/>
            </w:pPr>
            <w:r>
              <w:t>80</w:t>
            </w:r>
          </w:p>
        </w:tc>
      </w:tr>
      <w:tr w:rsidR="0098473E" w:rsidRPr="00701D23" w:rsidTr="0041514F">
        <w:tc>
          <w:tcPr>
            <w:tcW w:w="3438" w:type="dxa"/>
          </w:tcPr>
          <w:p w:rsidR="0098473E" w:rsidRPr="00701D23" w:rsidRDefault="0098473E">
            <w:pPr>
              <w:pStyle w:val="Header"/>
              <w:widowControl/>
              <w:tabs>
                <w:tab w:val="clear" w:pos="4320"/>
                <w:tab w:val="clear" w:pos="8640"/>
              </w:tabs>
            </w:pPr>
            <w:r w:rsidRPr="00701D23">
              <w:t>FHCs back into compliance</w:t>
            </w:r>
          </w:p>
        </w:tc>
        <w:tc>
          <w:tcPr>
            <w:tcW w:w="1710" w:type="dxa"/>
            <w:vAlign w:val="center"/>
          </w:tcPr>
          <w:p w:rsidR="0098473E" w:rsidRPr="00701D23" w:rsidRDefault="00172E9E">
            <w:pPr>
              <w:jc w:val="center"/>
            </w:pPr>
            <w:r>
              <w:t>20</w:t>
            </w:r>
          </w:p>
        </w:tc>
        <w:tc>
          <w:tcPr>
            <w:tcW w:w="1350" w:type="dxa"/>
            <w:vAlign w:val="center"/>
          </w:tcPr>
          <w:p w:rsidR="0098473E" w:rsidRPr="00701D23" w:rsidRDefault="0098473E">
            <w:pPr>
              <w:jc w:val="center"/>
            </w:pPr>
            <w:r w:rsidRPr="00701D23">
              <w:t>1</w:t>
            </w:r>
          </w:p>
        </w:tc>
        <w:tc>
          <w:tcPr>
            <w:tcW w:w="1620" w:type="dxa"/>
            <w:vAlign w:val="center"/>
          </w:tcPr>
          <w:p w:rsidR="0098473E" w:rsidRPr="00701D23" w:rsidRDefault="0098473E">
            <w:pPr>
              <w:jc w:val="center"/>
            </w:pPr>
            <w:r w:rsidRPr="00701D23">
              <w:t>10</w:t>
            </w:r>
          </w:p>
        </w:tc>
        <w:tc>
          <w:tcPr>
            <w:tcW w:w="1530" w:type="dxa"/>
            <w:vAlign w:val="bottom"/>
          </w:tcPr>
          <w:p w:rsidR="00CD0E67" w:rsidRDefault="00172E9E" w:rsidP="00CD0E67">
            <w:pPr>
              <w:jc w:val="center"/>
            </w:pPr>
            <w:r>
              <w:t>200</w:t>
            </w:r>
          </w:p>
        </w:tc>
      </w:tr>
      <w:tr w:rsidR="0098473E" w:rsidRPr="00701D23" w:rsidTr="0041514F">
        <w:tc>
          <w:tcPr>
            <w:tcW w:w="3438" w:type="dxa"/>
          </w:tcPr>
          <w:p w:rsidR="0098473E" w:rsidRPr="00701D23" w:rsidRDefault="0098473E">
            <w:pPr>
              <w:ind w:right="-378"/>
            </w:pPr>
          </w:p>
        </w:tc>
        <w:tc>
          <w:tcPr>
            <w:tcW w:w="1710" w:type="dxa"/>
            <w:vAlign w:val="center"/>
          </w:tcPr>
          <w:p w:rsidR="0098473E" w:rsidRPr="00701D23" w:rsidRDefault="0098473E">
            <w:pPr>
              <w:jc w:val="center"/>
            </w:pPr>
          </w:p>
        </w:tc>
        <w:tc>
          <w:tcPr>
            <w:tcW w:w="1350" w:type="dxa"/>
            <w:vAlign w:val="center"/>
          </w:tcPr>
          <w:p w:rsidR="0098473E" w:rsidRPr="00701D23" w:rsidRDefault="0098473E">
            <w:pPr>
              <w:jc w:val="center"/>
            </w:pPr>
          </w:p>
        </w:tc>
        <w:tc>
          <w:tcPr>
            <w:tcW w:w="1620" w:type="dxa"/>
            <w:vAlign w:val="center"/>
          </w:tcPr>
          <w:p w:rsidR="0098473E" w:rsidRPr="00701D23" w:rsidRDefault="0098473E">
            <w:pPr>
              <w:jc w:val="center"/>
            </w:pPr>
          </w:p>
        </w:tc>
        <w:tc>
          <w:tcPr>
            <w:tcW w:w="1530" w:type="dxa"/>
            <w:vAlign w:val="bottom"/>
          </w:tcPr>
          <w:p w:rsidR="00CD0E67" w:rsidRDefault="00CD0E67" w:rsidP="00CD0E67">
            <w:pPr>
              <w:jc w:val="center"/>
            </w:pPr>
          </w:p>
        </w:tc>
      </w:tr>
      <w:tr w:rsidR="0098473E" w:rsidRPr="00701D23" w:rsidTr="0041514F">
        <w:tc>
          <w:tcPr>
            <w:tcW w:w="3438" w:type="dxa"/>
          </w:tcPr>
          <w:p w:rsidR="0098473E" w:rsidRPr="00701D23" w:rsidRDefault="0098473E">
            <w:pPr>
              <w:pStyle w:val="Heading6"/>
              <w:tabs>
                <w:tab w:val="clear" w:pos="360"/>
                <w:tab w:val="clear" w:pos="720"/>
              </w:tabs>
              <w:rPr>
                <w:rFonts w:ascii="Times New Roman" w:hAnsi="Times New Roman"/>
              </w:rPr>
            </w:pPr>
            <w:r w:rsidRPr="00701D23">
              <w:rPr>
                <w:rFonts w:ascii="Times New Roman" w:hAnsi="Times New Roman"/>
              </w:rPr>
              <w:t>FR 4017</w:t>
            </w:r>
          </w:p>
        </w:tc>
        <w:tc>
          <w:tcPr>
            <w:tcW w:w="1710" w:type="dxa"/>
            <w:vAlign w:val="center"/>
          </w:tcPr>
          <w:p w:rsidR="0098473E" w:rsidRPr="00701D23" w:rsidRDefault="00A274C0">
            <w:pPr>
              <w:jc w:val="center"/>
            </w:pPr>
            <w:r>
              <w:t>3</w:t>
            </w:r>
          </w:p>
        </w:tc>
        <w:tc>
          <w:tcPr>
            <w:tcW w:w="1350" w:type="dxa"/>
            <w:vAlign w:val="center"/>
          </w:tcPr>
          <w:p w:rsidR="0098473E" w:rsidRPr="00701D23" w:rsidRDefault="0098473E">
            <w:pPr>
              <w:jc w:val="center"/>
            </w:pPr>
            <w:r w:rsidRPr="00701D23">
              <w:t>1</w:t>
            </w:r>
          </w:p>
        </w:tc>
        <w:tc>
          <w:tcPr>
            <w:tcW w:w="1620" w:type="dxa"/>
            <w:vAlign w:val="center"/>
          </w:tcPr>
          <w:p w:rsidR="0098473E" w:rsidRPr="00701D23" w:rsidRDefault="0098473E">
            <w:pPr>
              <w:jc w:val="center"/>
            </w:pPr>
            <w:r w:rsidRPr="00701D23">
              <w:t>4</w:t>
            </w:r>
          </w:p>
        </w:tc>
        <w:tc>
          <w:tcPr>
            <w:tcW w:w="1530" w:type="dxa"/>
            <w:vAlign w:val="bottom"/>
          </w:tcPr>
          <w:p w:rsidR="00CD0E67" w:rsidRDefault="00A274C0" w:rsidP="00CD0E67">
            <w:pPr>
              <w:jc w:val="center"/>
            </w:pPr>
            <w:r>
              <w:t>12</w:t>
            </w:r>
          </w:p>
        </w:tc>
      </w:tr>
      <w:tr w:rsidR="0098473E" w:rsidRPr="00701D23" w:rsidTr="0041514F">
        <w:tc>
          <w:tcPr>
            <w:tcW w:w="3438" w:type="dxa"/>
          </w:tcPr>
          <w:p w:rsidR="0098473E" w:rsidRPr="00701D23" w:rsidRDefault="0098473E">
            <w:pPr>
              <w:pStyle w:val="Heading6"/>
              <w:tabs>
                <w:tab w:val="clear" w:pos="360"/>
                <w:tab w:val="clear" w:pos="720"/>
              </w:tabs>
              <w:rPr>
                <w:rFonts w:ascii="Times New Roman" w:hAnsi="Times New Roman"/>
              </w:rPr>
            </w:pPr>
            <w:r w:rsidRPr="00701D23">
              <w:rPr>
                <w:rFonts w:ascii="Times New Roman" w:hAnsi="Times New Roman"/>
              </w:rPr>
              <w:t>FR 4019</w:t>
            </w:r>
          </w:p>
        </w:tc>
        <w:tc>
          <w:tcPr>
            <w:tcW w:w="1710" w:type="dxa"/>
            <w:vAlign w:val="center"/>
          </w:tcPr>
          <w:p w:rsidR="0098473E" w:rsidRPr="00701D23" w:rsidRDefault="0098473E">
            <w:pPr>
              <w:jc w:val="center"/>
            </w:pPr>
          </w:p>
        </w:tc>
        <w:tc>
          <w:tcPr>
            <w:tcW w:w="1350" w:type="dxa"/>
            <w:vAlign w:val="center"/>
          </w:tcPr>
          <w:p w:rsidR="0098473E" w:rsidRPr="00701D23" w:rsidRDefault="0098473E">
            <w:pPr>
              <w:jc w:val="center"/>
            </w:pPr>
          </w:p>
        </w:tc>
        <w:tc>
          <w:tcPr>
            <w:tcW w:w="1620" w:type="dxa"/>
            <w:vAlign w:val="center"/>
          </w:tcPr>
          <w:p w:rsidR="0098473E" w:rsidRPr="00701D23" w:rsidRDefault="0098473E">
            <w:pPr>
              <w:jc w:val="center"/>
            </w:pPr>
          </w:p>
        </w:tc>
        <w:tc>
          <w:tcPr>
            <w:tcW w:w="1530" w:type="dxa"/>
            <w:vAlign w:val="bottom"/>
          </w:tcPr>
          <w:p w:rsidR="00CD0E67" w:rsidRDefault="00CD0E67" w:rsidP="00CD0E67">
            <w:pPr>
              <w:jc w:val="center"/>
            </w:pPr>
          </w:p>
        </w:tc>
      </w:tr>
      <w:tr w:rsidR="0098473E" w:rsidRPr="00701D23" w:rsidTr="0041514F">
        <w:tc>
          <w:tcPr>
            <w:tcW w:w="3438" w:type="dxa"/>
          </w:tcPr>
          <w:p w:rsidR="0098473E" w:rsidRPr="00701D23" w:rsidRDefault="0098473E">
            <w:pPr>
              <w:ind w:right="-378"/>
            </w:pPr>
            <w:r w:rsidRPr="00701D23">
              <w:t>Regulatory relief requests</w:t>
            </w:r>
          </w:p>
        </w:tc>
        <w:tc>
          <w:tcPr>
            <w:tcW w:w="1710" w:type="dxa"/>
            <w:vAlign w:val="center"/>
          </w:tcPr>
          <w:p w:rsidR="0098473E" w:rsidRPr="00701D23" w:rsidRDefault="0098473E">
            <w:pPr>
              <w:jc w:val="center"/>
            </w:pPr>
            <w:r w:rsidRPr="00701D23">
              <w:t>5</w:t>
            </w:r>
          </w:p>
        </w:tc>
        <w:tc>
          <w:tcPr>
            <w:tcW w:w="1350" w:type="dxa"/>
            <w:vAlign w:val="center"/>
          </w:tcPr>
          <w:p w:rsidR="0098473E" w:rsidRPr="00701D23" w:rsidRDefault="0098473E">
            <w:pPr>
              <w:jc w:val="center"/>
            </w:pPr>
            <w:r w:rsidRPr="00701D23">
              <w:t>1</w:t>
            </w:r>
          </w:p>
        </w:tc>
        <w:tc>
          <w:tcPr>
            <w:tcW w:w="1620" w:type="dxa"/>
            <w:vAlign w:val="center"/>
          </w:tcPr>
          <w:p w:rsidR="0098473E" w:rsidRPr="00701D23" w:rsidRDefault="0098473E">
            <w:pPr>
              <w:jc w:val="center"/>
            </w:pPr>
            <w:r w:rsidRPr="00701D23">
              <w:t>1</w:t>
            </w:r>
          </w:p>
        </w:tc>
        <w:tc>
          <w:tcPr>
            <w:tcW w:w="1530" w:type="dxa"/>
            <w:vAlign w:val="bottom"/>
          </w:tcPr>
          <w:p w:rsidR="00CD0E67" w:rsidRDefault="0098473E" w:rsidP="00CD0E67">
            <w:pPr>
              <w:jc w:val="center"/>
            </w:pPr>
            <w:r w:rsidRPr="00701D23">
              <w:t>5</w:t>
            </w:r>
          </w:p>
        </w:tc>
      </w:tr>
      <w:tr w:rsidR="0098473E" w:rsidRPr="00701D23" w:rsidTr="0041514F">
        <w:tc>
          <w:tcPr>
            <w:tcW w:w="3438" w:type="dxa"/>
          </w:tcPr>
          <w:p w:rsidR="0098473E" w:rsidRPr="00701D23" w:rsidRDefault="0098473E">
            <w:pPr>
              <w:ind w:right="-378"/>
            </w:pPr>
            <w:r w:rsidRPr="00701D23">
              <w:t>Portfolio company notification</w:t>
            </w:r>
          </w:p>
        </w:tc>
        <w:tc>
          <w:tcPr>
            <w:tcW w:w="1710" w:type="dxa"/>
            <w:vAlign w:val="center"/>
          </w:tcPr>
          <w:p w:rsidR="0098473E" w:rsidRPr="00701D23" w:rsidRDefault="0098473E">
            <w:pPr>
              <w:jc w:val="center"/>
            </w:pPr>
            <w:r w:rsidRPr="00701D23">
              <w:t>2</w:t>
            </w:r>
          </w:p>
        </w:tc>
        <w:tc>
          <w:tcPr>
            <w:tcW w:w="1350" w:type="dxa"/>
            <w:vAlign w:val="center"/>
          </w:tcPr>
          <w:p w:rsidR="0098473E" w:rsidRPr="00701D23" w:rsidRDefault="0098473E">
            <w:pPr>
              <w:jc w:val="center"/>
            </w:pPr>
            <w:r w:rsidRPr="00701D23">
              <w:t>1</w:t>
            </w:r>
          </w:p>
        </w:tc>
        <w:tc>
          <w:tcPr>
            <w:tcW w:w="1620" w:type="dxa"/>
            <w:vAlign w:val="center"/>
          </w:tcPr>
          <w:p w:rsidR="0098473E" w:rsidRPr="00701D23" w:rsidRDefault="0098473E">
            <w:pPr>
              <w:jc w:val="center"/>
            </w:pPr>
            <w:r w:rsidRPr="00701D23">
              <w:t>1</w:t>
            </w:r>
          </w:p>
        </w:tc>
        <w:tc>
          <w:tcPr>
            <w:tcW w:w="1530" w:type="dxa"/>
            <w:vAlign w:val="bottom"/>
          </w:tcPr>
          <w:p w:rsidR="00CD0E67" w:rsidRDefault="0098473E" w:rsidP="00CD0E67">
            <w:pPr>
              <w:jc w:val="center"/>
            </w:pPr>
            <w:r w:rsidRPr="00701D23">
              <w:t>2</w:t>
            </w:r>
          </w:p>
        </w:tc>
      </w:tr>
      <w:tr w:rsidR="0098473E" w:rsidRPr="00701D23" w:rsidTr="0041514F">
        <w:tc>
          <w:tcPr>
            <w:tcW w:w="3438" w:type="dxa"/>
          </w:tcPr>
          <w:p w:rsidR="0098473E" w:rsidRPr="00701D23" w:rsidRDefault="0098473E">
            <w:pPr>
              <w:ind w:right="-378"/>
            </w:pPr>
          </w:p>
        </w:tc>
        <w:tc>
          <w:tcPr>
            <w:tcW w:w="1710" w:type="dxa"/>
            <w:vAlign w:val="center"/>
          </w:tcPr>
          <w:p w:rsidR="0098473E" w:rsidRPr="00701D23" w:rsidRDefault="0098473E">
            <w:pPr>
              <w:jc w:val="center"/>
            </w:pPr>
          </w:p>
        </w:tc>
        <w:tc>
          <w:tcPr>
            <w:tcW w:w="1350" w:type="dxa"/>
            <w:vAlign w:val="center"/>
          </w:tcPr>
          <w:p w:rsidR="0098473E" w:rsidRPr="00701D23" w:rsidRDefault="0098473E">
            <w:pPr>
              <w:jc w:val="center"/>
            </w:pPr>
          </w:p>
        </w:tc>
        <w:tc>
          <w:tcPr>
            <w:tcW w:w="1620" w:type="dxa"/>
            <w:vAlign w:val="center"/>
          </w:tcPr>
          <w:p w:rsidR="0098473E" w:rsidRPr="00701D23" w:rsidRDefault="0098473E">
            <w:pPr>
              <w:jc w:val="center"/>
            </w:pPr>
          </w:p>
        </w:tc>
        <w:tc>
          <w:tcPr>
            <w:tcW w:w="1530" w:type="dxa"/>
            <w:vAlign w:val="bottom"/>
          </w:tcPr>
          <w:p w:rsidR="00CD0E67" w:rsidRDefault="00CD0E67" w:rsidP="00CD0E67">
            <w:pPr>
              <w:jc w:val="center"/>
            </w:pPr>
          </w:p>
        </w:tc>
      </w:tr>
      <w:tr w:rsidR="0098473E" w:rsidRPr="00701D23" w:rsidTr="0041514F">
        <w:tc>
          <w:tcPr>
            <w:tcW w:w="3438" w:type="dxa"/>
          </w:tcPr>
          <w:p w:rsidR="00172E9E" w:rsidRDefault="00172E9E">
            <w:pPr>
              <w:ind w:right="-378"/>
            </w:pPr>
            <w:r w:rsidRPr="00701D23">
              <w:t>FR 40</w:t>
            </w:r>
            <w:r>
              <w:t>23</w:t>
            </w:r>
          </w:p>
          <w:p w:rsidR="0098473E" w:rsidRPr="00701D23" w:rsidRDefault="0098473E">
            <w:pPr>
              <w:ind w:right="-378"/>
            </w:pPr>
            <w:r w:rsidRPr="00701D23">
              <w:t>Recordkeeping</w:t>
            </w:r>
          </w:p>
        </w:tc>
        <w:tc>
          <w:tcPr>
            <w:tcW w:w="1710" w:type="dxa"/>
            <w:vAlign w:val="center"/>
          </w:tcPr>
          <w:p w:rsidR="00172E9E" w:rsidRDefault="00172E9E">
            <w:pPr>
              <w:jc w:val="center"/>
            </w:pPr>
          </w:p>
          <w:p w:rsidR="0098473E" w:rsidRPr="00701D23" w:rsidRDefault="008120F0">
            <w:pPr>
              <w:jc w:val="center"/>
            </w:pPr>
            <w:r>
              <w:t>60</w:t>
            </w:r>
          </w:p>
        </w:tc>
        <w:tc>
          <w:tcPr>
            <w:tcW w:w="1350" w:type="dxa"/>
            <w:vAlign w:val="center"/>
          </w:tcPr>
          <w:p w:rsidR="00172E9E" w:rsidRDefault="00172E9E">
            <w:pPr>
              <w:jc w:val="center"/>
            </w:pPr>
          </w:p>
          <w:p w:rsidR="0098473E" w:rsidRPr="00701D23" w:rsidRDefault="0098473E">
            <w:pPr>
              <w:jc w:val="center"/>
            </w:pPr>
            <w:r w:rsidRPr="00701D23">
              <w:t>1</w:t>
            </w:r>
          </w:p>
        </w:tc>
        <w:tc>
          <w:tcPr>
            <w:tcW w:w="1620" w:type="dxa"/>
            <w:vAlign w:val="center"/>
          </w:tcPr>
          <w:p w:rsidR="00172E9E" w:rsidRDefault="00172E9E">
            <w:pPr>
              <w:jc w:val="center"/>
            </w:pPr>
          </w:p>
          <w:p w:rsidR="0098473E" w:rsidRPr="00701D23" w:rsidRDefault="0098473E">
            <w:pPr>
              <w:jc w:val="center"/>
            </w:pPr>
            <w:r w:rsidRPr="00701D23">
              <w:t>50</w:t>
            </w:r>
          </w:p>
        </w:tc>
        <w:tc>
          <w:tcPr>
            <w:tcW w:w="1530" w:type="dxa"/>
            <w:vAlign w:val="bottom"/>
          </w:tcPr>
          <w:p w:rsidR="00CD0E67" w:rsidRDefault="008120F0" w:rsidP="00CD0E67">
            <w:pPr>
              <w:jc w:val="center"/>
              <w:rPr>
                <w:u w:val="single"/>
              </w:rPr>
            </w:pPr>
            <w:r w:rsidRPr="0071293A">
              <w:rPr>
                <w:u w:val="single"/>
              </w:rPr>
              <w:t>3,000</w:t>
            </w:r>
          </w:p>
        </w:tc>
      </w:tr>
      <w:tr w:rsidR="0098473E" w:rsidRPr="00701D23" w:rsidTr="0041514F">
        <w:tc>
          <w:tcPr>
            <w:tcW w:w="3438" w:type="dxa"/>
          </w:tcPr>
          <w:p w:rsidR="0098473E" w:rsidRPr="00701D23" w:rsidRDefault="0098473E">
            <w:pPr>
              <w:pStyle w:val="Heading7"/>
              <w:tabs>
                <w:tab w:val="clear" w:pos="360"/>
                <w:tab w:val="clear" w:pos="720"/>
              </w:tabs>
              <w:rPr>
                <w:rFonts w:ascii="Times New Roman" w:hAnsi="Times New Roman"/>
              </w:rPr>
            </w:pPr>
          </w:p>
        </w:tc>
        <w:tc>
          <w:tcPr>
            <w:tcW w:w="1710" w:type="dxa"/>
          </w:tcPr>
          <w:p w:rsidR="0098473E" w:rsidRPr="00701D23" w:rsidRDefault="0098473E"/>
        </w:tc>
        <w:tc>
          <w:tcPr>
            <w:tcW w:w="1350" w:type="dxa"/>
          </w:tcPr>
          <w:p w:rsidR="0098473E" w:rsidRPr="00701D23" w:rsidRDefault="0098473E"/>
        </w:tc>
        <w:tc>
          <w:tcPr>
            <w:tcW w:w="1620" w:type="dxa"/>
          </w:tcPr>
          <w:p w:rsidR="0098473E" w:rsidRPr="00701D23" w:rsidRDefault="0098473E"/>
        </w:tc>
        <w:tc>
          <w:tcPr>
            <w:tcW w:w="1530" w:type="dxa"/>
            <w:vAlign w:val="bottom"/>
          </w:tcPr>
          <w:p w:rsidR="00CD0E67" w:rsidRDefault="00CD0E67" w:rsidP="00CD0E67">
            <w:pPr>
              <w:jc w:val="center"/>
            </w:pPr>
          </w:p>
        </w:tc>
      </w:tr>
      <w:tr w:rsidR="0098473E" w:rsidRPr="00701D23" w:rsidTr="0041514F">
        <w:tc>
          <w:tcPr>
            <w:tcW w:w="3438" w:type="dxa"/>
          </w:tcPr>
          <w:p w:rsidR="0098473E" w:rsidRPr="00701D23" w:rsidRDefault="0098473E">
            <w:pPr>
              <w:pStyle w:val="Heading7"/>
              <w:tabs>
                <w:tab w:val="clear" w:pos="360"/>
                <w:tab w:val="clear" w:pos="720"/>
              </w:tabs>
              <w:rPr>
                <w:rFonts w:ascii="Times New Roman" w:hAnsi="Times New Roman"/>
              </w:rPr>
            </w:pPr>
            <w:r w:rsidRPr="00701D23">
              <w:rPr>
                <w:rFonts w:ascii="Times New Roman" w:hAnsi="Times New Roman"/>
              </w:rPr>
              <w:t>Total</w:t>
            </w:r>
          </w:p>
        </w:tc>
        <w:tc>
          <w:tcPr>
            <w:tcW w:w="1710" w:type="dxa"/>
          </w:tcPr>
          <w:p w:rsidR="0098473E" w:rsidRPr="00701D23" w:rsidRDefault="0098473E"/>
        </w:tc>
        <w:tc>
          <w:tcPr>
            <w:tcW w:w="1350" w:type="dxa"/>
          </w:tcPr>
          <w:p w:rsidR="0098473E" w:rsidRPr="00701D23" w:rsidRDefault="0098473E"/>
        </w:tc>
        <w:tc>
          <w:tcPr>
            <w:tcW w:w="1620" w:type="dxa"/>
          </w:tcPr>
          <w:p w:rsidR="0098473E" w:rsidRPr="00701D23" w:rsidRDefault="0098473E"/>
        </w:tc>
        <w:tc>
          <w:tcPr>
            <w:tcW w:w="1530" w:type="dxa"/>
            <w:vAlign w:val="bottom"/>
          </w:tcPr>
          <w:p w:rsidR="00CD0E67" w:rsidRDefault="0071293A" w:rsidP="00172E9E">
            <w:pPr>
              <w:jc w:val="center"/>
            </w:pPr>
            <w:r>
              <w:t>3,</w:t>
            </w:r>
            <w:r w:rsidR="00172E9E">
              <w:t>485</w:t>
            </w:r>
          </w:p>
        </w:tc>
      </w:tr>
    </w:tbl>
    <w:p w:rsidR="00746E35" w:rsidRPr="00701D23" w:rsidRDefault="00746E35">
      <w:pPr>
        <w:pStyle w:val="Header"/>
        <w:tabs>
          <w:tab w:val="clear" w:pos="4320"/>
          <w:tab w:val="clear" w:pos="8640"/>
          <w:tab w:val="center" w:pos="-1440"/>
        </w:tabs>
      </w:pPr>
    </w:p>
    <w:p w:rsidR="00746E35" w:rsidRPr="00701D23" w:rsidRDefault="00585046">
      <w:pPr>
        <w:tabs>
          <w:tab w:val="center" w:pos="-1440"/>
        </w:tabs>
        <w:rPr>
          <w:vertAlign w:val="superscript"/>
        </w:rPr>
      </w:pPr>
      <w:r>
        <w:t>T</w:t>
      </w:r>
      <w:r w:rsidR="00746E35" w:rsidRPr="00701D23">
        <w:t xml:space="preserve">he </w:t>
      </w:r>
      <w:r w:rsidR="0020133C">
        <w:t xml:space="preserve">total </w:t>
      </w:r>
      <w:r w:rsidR="00746E35" w:rsidRPr="00701D23">
        <w:t>annual cost to the public is estimated to be $</w:t>
      </w:r>
      <w:r w:rsidR="00172E9E">
        <w:t>160,915</w:t>
      </w:r>
      <w:r w:rsidR="00746E35" w:rsidRPr="00701D23">
        <w:t xml:space="preserve"> </w:t>
      </w:r>
      <w:r w:rsidR="00F50AA1" w:rsidRPr="00701D23">
        <w:rPr>
          <w:rStyle w:val="FootnoteReference"/>
          <w:vertAlign w:val="superscript"/>
        </w:rPr>
        <w:footnoteReference w:id="30"/>
      </w:r>
    </w:p>
    <w:p w:rsidR="004E0DE8" w:rsidRPr="004E0DE8" w:rsidRDefault="004E0DE8" w:rsidP="004E0DE8"/>
    <w:p w:rsidR="00746E35" w:rsidRDefault="00CD0E67">
      <w:pPr>
        <w:pStyle w:val="Heading8"/>
      </w:pPr>
      <w:r w:rsidRPr="00CD0E67">
        <w:t>Estimate of Cost to the Federal Reserve System</w:t>
      </w:r>
    </w:p>
    <w:p w:rsidR="0036552B" w:rsidRDefault="0036552B" w:rsidP="0036552B"/>
    <w:p w:rsidR="00746E35" w:rsidRPr="00701D23" w:rsidRDefault="00746E35">
      <w:pPr>
        <w:tabs>
          <w:tab w:val="center" w:pos="-1440"/>
        </w:tabs>
      </w:pPr>
      <w:r w:rsidRPr="00701D23">
        <w:t>The information to be submitted is not automated.  The Federal Reserve System's costs for processing this information are minimal.</w:t>
      </w:r>
    </w:p>
    <w:sectPr w:rsidR="00746E35" w:rsidRPr="00701D23" w:rsidSect="008E1DAB">
      <w:headerReference w:type="default" r:id="rId8"/>
      <w:footerReference w:type="even" r:id="rId9"/>
      <w:footerReference w:type="default" r:id="rId10"/>
      <w:endnotePr>
        <w:numFmt w:val="decimal"/>
      </w:endnotePr>
      <w:pgSz w:w="12240" w:h="15840" w:code="1"/>
      <w:pgMar w:top="1440" w:right="1440" w:bottom="1440" w:left="1440"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0872" w:rsidRDefault="00A20872" w:rsidP="00A274C0">
      <w:r>
        <w:separator/>
      </w:r>
    </w:p>
  </w:endnote>
  <w:endnote w:type="continuationSeparator" w:id="0">
    <w:p w:rsidR="00A20872" w:rsidRDefault="00A20872" w:rsidP="00A274C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MathA">
    <w:panose1 w:val="05010101010101010101"/>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872" w:rsidRDefault="00540B5C">
    <w:pPr>
      <w:pStyle w:val="Footer"/>
      <w:framePr w:wrap="around" w:vAnchor="text" w:hAnchor="margin" w:xAlign="center" w:y="1"/>
      <w:rPr>
        <w:rStyle w:val="PageNumber"/>
      </w:rPr>
    </w:pPr>
    <w:r>
      <w:rPr>
        <w:rStyle w:val="PageNumber"/>
      </w:rPr>
      <w:fldChar w:fldCharType="begin"/>
    </w:r>
    <w:r w:rsidR="00A20872">
      <w:rPr>
        <w:rStyle w:val="PageNumber"/>
      </w:rPr>
      <w:instrText xml:space="preserve">PAGE  </w:instrText>
    </w:r>
    <w:r>
      <w:rPr>
        <w:rStyle w:val="PageNumber"/>
      </w:rPr>
      <w:fldChar w:fldCharType="end"/>
    </w:r>
  </w:p>
  <w:p w:rsidR="00A20872" w:rsidRDefault="00A2087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872" w:rsidRDefault="00540B5C">
    <w:pPr>
      <w:pStyle w:val="Footer"/>
      <w:framePr w:wrap="around" w:vAnchor="text" w:hAnchor="margin" w:xAlign="center" w:y="1"/>
      <w:rPr>
        <w:rStyle w:val="PageNumber"/>
      </w:rPr>
    </w:pPr>
    <w:r>
      <w:rPr>
        <w:rStyle w:val="PageNumber"/>
      </w:rPr>
      <w:fldChar w:fldCharType="begin"/>
    </w:r>
    <w:r w:rsidR="00A20872">
      <w:rPr>
        <w:rStyle w:val="PageNumber"/>
      </w:rPr>
      <w:instrText xml:space="preserve">PAGE  </w:instrText>
    </w:r>
    <w:r>
      <w:rPr>
        <w:rStyle w:val="PageNumber"/>
      </w:rPr>
      <w:fldChar w:fldCharType="separate"/>
    </w:r>
    <w:r w:rsidR="00B221AF">
      <w:rPr>
        <w:rStyle w:val="PageNumber"/>
        <w:noProof/>
      </w:rPr>
      <w:t>10</w:t>
    </w:r>
    <w:r>
      <w:rPr>
        <w:rStyle w:val="PageNumber"/>
      </w:rPr>
      <w:fldChar w:fldCharType="end"/>
    </w:r>
  </w:p>
  <w:p w:rsidR="00A20872" w:rsidRDefault="00A20872">
    <w:pPr>
      <w:spacing w:line="240" w:lineRule="exact"/>
      <w:ind w:right="360"/>
    </w:pPr>
  </w:p>
  <w:p w:rsidR="00A20872" w:rsidRDefault="00A20872">
    <w:pPr>
      <w:framePr w:w="9361" w:wrap="notBeside" w:vAnchor="text" w:hAnchor="text" w:x="1" w:y="1"/>
      <w:jc w:val="center"/>
    </w:pPr>
  </w:p>
  <w:p w:rsidR="00A20872" w:rsidRDefault="00A20872"/>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0872" w:rsidRDefault="00A20872" w:rsidP="00A274C0">
      <w:r>
        <w:separator/>
      </w:r>
    </w:p>
  </w:footnote>
  <w:footnote w:type="continuationSeparator" w:id="0">
    <w:p w:rsidR="00A20872" w:rsidRDefault="00A20872" w:rsidP="00A274C0">
      <w:r>
        <w:continuationSeparator/>
      </w:r>
    </w:p>
  </w:footnote>
  <w:footnote w:id="1">
    <w:p w:rsidR="00A20872" w:rsidRDefault="00A20872">
      <w:pPr>
        <w:pStyle w:val="FootnoteText"/>
        <w:spacing w:after="60"/>
        <w:ind w:firstLine="360"/>
      </w:pPr>
      <w:r>
        <w:rPr>
          <w:rStyle w:val="FootnoteReference"/>
          <w:vertAlign w:val="superscript"/>
        </w:rPr>
        <w:footnoteRef/>
      </w:r>
      <w:r>
        <w:t xml:space="preserve"> 12 U.S.C. § 1843(</w:t>
      </w:r>
      <w:r w:rsidRPr="00E264A9">
        <w:rPr>
          <w:i/>
        </w:rPr>
        <w:t>l</w:t>
      </w:r>
      <w:proofErr w:type="gramStart"/>
      <w:r>
        <w:t>)(</w:t>
      </w:r>
      <w:proofErr w:type="gramEnd"/>
      <w:r>
        <w:t>1)(C).  Section 8(a) of the International Banking Act, 12 U.S.C. § 3106(a), makes this requirement applicable to certain foreign banking organizations (FBOs) seeking to be treated as FHCs.</w:t>
      </w:r>
    </w:p>
  </w:footnote>
  <w:footnote w:id="2">
    <w:p w:rsidR="00A20872" w:rsidRDefault="00A20872">
      <w:pPr>
        <w:pStyle w:val="FootnoteText"/>
        <w:spacing w:after="60"/>
        <w:ind w:firstLine="360"/>
      </w:pPr>
      <w:r>
        <w:rPr>
          <w:rStyle w:val="FootnoteReference"/>
          <w:vertAlign w:val="superscript"/>
        </w:rPr>
        <w:footnoteRef/>
      </w:r>
      <w:r>
        <w:t xml:space="preserve"> 12 U.S.C. § 1843(k</w:t>
      </w:r>
      <w:proofErr w:type="gramStart"/>
      <w:r>
        <w:t>)(</w:t>
      </w:r>
      <w:proofErr w:type="gramEnd"/>
      <w:r>
        <w:t>1).  .</w:t>
      </w:r>
    </w:p>
  </w:footnote>
  <w:footnote w:id="3">
    <w:p w:rsidR="00A20872" w:rsidRDefault="00A20872">
      <w:pPr>
        <w:pStyle w:val="FootnoteText"/>
        <w:spacing w:after="60"/>
        <w:ind w:firstLine="360"/>
      </w:pPr>
      <w:r>
        <w:rPr>
          <w:rStyle w:val="FootnoteReference"/>
          <w:vertAlign w:val="superscript"/>
        </w:rPr>
        <w:footnoteRef/>
      </w:r>
      <w:r>
        <w:t xml:space="preserve"> </w:t>
      </w:r>
      <w:proofErr w:type="gramStart"/>
      <w:r>
        <w:t>12 C.F.R. 225.88(e).</w:t>
      </w:r>
      <w:proofErr w:type="gramEnd"/>
    </w:p>
  </w:footnote>
  <w:footnote w:id="4">
    <w:p w:rsidR="00A20872" w:rsidRDefault="00A20872">
      <w:pPr>
        <w:pStyle w:val="FootnoteText"/>
        <w:spacing w:after="60"/>
        <w:ind w:firstLine="360"/>
      </w:pPr>
      <w:r>
        <w:rPr>
          <w:rStyle w:val="FootnoteReference"/>
          <w:vertAlign w:val="superscript"/>
        </w:rPr>
        <w:footnoteRef/>
      </w:r>
      <w:r>
        <w:t xml:space="preserve"> 12 U.S.C. § 1843(</w:t>
      </w:r>
      <w:r w:rsidRPr="00E264A9">
        <w:rPr>
          <w:i/>
        </w:rPr>
        <w:t>l</w:t>
      </w:r>
      <w:proofErr w:type="gramStart"/>
      <w:r>
        <w:t>)(</w:t>
      </w:r>
      <w:proofErr w:type="gramEnd"/>
      <w:r>
        <w:t>1); 12 C.F.R. 225.83(b)(1) and 225.93(b)(1).</w:t>
      </w:r>
    </w:p>
  </w:footnote>
  <w:footnote w:id="5">
    <w:p w:rsidR="00A20872" w:rsidRDefault="00A20872">
      <w:pPr>
        <w:pStyle w:val="FootnoteText"/>
        <w:spacing w:after="60"/>
        <w:ind w:firstLine="360"/>
      </w:pPr>
      <w:r>
        <w:rPr>
          <w:rStyle w:val="FootnoteReference"/>
          <w:vertAlign w:val="superscript"/>
        </w:rPr>
        <w:footnoteRef/>
      </w:r>
      <w:r>
        <w:t xml:space="preserve"> 12 U.S.C. § 1843(m</w:t>
      </w:r>
      <w:proofErr w:type="gramStart"/>
      <w:r>
        <w:t>)(</w:t>
      </w:r>
      <w:proofErr w:type="gramEnd"/>
      <w:r>
        <w:t>2), 12 C.F.R. 225.83(d) and 225.93(d).</w:t>
      </w:r>
    </w:p>
  </w:footnote>
  <w:footnote w:id="6">
    <w:p w:rsidR="00A20872" w:rsidRDefault="00A20872">
      <w:pPr>
        <w:pStyle w:val="FootnoteText"/>
        <w:spacing w:after="60"/>
        <w:ind w:firstLine="360"/>
      </w:pPr>
      <w:r>
        <w:rPr>
          <w:rStyle w:val="FootnoteReference"/>
          <w:vertAlign w:val="superscript"/>
        </w:rPr>
        <w:footnoteRef/>
      </w:r>
      <w:r>
        <w:t xml:space="preserve"> 12 U.S.C. § 335 (applying the prior approval requirements of 12 U.S.C. § </w:t>
      </w:r>
      <w:proofErr w:type="gramStart"/>
      <w:r>
        <w:t>24a(</w:t>
      </w:r>
      <w:proofErr w:type="gramEnd"/>
      <w:r>
        <w:t xml:space="preserve">a)(2)(F));  12 C.F.R. 208.76(a). </w:t>
      </w:r>
    </w:p>
  </w:footnote>
  <w:footnote w:id="7">
    <w:p w:rsidR="00A20872" w:rsidRDefault="00A20872">
      <w:pPr>
        <w:pStyle w:val="FootnoteText"/>
        <w:spacing w:after="60"/>
        <w:ind w:firstLine="360"/>
      </w:pPr>
      <w:r>
        <w:rPr>
          <w:rStyle w:val="FootnoteReference"/>
          <w:vertAlign w:val="superscript"/>
        </w:rPr>
        <w:footnoteRef/>
      </w:r>
      <w:r>
        <w:t xml:space="preserve"> 12 C.F.R. 225.172(b), 225.173(c); 12 C.F.R. 225.172(b</w:t>
      </w:r>
      <w:proofErr w:type="gramStart"/>
      <w:r>
        <w:t>)(</w:t>
      </w:r>
      <w:proofErr w:type="gramEnd"/>
      <w:r>
        <w:t>4), 225.173(c)(2).</w:t>
      </w:r>
    </w:p>
  </w:footnote>
  <w:footnote w:id="8">
    <w:p w:rsidR="00A20872" w:rsidRPr="0092047A" w:rsidRDefault="00A20872">
      <w:pPr>
        <w:spacing w:after="60"/>
        <w:ind w:firstLine="360"/>
        <w:rPr>
          <w:lang w:val="es-ES"/>
        </w:rPr>
      </w:pPr>
      <w:r>
        <w:rPr>
          <w:rStyle w:val="FootnoteReference"/>
          <w:sz w:val="20"/>
          <w:vertAlign w:val="superscript"/>
        </w:rPr>
        <w:footnoteRef/>
      </w:r>
      <w:r w:rsidRPr="0092047A">
        <w:rPr>
          <w:lang w:val="es-ES"/>
        </w:rPr>
        <w:t xml:space="preserve"> </w:t>
      </w:r>
      <w:r w:rsidRPr="0092047A">
        <w:rPr>
          <w:sz w:val="20"/>
          <w:lang w:val="es-ES"/>
        </w:rPr>
        <w:t>12 C.F.R. 225.171, 225.171(e</w:t>
      </w:r>
      <w:proofErr w:type="gramStart"/>
      <w:r w:rsidRPr="0092047A">
        <w:rPr>
          <w:sz w:val="20"/>
          <w:lang w:val="es-ES"/>
        </w:rPr>
        <w:t>)(</w:t>
      </w:r>
      <w:proofErr w:type="gramEnd"/>
      <w:r w:rsidRPr="0092047A">
        <w:rPr>
          <w:sz w:val="20"/>
          <w:lang w:val="es-ES"/>
        </w:rPr>
        <w:t>3).</w:t>
      </w:r>
    </w:p>
  </w:footnote>
  <w:footnote w:id="9">
    <w:p w:rsidR="00A20872" w:rsidRPr="0092047A" w:rsidRDefault="00A20872">
      <w:pPr>
        <w:pStyle w:val="FootnoteText"/>
        <w:spacing w:after="60"/>
        <w:ind w:firstLine="360"/>
        <w:rPr>
          <w:lang w:val="es-ES"/>
        </w:rPr>
      </w:pPr>
      <w:r>
        <w:rPr>
          <w:rStyle w:val="FootnoteReference"/>
          <w:vertAlign w:val="superscript"/>
        </w:rPr>
        <w:footnoteRef/>
      </w:r>
      <w:r w:rsidRPr="0092047A">
        <w:rPr>
          <w:lang w:val="es-ES"/>
        </w:rPr>
        <w:t xml:space="preserve"> 12 C.F.R. 225.175.</w:t>
      </w:r>
    </w:p>
  </w:footnote>
  <w:footnote w:id="10">
    <w:p w:rsidR="00A20872" w:rsidRPr="0092047A" w:rsidRDefault="00A20872">
      <w:pPr>
        <w:pStyle w:val="FootnoteText"/>
        <w:spacing w:after="60"/>
        <w:ind w:firstLine="360"/>
        <w:rPr>
          <w:lang w:val="es-ES"/>
        </w:rPr>
      </w:pPr>
      <w:r>
        <w:rPr>
          <w:rStyle w:val="FootnoteReference"/>
          <w:vertAlign w:val="superscript"/>
        </w:rPr>
        <w:footnoteRef/>
      </w:r>
      <w:r w:rsidRPr="0092047A">
        <w:rPr>
          <w:lang w:val="es-ES"/>
        </w:rPr>
        <w:t xml:space="preserve"> 12 C.F.R. 225.171(e</w:t>
      </w:r>
      <w:proofErr w:type="gramStart"/>
      <w:r w:rsidRPr="0092047A">
        <w:rPr>
          <w:lang w:val="es-ES"/>
        </w:rPr>
        <w:t>)(</w:t>
      </w:r>
      <w:proofErr w:type="gramEnd"/>
      <w:r w:rsidRPr="0092047A">
        <w:rPr>
          <w:lang w:val="es-ES"/>
        </w:rPr>
        <w:t>4).</w:t>
      </w:r>
    </w:p>
  </w:footnote>
  <w:footnote w:id="11">
    <w:p w:rsidR="00A20872" w:rsidRDefault="00A20872">
      <w:pPr>
        <w:pStyle w:val="FootnoteText"/>
        <w:ind w:firstLine="360"/>
      </w:pPr>
      <w:r>
        <w:rPr>
          <w:rStyle w:val="FootnoteReference"/>
          <w:vertAlign w:val="superscript"/>
        </w:rPr>
        <w:footnoteRef/>
      </w:r>
      <w:r>
        <w:t xml:space="preserve"> </w:t>
      </w:r>
      <w:proofErr w:type="gramStart"/>
      <w:r>
        <w:t>12 C.F.R. 225.82 and 225.91.</w:t>
      </w:r>
      <w:proofErr w:type="gramEnd"/>
    </w:p>
  </w:footnote>
  <w:footnote w:id="12">
    <w:p w:rsidR="00A20872" w:rsidRDefault="00A20872">
      <w:pPr>
        <w:pStyle w:val="FootnoteText"/>
        <w:spacing w:after="60"/>
        <w:ind w:firstLine="360"/>
      </w:pPr>
      <w:r>
        <w:rPr>
          <w:rStyle w:val="FootnoteReference"/>
          <w:vertAlign w:val="superscript"/>
        </w:rPr>
        <w:footnoteRef/>
      </w:r>
      <w:r>
        <w:t xml:space="preserve"> </w:t>
      </w:r>
      <w:proofErr w:type="gramStart"/>
      <w:r>
        <w:t>12 C.F.R. 225.88(b) and (e), and 225.89.</w:t>
      </w:r>
      <w:proofErr w:type="gramEnd"/>
    </w:p>
  </w:footnote>
  <w:footnote w:id="13">
    <w:p w:rsidR="00A20872" w:rsidRDefault="00A20872">
      <w:pPr>
        <w:pStyle w:val="FootnoteText"/>
        <w:spacing w:after="60"/>
        <w:ind w:firstLine="360"/>
      </w:pPr>
      <w:r>
        <w:rPr>
          <w:rStyle w:val="FootnoteReference"/>
          <w:vertAlign w:val="superscript"/>
        </w:rPr>
        <w:footnoteRef/>
      </w:r>
      <w:r>
        <w:t xml:space="preserve"> 12 C.F.R. 225.83(b</w:t>
      </w:r>
      <w:proofErr w:type="gramStart"/>
      <w:r>
        <w:t>)(</w:t>
      </w:r>
      <w:proofErr w:type="gramEnd"/>
      <w:r>
        <w:t>1) and 225.93(b)(1).</w:t>
      </w:r>
    </w:p>
  </w:footnote>
  <w:footnote w:id="14">
    <w:p w:rsidR="00A20872" w:rsidRDefault="00A20872" w:rsidP="005C53DD">
      <w:pPr>
        <w:pStyle w:val="FootnoteText"/>
        <w:spacing w:after="60"/>
        <w:ind w:firstLine="360"/>
      </w:pPr>
      <w:r>
        <w:rPr>
          <w:rStyle w:val="FootnoteReference"/>
          <w:vertAlign w:val="superscript"/>
        </w:rPr>
        <w:footnoteRef/>
      </w:r>
      <w:r>
        <w:t xml:space="preserve"> </w:t>
      </w:r>
      <w:proofErr w:type="gramStart"/>
      <w:r>
        <w:t>12 C.F.R. 208.76.</w:t>
      </w:r>
      <w:proofErr w:type="gramEnd"/>
    </w:p>
  </w:footnote>
  <w:footnote w:id="15">
    <w:p w:rsidR="00A20872" w:rsidRDefault="00A20872" w:rsidP="005C53DD">
      <w:pPr>
        <w:pStyle w:val="FootnoteText"/>
        <w:spacing w:after="60"/>
        <w:ind w:firstLine="360"/>
      </w:pPr>
      <w:r>
        <w:rPr>
          <w:rStyle w:val="FootnoteReference"/>
          <w:vertAlign w:val="superscript"/>
        </w:rPr>
        <w:footnoteRef/>
      </w:r>
      <w:r>
        <w:t xml:space="preserve"> 12 C.F.R. 225.172(b</w:t>
      </w:r>
      <w:proofErr w:type="gramStart"/>
      <w:r>
        <w:t>)(</w:t>
      </w:r>
      <w:proofErr w:type="gramEnd"/>
      <w:r>
        <w:t>4).</w:t>
      </w:r>
    </w:p>
  </w:footnote>
  <w:footnote w:id="16">
    <w:p w:rsidR="00A20872" w:rsidRDefault="00A20872" w:rsidP="00746E35">
      <w:pPr>
        <w:pStyle w:val="FootnoteText"/>
        <w:ind w:firstLine="360"/>
      </w:pPr>
      <w:r>
        <w:rPr>
          <w:rStyle w:val="FootnoteReference"/>
          <w:vertAlign w:val="superscript"/>
        </w:rPr>
        <w:footnoteRef/>
      </w:r>
      <w:r>
        <w:t xml:space="preserve"> 12 C.F.R. 225.175(a</w:t>
      </w:r>
      <w:proofErr w:type="gramStart"/>
      <w:r>
        <w:t>)(</w:t>
      </w:r>
      <w:proofErr w:type="gramEnd"/>
      <w:r>
        <w:t>1).</w:t>
      </w:r>
    </w:p>
  </w:footnote>
  <w:footnote w:id="17">
    <w:p w:rsidR="00A20872" w:rsidRDefault="00A20872" w:rsidP="00A357F8">
      <w:pPr>
        <w:pStyle w:val="FootnoteText"/>
        <w:spacing w:after="60"/>
        <w:ind w:firstLine="360"/>
      </w:pPr>
      <w:r w:rsidRPr="00226FF8">
        <w:rPr>
          <w:rStyle w:val="FootnoteReference"/>
          <w:vertAlign w:val="superscript"/>
        </w:rPr>
        <w:footnoteRef/>
      </w:r>
      <w:r>
        <w:t xml:space="preserve"> 12 C.F.R. 225.82(e), (f) and </w:t>
      </w:r>
      <w:proofErr w:type="gramStart"/>
      <w:r>
        <w:t>12 C.F.R. 225.92(a), (b)</w:t>
      </w:r>
      <w:proofErr w:type="gramEnd"/>
      <w:r>
        <w:t xml:space="preserve">.    </w:t>
      </w:r>
    </w:p>
  </w:footnote>
  <w:footnote w:id="18">
    <w:p w:rsidR="00A20872" w:rsidRDefault="00A20872" w:rsidP="00A357F8">
      <w:pPr>
        <w:pStyle w:val="FootnoteText"/>
        <w:spacing w:after="60"/>
        <w:ind w:firstLine="360"/>
      </w:pPr>
      <w:r w:rsidRPr="00A357F8">
        <w:rPr>
          <w:rStyle w:val="FootnoteReference"/>
          <w:vertAlign w:val="superscript"/>
        </w:rPr>
        <w:footnoteRef/>
      </w:r>
      <w:r>
        <w:t xml:space="preserve"> 12 U.S.C. § 1843(k</w:t>
      </w:r>
      <w:proofErr w:type="gramStart"/>
      <w:r>
        <w:t>)(</w:t>
      </w:r>
      <w:proofErr w:type="gramEnd"/>
      <w:r>
        <w:t xml:space="preserve">2)(A). </w:t>
      </w:r>
    </w:p>
  </w:footnote>
  <w:footnote w:id="19">
    <w:p w:rsidR="00A20872" w:rsidRDefault="00A20872" w:rsidP="00A357F8">
      <w:pPr>
        <w:pStyle w:val="FootnoteText"/>
        <w:spacing w:after="60"/>
        <w:ind w:firstLine="360"/>
      </w:pPr>
      <w:r w:rsidRPr="00A357F8">
        <w:rPr>
          <w:rStyle w:val="FootnoteReference"/>
          <w:vertAlign w:val="superscript"/>
        </w:rPr>
        <w:footnoteRef/>
      </w:r>
      <w:r>
        <w:t xml:space="preserve"> 12 C.F.R. 225.88(c</w:t>
      </w:r>
      <w:proofErr w:type="gramStart"/>
      <w:r>
        <w:t>)(</w:t>
      </w:r>
      <w:proofErr w:type="gramEnd"/>
      <w:r>
        <w:t>2).</w:t>
      </w:r>
    </w:p>
  </w:footnote>
  <w:footnote w:id="20">
    <w:p w:rsidR="00A20872" w:rsidRDefault="00A20872" w:rsidP="00A357F8">
      <w:pPr>
        <w:pStyle w:val="FootnoteText"/>
        <w:spacing w:after="60"/>
        <w:ind w:firstLine="360"/>
      </w:pPr>
      <w:r w:rsidRPr="00A357F8">
        <w:rPr>
          <w:rStyle w:val="FootnoteReference"/>
          <w:vertAlign w:val="superscript"/>
        </w:rPr>
        <w:footnoteRef/>
      </w:r>
      <w:r>
        <w:t xml:space="preserve"> </w:t>
      </w:r>
      <w:proofErr w:type="gramStart"/>
      <w:r>
        <w:t>12 C.F.R. 225.88(d).</w:t>
      </w:r>
      <w:proofErr w:type="gramEnd"/>
    </w:p>
  </w:footnote>
  <w:footnote w:id="21">
    <w:p w:rsidR="00A20872" w:rsidRDefault="00A20872" w:rsidP="008D124F">
      <w:pPr>
        <w:pStyle w:val="FootnoteText"/>
        <w:spacing w:after="60"/>
        <w:ind w:firstLine="360"/>
      </w:pPr>
      <w:r w:rsidRPr="00A357F8">
        <w:rPr>
          <w:rStyle w:val="FootnoteReference"/>
          <w:vertAlign w:val="superscript"/>
        </w:rPr>
        <w:footnoteRef/>
      </w:r>
      <w:r w:rsidRPr="00A357F8">
        <w:rPr>
          <w:vertAlign w:val="superscript"/>
        </w:rPr>
        <w:t xml:space="preserve"> </w:t>
      </w:r>
      <w:r>
        <w:t>12 C.F.R. 225.88(e</w:t>
      </w:r>
      <w:proofErr w:type="gramStart"/>
      <w:r>
        <w:t>)(</w:t>
      </w:r>
      <w:proofErr w:type="gramEnd"/>
      <w:r>
        <w:t xml:space="preserve">2). </w:t>
      </w:r>
    </w:p>
  </w:footnote>
  <w:footnote w:id="22">
    <w:p w:rsidR="00A20872" w:rsidRDefault="00A20872" w:rsidP="008D124F">
      <w:pPr>
        <w:pStyle w:val="FootnoteText"/>
        <w:spacing w:after="60"/>
        <w:ind w:firstLine="360"/>
      </w:pPr>
      <w:r w:rsidRPr="008D124F">
        <w:rPr>
          <w:rStyle w:val="FootnoteReference"/>
          <w:vertAlign w:val="superscript"/>
        </w:rPr>
        <w:footnoteRef/>
      </w:r>
      <w:r w:rsidRPr="008D124F">
        <w:rPr>
          <w:vertAlign w:val="superscript"/>
        </w:rPr>
        <w:t xml:space="preserve"> </w:t>
      </w:r>
      <w:r>
        <w:t>12 U.S.C. § 1843(j</w:t>
      </w:r>
      <w:proofErr w:type="gramStart"/>
      <w:r>
        <w:t>)(</w:t>
      </w:r>
      <w:proofErr w:type="gramEnd"/>
      <w:r>
        <w:t xml:space="preserve">1)(C). </w:t>
      </w:r>
    </w:p>
  </w:footnote>
  <w:footnote w:id="23">
    <w:p w:rsidR="00A20872" w:rsidRDefault="00A20872" w:rsidP="00C32E3A">
      <w:pPr>
        <w:pStyle w:val="FootnoteText"/>
        <w:spacing w:after="60"/>
        <w:ind w:firstLine="360"/>
      </w:pPr>
      <w:r w:rsidRPr="00C32E3A">
        <w:rPr>
          <w:rStyle w:val="FootnoteReference"/>
          <w:vertAlign w:val="superscript"/>
        </w:rPr>
        <w:footnoteRef/>
      </w:r>
      <w:r>
        <w:t xml:space="preserve"> 12 C.F.R. 225.83(b</w:t>
      </w:r>
      <w:proofErr w:type="gramStart"/>
      <w:r>
        <w:t>)(</w:t>
      </w:r>
      <w:proofErr w:type="gramEnd"/>
      <w:r>
        <w:t>1).</w:t>
      </w:r>
    </w:p>
  </w:footnote>
  <w:footnote w:id="24">
    <w:p w:rsidR="00A20872" w:rsidRDefault="00A20872" w:rsidP="00C32E3A">
      <w:pPr>
        <w:pStyle w:val="FootnoteText"/>
        <w:spacing w:after="60"/>
        <w:ind w:firstLine="360"/>
      </w:pPr>
      <w:r w:rsidRPr="00C32E3A">
        <w:rPr>
          <w:rStyle w:val="FootnoteReference"/>
          <w:vertAlign w:val="superscript"/>
        </w:rPr>
        <w:footnoteRef/>
      </w:r>
      <w:r>
        <w:t xml:space="preserve"> 12 U.S.C. § 1843(m</w:t>
      </w:r>
      <w:proofErr w:type="gramStart"/>
      <w:r>
        <w:t>)(</w:t>
      </w:r>
      <w:proofErr w:type="gramEnd"/>
      <w:r>
        <w:t>2).</w:t>
      </w:r>
    </w:p>
  </w:footnote>
  <w:footnote w:id="25">
    <w:p w:rsidR="00A20872" w:rsidRDefault="00A20872" w:rsidP="00C32E3A">
      <w:pPr>
        <w:pStyle w:val="FootnoteText"/>
        <w:spacing w:after="60"/>
        <w:ind w:firstLine="360"/>
      </w:pPr>
      <w:r w:rsidRPr="00C32E3A">
        <w:rPr>
          <w:rStyle w:val="FootnoteReference"/>
          <w:vertAlign w:val="superscript"/>
        </w:rPr>
        <w:footnoteRef/>
      </w:r>
      <w:r>
        <w:t xml:space="preserve"> 12 U.S.C. § 1843(m</w:t>
      </w:r>
      <w:proofErr w:type="gramStart"/>
      <w:r>
        <w:t>)(</w:t>
      </w:r>
      <w:proofErr w:type="gramEnd"/>
      <w:r>
        <w:t>4).</w:t>
      </w:r>
    </w:p>
  </w:footnote>
  <w:footnote w:id="26">
    <w:p w:rsidR="00A20872" w:rsidRDefault="00A20872" w:rsidP="00DE5B1E">
      <w:pPr>
        <w:pStyle w:val="FootnoteText"/>
        <w:spacing w:after="60"/>
        <w:ind w:firstLine="360"/>
      </w:pPr>
      <w:r w:rsidRPr="00A274C0">
        <w:rPr>
          <w:rStyle w:val="FootnoteReference"/>
          <w:vertAlign w:val="superscript"/>
        </w:rPr>
        <w:footnoteRef/>
      </w:r>
      <w:proofErr w:type="gramStart"/>
      <w:r>
        <w:t>12 CFR 208.76(d).</w:t>
      </w:r>
      <w:proofErr w:type="gramEnd"/>
    </w:p>
  </w:footnote>
  <w:footnote w:id="27">
    <w:p w:rsidR="00A20872" w:rsidRDefault="00A20872" w:rsidP="00DE5B1E">
      <w:pPr>
        <w:pStyle w:val="FootnoteText"/>
        <w:spacing w:after="60"/>
        <w:ind w:firstLine="360"/>
      </w:pPr>
      <w:r w:rsidRPr="00DE5B1E">
        <w:rPr>
          <w:rStyle w:val="FootnoteReference"/>
          <w:vertAlign w:val="superscript"/>
        </w:rPr>
        <w:footnoteRef/>
      </w:r>
      <w:r w:rsidRPr="00DE5B1E">
        <w:rPr>
          <w:vertAlign w:val="superscript"/>
        </w:rPr>
        <w:t xml:space="preserve"> </w:t>
      </w:r>
      <w:r>
        <w:t>12 C.F.R. 225.172(b</w:t>
      </w:r>
      <w:proofErr w:type="gramStart"/>
      <w:r>
        <w:t>)(</w:t>
      </w:r>
      <w:proofErr w:type="gramEnd"/>
      <w:r>
        <w:t>4).</w:t>
      </w:r>
    </w:p>
  </w:footnote>
  <w:footnote w:id="28">
    <w:p w:rsidR="00A20872" w:rsidRDefault="00A20872" w:rsidP="00DE5B1E">
      <w:pPr>
        <w:pStyle w:val="FootnoteText"/>
        <w:spacing w:after="60"/>
        <w:ind w:firstLine="360"/>
      </w:pPr>
      <w:r w:rsidRPr="00DE5B1E">
        <w:rPr>
          <w:rStyle w:val="FootnoteReference"/>
          <w:vertAlign w:val="superscript"/>
        </w:rPr>
        <w:footnoteRef/>
      </w:r>
      <w:r w:rsidRPr="00DE5B1E">
        <w:rPr>
          <w:vertAlign w:val="superscript"/>
        </w:rPr>
        <w:t xml:space="preserve"> </w:t>
      </w:r>
      <w:r>
        <w:t>12 C.F.R. 225.172(b</w:t>
      </w:r>
      <w:proofErr w:type="gramStart"/>
      <w:r>
        <w:t>)(</w:t>
      </w:r>
      <w:proofErr w:type="gramEnd"/>
      <w:r>
        <w:t>5).</w:t>
      </w:r>
    </w:p>
  </w:footnote>
  <w:footnote w:id="29">
    <w:p w:rsidR="00A20872" w:rsidRDefault="00A20872" w:rsidP="00DE5B1E">
      <w:pPr>
        <w:pStyle w:val="FootnoteText"/>
        <w:ind w:firstLine="360"/>
      </w:pPr>
      <w:r w:rsidRPr="00DE5B1E">
        <w:rPr>
          <w:rStyle w:val="FootnoteReference"/>
          <w:vertAlign w:val="superscript"/>
        </w:rPr>
        <w:footnoteRef/>
      </w:r>
      <w:r w:rsidRPr="00DE5B1E">
        <w:rPr>
          <w:vertAlign w:val="superscript"/>
        </w:rPr>
        <w:t xml:space="preserve"> </w:t>
      </w:r>
      <w:r>
        <w:t>12 C.F.R. 225.171(e</w:t>
      </w:r>
      <w:proofErr w:type="gramStart"/>
      <w:r>
        <w:t>)(</w:t>
      </w:r>
      <w:proofErr w:type="gramEnd"/>
      <w:r>
        <w:t>3).</w:t>
      </w:r>
    </w:p>
  </w:footnote>
  <w:footnote w:id="30">
    <w:p w:rsidR="00A20872" w:rsidRDefault="00A20872">
      <w:pPr>
        <w:pStyle w:val="FootnoteText"/>
      </w:pPr>
      <w:r w:rsidRPr="0098473E">
        <w:rPr>
          <w:rStyle w:val="FootnoteReference"/>
          <w:vertAlign w:val="superscript"/>
        </w:rPr>
        <w:footnoteRef/>
      </w:r>
      <w:r>
        <w:t xml:space="preserve"> </w:t>
      </w:r>
      <w:r w:rsidRPr="00F37AF1">
        <w:t xml:space="preserve">Total cost </w:t>
      </w:r>
      <w:r>
        <w:t xml:space="preserve">to the public </w:t>
      </w:r>
      <w:r w:rsidRPr="00F37AF1">
        <w:t>was estimated using the following formula</w:t>
      </w:r>
      <w:r>
        <w:t>:</w:t>
      </w:r>
      <w:r w:rsidRPr="00F37AF1">
        <w:t xml:space="preserve">  Percent of staff time, multiplied by </w:t>
      </w:r>
      <w:r>
        <w:t xml:space="preserve">current </w:t>
      </w:r>
      <w:r w:rsidRPr="00F37AF1">
        <w:t>annual burden hours, multiplied by hourly rate</w:t>
      </w:r>
      <w:r>
        <w:t>.  For the FR 4010, FR 4017, and FR 4019</w:t>
      </w:r>
      <w:r w:rsidRPr="00F37AF1">
        <w:t xml:space="preserve">: </w:t>
      </w:r>
      <w:r>
        <w:t>100</w:t>
      </w:r>
      <w:r w:rsidRPr="00F37AF1">
        <w:t xml:space="preserve">% Managerial or Technical @ $55; </w:t>
      </w:r>
      <w:r>
        <w:t xml:space="preserve">for the FR 4011:  100% Legal Counsel @ $144; for the FR 4012:  decertification 100% Managerial or Technical @ $55 and coming back into compliance 50% Managerial or Technical @ $55 and 50% Legal Counsel @ $144; and for Recordkeeping:  50% Clerical @ $25 and 50% Managerial or Technical @ $55.  </w:t>
      </w:r>
      <w:r w:rsidRPr="000F6FB4">
        <w:rPr>
          <w:color w:val="000000"/>
        </w:rPr>
        <w:t xml:space="preserve">Hourly rate estimates for each occupational group are averages using data from the Bureau of Labor and Statistics, </w:t>
      </w:r>
      <w:r w:rsidRPr="000F6FB4">
        <w:rPr>
          <w:i/>
          <w:iCs/>
          <w:color w:val="000000"/>
        </w:rPr>
        <w:t>Occupational Employment and Wages</w:t>
      </w:r>
      <w:r w:rsidRPr="000F6FB4">
        <w:rPr>
          <w:color w:val="000000"/>
        </w:rPr>
        <w:t>, news release.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872" w:rsidRPr="00766FF9" w:rsidRDefault="00A20872" w:rsidP="00B34CEE">
    <w:pPr>
      <w:pStyle w:val="Header"/>
      <w:jc w:val="right"/>
      <w:rPr>
        <w:b/>
      </w:rPr>
    </w:pPr>
    <w:r>
      <w:rPr>
        <w:b/>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EF8C89E"/>
    <w:lvl w:ilvl="0">
      <w:numFmt w:val="decimal"/>
      <w:lvlText w:val="*"/>
      <w:lvlJc w:val="left"/>
    </w:lvl>
  </w:abstractNum>
  <w:abstractNum w:abstractNumId="1">
    <w:nsid w:val="01694A5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7E626AF"/>
    <w:multiLevelType w:val="hybridMultilevel"/>
    <w:tmpl w:val="66FC4266"/>
    <w:lvl w:ilvl="0" w:tplc="E43C7276">
      <w:start w:val="1"/>
      <w:numFmt w:val="bullet"/>
      <w:lvlText w:val=""/>
      <w:lvlJc w:val="left"/>
      <w:pPr>
        <w:tabs>
          <w:tab w:val="num" w:pos="720"/>
        </w:tabs>
        <w:ind w:left="720" w:hanging="360"/>
      </w:pPr>
      <w:rPr>
        <w:rFonts w:ascii="Symbol" w:hAnsi="Symbol" w:hint="default"/>
      </w:rPr>
    </w:lvl>
    <w:lvl w:ilvl="1" w:tplc="7D1C144E" w:tentative="1">
      <w:start w:val="1"/>
      <w:numFmt w:val="bullet"/>
      <w:lvlText w:val="o"/>
      <w:lvlJc w:val="left"/>
      <w:pPr>
        <w:tabs>
          <w:tab w:val="num" w:pos="1440"/>
        </w:tabs>
        <w:ind w:left="1440" w:hanging="360"/>
      </w:pPr>
      <w:rPr>
        <w:rFonts w:ascii="Courier New" w:hAnsi="Courier New" w:cs="Courier New" w:hint="default"/>
      </w:rPr>
    </w:lvl>
    <w:lvl w:ilvl="2" w:tplc="4754C1A8" w:tentative="1">
      <w:start w:val="1"/>
      <w:numFmt w:val="bullet"/>
      <w:lvlText w:val=""/>
      <w:lvlJc w:val="left"/>
      <w:pPr>
        <w:tabs>
          <w:tab w:val="num" w:pos="2160"/>
        </w:tabs>
        <w:ind w:left="2160" w:hanging="360"/>
      </w:pPr>
      <w:rPr>
        <w:rFonts w:ascii="Wingdings" w:hAnsi="Wingdings" w:hint="default"/>
      </w:rPr>
    </w:lvl>
    <w:lvl w:ilvl="3" w:tplc="0182346E" w:tentative="1">
      <w:start w:val="1"/>
      <w:numFmt w:val="bullet"/>
      <w:lvlText w:val=""/>
      <w:lvlJc w:val="left"/>
      <w:pPr>
        <w:tabs>
          <w:tab w:val="num" w:pos="2880"/>
        </w:tabs>
        <w:ind w:left="2880" w:hanging="360"/>
      </w:pPr>
      <w:rPr>
        <w:rFonts w:ascii="Symbol" w:hAnsi="Symbol" w:hint="default"/>
      </w:rPr>
    </w:lvl>
    <w:lvl w:ilvl="4" w:tplc="D1600A44" w:tentative="1">
      <w:start w:val="1"/>
      <w:numFmt w:val="bullet"/>
      <w:lvlText w:val="o"/>
      <w:lvlJc w:val="left"/>
      <w:pPr>
        <w:tabs>
          <w:tab w:val="num" w:pos="3600"/>
        </w:tabs>
        <w:ind w:left="3600" w:hanging="360"/>
      </w:pPr>
      <w:rPr>
        <w:rFonts w:ascii="Courier New" w:hAnsi="Courier New" w:cs="Courier New" w:hint="default"/>
      </w:rPr>
    </w:lvl>
    <w:lvl w:ilvl="5" w:tplc="16447594" w:tentative="1">
      <w:start w:val="1"/>
      <w:numFmt w:val="bullet"/>
      <w:lvlText w:val=""/>
      <w:lvlJc w:val="left"/>
      <w:pPr>
        <w:tabs>
          <w:tab w:val="num" w:pos="4320"/>
        </w:tabs>
        <w:ind w:left="4320" w:hanging="360"/>
      </w:pPr>
      <w:rPr>
        <w:rFonts w:ascii="Wingdings" w:hAnsi="Wingdings" w:hint="default"/>
      </w:rPr>
    </w:lvl>
    <w:lvl w:ilvl="6" w:tplc="2F52DDC2" w:tentative="1">
      <w:start w:val="1"/>
      <w:numFmt w:val="bullet"/>
      <w:lvlText w:val=""/>
      <w:lvlJc w:val="left"/>
      <w:pPr>
        <w:tabs>
          <w:tab w:val="num" w:pos="5040"/>
        </w:tabs>
        <w:ind w:left="5040" w:hanging="360"/>
      </w:pPr>
      <w:rPr>
        <w:rFonts w:ascii="Symbol" w:hAnsi="Symbol" w:hint="default"/>
      </w:rPr>
    </w:lvl>
    <w:lvl w:ilvl="7" w:tplc="09E4B4C0" w:tentative="1">
      <w:start w:val="1"/>
      <w:numFmt w:val="bullet"/>
      <w:lvlText w:val="o"/>
      <w:lvlJc w:val="left"/>
      <w:pPr>
        <w:tabs>
          <w:tab w:val="num" w:pos="5760"/>
        </w:tabs>
        <w:ind w:left="5760" w:hanging="360"/>
      </w:pPr>
      <w:rPr>
        <w:rFonts w:ascii="Courier New" w:hAnsi="Courier New" w:cs="Courier New" w:hint="default"/>
      </w:rPr>
    </w:lvl>
    <w:lvl w:ilvl="8" w:tplc="B27A9EA2" w:tentative="1">
      <w:start w:val="1"/>
      <w:numFmt w:val="bullet"/>
      <w:lvlText w:val=""/>
      <w:lvlJc w:val="left"/>
      <w:pPr>
        <w:tabs>
          <w:tab w:val="num" w:pos="6480"/>
        </w:tabs>
        <w:ind w:left="6480" w:hanging="360"/>
      </w:pPr>
      <w:rPr>
        <w:rFonts w:ascii="Wingdings" w:hAnsi="Wingdings" w:hint="default"/>
      </w:rPr>
    </w:lvl>
  </w:abstractNum>
  <w:abstractNum w:abstractNumId="3">
    <w:nsid w:val="0B980376"/>
    <w:multiLevelType w:val="hybridMultilevel"/>
    <w:tmpl w:val="DA08F5A4"/>
    <w:lvl w:ilvl="0" w:tplc="65109AEC">
      <w:start w:val="1"/>
      <w:numFmt w:val="bullet"/>
      <w:lvlText w:val=""/>
      <w:lvlJc w:val="left"/>
      <w:pPr>
        <w:tabs>
          <w:tab w:val="num" w:pos="720"/>
        </w:tabs>
        <w:ind w:left="720" w:hanging="360"/>
      </w:pPr>
      <w:rPr>
        <w:rFonts w:ascii="Symbol" w:hAnsi="Symbol" w:hint="default"/>
      </w:rPr>
    </w:lvl>
    <w:lvl w:ilvl="1" w:tplc="D2243844" w:tentative="1">
      <w:start w:val="1"/>
      <w:numFmt w:val="bullet"/>
      <w:lvlText w:val="o"/>
      <w:lvlJc w:val="left"/>
      <w:pPr>
        <w:tabs>
          <w:tab w:val="num" w:pos="1440"/>
        </w:tabs>
        <w:ind w:left="1440" w:hanging="360"/>
      </w:pPr>
      <w:rPr>
        <w:rFonts w:ascii="Courier New" w:hAnsi="Courier New" w:hint="default"/>
      </w:rPr>
    </w:lvl>
    <w:lvl w:ilvl="2" w:tplc="FDE6F544" w:tentative="1">
      <w:start w:val="1"/>
      <w:numFmt w:val="bullet"/>
      <w:lvlText w:val=""/>
      <w:lvlJc w:val="left"/>
      <w:pPr>
        <w:tabs>
          <w:tab w:val="num" w:pos="2160"/>
        </w:tabs>
        <w:ind w:left="2160" w:hanging="360"/>
      </w:pPr>
      <w:rPr>
        <w:rFonts w:ascii="Wingdings" w:hAnsi="Wingdings" w:hint="default"/>
      </w:rPr>
    </w:lvl>
    <w:lvl w:ilvl="3" w:tplc="B2526DAC" w:tentative="1">
      <w:start w:val="1"/>
      <w:numFmt w:val="bullet"/>
      <w:lvlText w:val=""/>
      <w:lvlJc w:val="left"/>
      <w:pPr>
        <w:tabs>
          <w:tab w:val="num" w:pos="2880"/>
        </w:tabs>
        <w:ind w:left="2880" w:hanging="360"/>
      </w:pPr>
      <w:rPr>
        <w:rFonts w:ascii="Symbol" w:hAnsi="Symbol" w:hint="default"/>
      </w:rPr>
    </w:lvl>
    <w:lvl w:ilvl="4" w:tplc="D292C174" w:tentative="1">
      <w:start w:val="1"/>
      <w:numFmt w:val="bullet"/>
      <w:lvlText w:val="o"/>
      <w:lvlJc w:val="left"/>
      <w:pPr>
        <w:tabs>
          <w:tab w:val="num" w:pos="3600"/>
        </w:tabs>
        <w:ind w:left="3600" w:hanging="360"/>
      </w:pPr>
      <w:rPr>
        <w:rFonts w:ascii="Courier New" w:hAnsi="Courier New" w:hint="default"/>
      </w:rPr>
    </w:lvl>
    <w:lvl w:ilvl="5" w:tplc="37CACB50" w:tentative="1">
      <w:start w:val="1"/>
      <w:numFmt w:val="bullet"/>
      <w:lvlText w:val=""/>
      <w:lvlJc w:val="left"/>
      <w:pPr>
        <w:tabs>
          <w:tab w:val="num" w:pos="4320"/>
        </w:tabs>
        <w:ind w:left="4320" w:hanging="360"/>
      </w:pPr>
      <w:rPr>
        <w:rFonts w:ascii="Wingdings" w:hAnsi="Wingdings" w:hint="default"/>
      </w:rPr>
    </w:lvl>
    <w:lvl w:ilvl="6" w:tplc="613C97CC" w:tentative="1">
      <w:start w:val="1"/>
      <w:numFmt w:val="bullet"/>
      <w:lvlText w:val=""/>
      <w:lvlJc w:val="left"/>
      <w:pPr>
        <w:tabs>
          <w:tab w:val="num" w:pos="5040"/>
        </w:tabs>
        <w:ind w:left="5040" w:hanging="360"/>
      </w:pPr>
      <w:rPr>
        <w:rFonts w:ascii="Symbol" w:hAnsi="Symbol" w:hint="default"/>
      </w:rPr>
    </w:lvl>
    <w:lvl w:ilvl="7" w:tplc="FA74FD7E" w:tentative="1">
      <w:start w:val="1"/>
      <w:numFmt w:val="bullet"/>
      <w:lvlText w:val="o"/>
      <w:lvlJc w:val="left"/>
      <w:pPr>
        <w:tabs>
          <w:tab w:val="num" w:pos="5760"/>
        </w:tabs>
        <w:ind w:left="5760" w:hanging="360"/>
      </w:pPr>
      <w:rPr>
        <w:rFonts w:ascii="Courier New" w:hAnsi="Courier New" w:hint="default"/>
      </w:rPr>
    </w:lvl>
    <w:lvl w:ilvl="8" w:tplc="86060848" w:tentative="1">
      <w:start w:val="1"/>
      <w:numFmt w:val="bullet"/>
      <w:lvlText w:val=""/>
      <w:lvlJc w:val="left"/>
      <w:pPr>
        <w:tabs>
          <w:tab w:val="num" w:pos="6480"/>
        </w:tabs>
        <w:ind w:left="6480" w:hanging="360"/>
      </w:pPr>
      <w:rPr>
        <w:rFonts w:ascii="Wingdings" w:hAnsi="Wingdings" w:hint="default"/>
      </w:rPr>
    </w:lvl>
  </w:abstractNum>
  <w:abstractNum w:abstractNumId="4">
    <w:nsid w:val="102E6E42"/>
    <w:multiLevelType w:val="hybridMultilevel"/>
    <w:tmpl w:val="356E3BB2"/>
    <w:lvl w:ilvl="0" w:tplc="CA246146">
      <w:start w:val="1"/>
      <w:numFmt w:val="bullet"/>
      <w:lvlText w:val=""/>
      <w:lvlJc w:val="left"/>
      <w:pPr>
        <w:tabs>
          <w:tab w:val="num" w:pos="720"/>
        </w:tabs>
        <w:ind w:left="720" w:hanging="360"/>
      </w:pPr>
      <w:rPr>
        <w:rFonts w:ascii="Symbol" w:hAnsi="Symbol" w:hint="default"/>
      </w:rPr>
    </w:lvl>
    <w:lvl w:ilvl="1" w:tplc="2BF261D6" w:tentative="1">
      <w:start w:val="1"/>
      <w:numFmt w:val="bullet"/>
      <w:lvlText w:val="o"/>
      <w:lvlJc w:val="left"/>
      <w:pPr>
        <w:tabs>
          <w:tab w:val="num" w:pos="1440"/>
        </w:tabs>
        <w:ind w:left="1440" w:hanging="360"/>
      </w:pPr>
      <w:rPr>
        <w:rFonts w:ascii="Courier New" w:hAnsi="Courier New" w:hint="default"/>
      </w:rPr>
    </w:lvl>
    <w:lvl w:ilvl="2" w:tplc="D3E0F178" w:tentative="1">
      <w:start w:val="1"/>
      <w:numFmt w:val="bullet"/>
      <w:lvlText w:val=""/>
      <w:lvlJc w:val="left"/>
      <w:pPr>
        <w:tabs>
          <w:tab w:val="num" w:pos="2160"/>
        </w:tabs>
        <w:ind w:left="2160" w:hanging="360"/>
      </w:pPr>
      <w:rPr>
        <w:rFonts w:ascii="Wingdings" w:hAnsi="Wingdings" w:hint="default"/>
      </w:rPr>
    </w:lvl>
    <w:lvl w:ilvl="3" w:tplc="3192286E" w:tentative="1">
      <w:start w:val="1"/>
      <w:numFmt w:val="bullet"/>
      <w:lvlText w:val=""/>
      <w:lvlJc w:val="left"/>
      <w:pPr>
        <w:tabs>
          <w:tab w:val="num" w:pos="2880"/>
        </w:tabs>
        <w:ind w:left="2880" w:hanging="360"/>
      </w:pPr>
      <w:rPr>
        <w:rFonts w:ascii="Symbol" w:hAnsi="Symbol" w:hint="default"/>
      </w:rPr>
    </w:lvl>
    <w:lvl w:ilvl="4" w:tplc="76CE1EC4" w:tentative="1">
      <w:start w:val="1"/>
      <w:numFmt w:val="bullet"/>
      <w:lvlText w:val="o"/>
      <w:lvlJc w:val="left"/>
      <w:pPr>
        <w:tabs>
          <w:tab w:val="num" w:pos="3600"/>
        </w:tabs>
        <w:ind w:left="3600" w:hanging="360"/>
      </w:pPr>
      <w:rPr>
        <w:rFonts w:ascii="Courier New" w:hAnsi="Courier New" w:hint="default"/>
      </w:rPr>
    </w:lvl>
    <w:lvl w:ilvl="5" w:tplc="BF720E1E" w:tentative="1">
      <w:start w:val="1"/>
      <w:numFmt w:val="bullet"/>
      <w:lvlText w:val=""/>
      <w:lvlJc w:val="left"/>
      <w:pPr>
        <w:tabs>
          <w:tab w:val="num" w:pos="4320"/>
        </w:tabs>
        <w:ind w:left="4320" w:hanging="360"/>
      </w:pPr>
      <w:rPr>
        <w:rFonts w:ascii="Wingdings" w:hAnsi="Wingdings" w:hint="default"/>
      </w:rPr>
    </w:lvl>
    <w:lvl w:ilvl="6" w:tplc="1458E066" w:tentative="1">
      <w:start w:val="1"/>
      <w:numFmt w:val="bullet"/>
      <w:lvlText w:val=""/>
      <w:lvlJc w:val="left"/>
      <w:pPr>
        <w:tabs>
          <w:tab w:val="num" w:pos="5040"/>
        </w:tabs>
        <w:ind w:left="5040" w:hanging="360"/>
      </w:pPr>
      <w:rPr>
        <w:rFonts w:ascii="Symbol" w:hAnsi="Symbol" w:hint="default"/>
      </w:rPr>
    </w:lvl>
    <w:lvl w:ilvl="7" w:tplc="35347076" w:tentative="1">
      <w:start w:val="1"/>
      <w:numFmt w:val="bullet"/>
      <w:lvlText w:val="o"/>
      <w:lvlJc w:val="left"/>
      <w:pPr>
        <w:tabs>
          <w:tab w:val="num" w:pos="5760"/>
        </w:tabs>
        <w:ind w:left="5760" w:hanging="360"/>
      </w:pPr>
      <w:rPr>
        <w:rFonts w:ascii="Courier New" w:hAnsi="Courier New" w:hint="default"/>
      </w:rPr>
    </w:lvl>
    <w:lvl w:ilvl="8" w:tplc="C1823904" w:tentative="1">
      <w:start w:val="1"/>
      <w:numFmt w:val="bullet"/>
      <w:lvlText w:val=""/>
      <w:lvlJc w:val="left"/>
      <w:pPr>
        <w:tabs>
          <w:tab w:val="num" w:pos="6480"/>
        </w:tabs>
        <w:ind w:left="6480" w:hanging="360"/>
      </w:pPr>
      <w:rPr>
        <w:rFonts w:ascii="Wingdings" w:hAnsi="Wingdings" w:hint="default"/>
      </w:rPr>
    </w:lvl>
  </w:abstractNum>
  <w:abstractNum w:abstractNumId="5">
    <w:nsid w:val="136E0980"/>
    <w:multiLevelType w:val="hybridMultilevel"/>
    <w:tmpl w:val="608EAFA2"/>
    <w:lvl w:ilvl="0" w:tplc="4B706994">
      <w:start w:val="1"/>
      <w:numFmt w:val="bullet"/>
      <w:lvlText w:val=""/>
      <w:lvlJc w:val="left"/>
      <w:pPr>
        <w:tabs>
          <w:tab w:val="num" w:pos="720"/>
        </w:tabs>
        <w:ind w:left="720" w:hanging="360"/>
      </w:pPr>
      <w:rPr>
        <w:rFonts w:ascii="Symbol" w:hAnsi="Symbol" w:hint="default"/>
      </w:rPr>
    </w:lvl>
    <w:lvl w:ilvl="1" w:tplc="BE7AF3E4" w:tentative="1">
      <w:start w:val="1"/>
      <w:numFmt w:val="bullet"/>
      <w:lvlText w:val="o"/>
      <w:lvlJc w:val="left"/>
      <w:pPr>
        <w:tabs>
          <w:tab w:val="num" w:pos="1440"/>
        </w:tabs>
        <w:ind w:left="1440" w:hanging="360"/>
      </w:pPr>
      <w:rPr>
        <w:rFonts w:ascii="Courier New" w:hAnsi="Courier New" w:hint="default"/>
      </w:rPr>
    </w:lvl>
    <w:lvl w:ilvl="2" w:tplc="04069358" w:tentative="1">
      <w:start w:val="1"/>
      <w:numFmt w:val="bullet"/>
      <w:lvlText w:val=""/>
      <w:lvlJc w:val="left"/>
      <w:pPr>
        <w:tabs>
          <w:tab w:val="num" w:pos="2160"/>
        </w:tabs>
        <w:ind w:left="2160" w:hanging="360"/>
      </w:pPr>
      <w:rPr>
        <w:rFonts w:ascii="Wingdings" w:hAnsi="Wingdings" w:hint="default"/>
      </w:rPr>
    </w:lvl>
    <w:lvl w:ilvl="3" w:tplc="2446F290" w:tentative="1">
      <w:start w:val="1"/>
      <w:numFmt w:val="bullet"/>
      <w:lvlText w:val=""/>
      <w:lvlJc w:val="left"/>
      <w:pPr>
        <w:tabs>
          <w:tab w:val="num" w:pos="2880"/>
        </w:tabs>
        <w:ind w:left="2880" w:hanging="360"/>
      </w:pPr>
      <w:rPr>
        <w:rFonts w:ascii="Symbol" w:hAnsi="Symbol" w:hint="default"/>
      </w:rPr>
    </w:lvl>
    <w:lvl w:ilvl="4" w:tplc="182476A4" w:tentative="1">
      <w:start w:val="1"/>
      <w:numFmt w:val="bullet"/>
      <w:lvlText w:val="o"/>
      <w:lvlJc w:val="left"/>
      <w:pPr>
        <w:tabs>
          <w:tab w:val="num" w:pos="3600"/>
        </w:tabs>
        <w:ind w:left="3600" w:hanging="360"/>
      </w:pPr>
      <w:rPr>
        <w:rFonts w:ascii="Courier New" w:hAnsi="Courier New" w:hint="default"/>
      </w:rPr>
    </w:lvl>
    <w:lvl w:ilvl="5" w:tplc="CCE6150E" w:tentative="1">
      <w:start w:val="1"/>
      <w:numFmt w:val="bullet"/>
      <w:lvlText w:val=""/>
      <w:lvlJc w:val="left"/>
      <w:pPr>
        <w:tabs>
          <w:tab w:val="num" w:pos="4320"/>
        </w:tabs>
        <w:ind w:left="4320" w:hanging="360"/>
      </w:pPr>
      <w:rPr>
        <w:rFonts w:ascii="Wingdings" w:hAnsi="Wingdings" w:hint="default"/>
      </w:rPr>
    </w:lvl>
    <w:lvl w:ilvl="6" w:tplc="0EE00ADE" w:tentative="1">
      <w:start w:val="1"/>
      <w:numFmt w:val="bullet"/>
      <w:lvlText w:val=""/>
      <w:lvlJc w:val="left"/>
      <w:pPr>
        <w:tabs>
          <w:tab w:val="num" w:pos="5040"/>
        </w:tabs>
        <w:ind w:left="5040" w:hanging="360"/>
      </w:pPr>
      <w:rPr>
        <w:rFonts w:ascii="Symbol" w:hAnsi="Symbol" w:hint="default"/>
      </w:rPr>
    </w:lvl>
    <w:lvl w:ilvl="7" w:tplc="56D49AD0" w:tentative="1">
      <w:start w:val="1"/>
      <w:numFmt w:val="bullet"/>
      <w:lvlText w:val="o"/>
      <w:lvlJc w:val="left"/>
      <w:pPr>
        <w:tabs>
          <w:tab w:val="num" w:pos="5760"/>
        </w:tabs>
        <w:ind w:left="5760" w:hanging="360"/>
      </w:pPr>
      <w:rPr>
        <w:rFonts w:ascii="Courier New" w:hAnsi="Courier New" w:hint="default"/>
      </w:rPr>
    </w:lvl>
    <w:lvl w:ilvl="8" w:tplc="9FAE5F44" w:tentative="1">
      <w:start w:val="1"/>
      <w:numFmt w:val="bullet"/>
      <w:lvlText w:val=""/>
      <w:lvlJc w:val="left"/>
      <w:pPr>
        <w:tabs>
          <w:tab w:val="num" w:pos="6480"/>
        </w:tabs>
        <w:ind w:left="6480" w:hanging="360"/>
      </w:pPr>
      <w:rPr>
        <w:rFonts w:ascii="Wingdings" w:hAnsi="Wingdings" w:hint="default"/>
      </w:rPr>
    </w:lvl>
  </w:abstractNum>
  <w:abstractNum w:abstractNumId="6">
    <w:nsid w:val="166D0A0A"/>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7">
    <w:nsid w:val="176070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18C43B33"/>
    <w:multiLevelType w:val="hybridMultilevel"/>
    <w:tmpl w:val="89A867FE"/>
    <w:lvl w:ilvl="0" w:tplc="893E7AB8">
      <w:start w:val="1"/>
      <w:numFmt w:val="bullet"/>
      <w:lvlText w:val=""/>
      <w:lvlJc w:val="left"/>
      <w:pPr>
        <w:tabs>
          <w:tab w:val="num" w:pos="720"/>
        </w:tabs>
        <w:ind w:left="720" w:hanging="360"/>
      </w:pPr>
      <w:rPr>
        <w:rFonts w:ascii="Symbol" w:hAnsi="Symbol" w:hint="default"/>
      </w:rPr>
    </w:lvl>
    <w:lvl w:ilvl="1" w:tplc="4F5E514A" w:tentative="1">
      <w:start w:val="1"/>
      <w:numFmt w:val="bullet"/>
      <w:lvlText w:val="o"/>
      <w:lvlJc w:val="left"/>
      <w:pPr>
        <w:tabs>
          <w:tab w:val="num" w:pos="1440"/>
        </w:tabs>
        <w:ind w:left="1440" w:hanging="360"/>
      </w:pPr>
      <w:rPr>
        <w:rFonts w:ascii="Courier New" w:hAnsi="Courier New" w:cs="Courier New" w:hint="default"/>
      </w:rPr>
    </w:lvl>
    <w:lvl w:ilvl="2" w:tplc="DD8E3100" w:tentative="1">
      <w:start w:val="1"/>
      <w:numFmt w:val="bullet"/>
      <w:lvlText w:val=""/>
      <w:lvlJc w:val="left"/>
      <w:pPr>
        <w:tabs>
          <w:tab w:val="num" w:pos="2160"/>
        </w:tabs>
        <w:ind w:left="2160" w:hanging="360"/>
      </w:pPr>
      <w:rPr>
        <w:rFonts w:ascii="Wingdings" w:hAnsi="Wingdings" w:hint="default"/>
      </w:rPr>
    </w:lvl>
    <w:lvl w:ilvl="3" w:tplc="342ABEBE" w:tentative="1">
      <w:start w:val="1"/>
      <w:numFmt w:val="bullet"/>
      <w:lvlText w:val=""/>
      <w:lvlJc w:val="left"/>
      <w:pPr>
        <w:tabs>
          <w:tab w:val="num" w:pos="2880"/>
        </w:tabs>
        <w:ind w:left="2880" w:hanging="360"/>
      </w:pPr>
      <w:rPr>
        <w:rFonts w:ascii="Symbol" w:hAnsi="Symbol" w:hint="default"/>
      </w:rPr>
    </w:lvl>
    <w:lvl w:ilvl="4" w:tplc="F6720232" w:tentative="1">
      <w:start w:val="1"/>
      <w:numFmt w:val="bullet"/>
      <w:lvlText w:val="o"/>
      <w:lvlJc w:val="left"/>
      <w:pPr>
        <w:tabs>
          <w:tab w:val="num" w:pos="3600"/>
        </w:tabs>
        <w:ind w:left="3600" w:hanging="360"/>
      </w:pPr>
      <w:rPr>
        <w:rFonts w:ascii="Courier New" w:hAnsi="Courier New" w:cs="Courier New" w:hint="default"/>
      </w:rPr>
    </w:lvl>
    <w:lvl w:ilvl="5" w:tplc="AD4009F0" w:tentative="1">
      <w:start w:val="1"/>
      <w:numFmt w:val="bullet"/>
      <w:lvlText w:val=""/>
      <w:lvlJc w:val="left"/>
      <w:pPr>
        <w:tabs>
          <w:tab w:val="num" w:pos="4320"/>
        </w:tabs>
        <w:ind w:left="4320" w:hanging="360"/>
      </w:pPr>
      <w:rPr>
        <w:rFonts w:ascii="Wingdings" w:hAnsi="Wingdings" w:hint="default"/>
      </w:rPr>
    </w:lvl>
    <w:lvl w:ilvl="6" w:tplc="90D84AD4" w:tentative="1">
      <w:start w:val="1"/>
      <w:numFmt w:val="bullet"/>
      <w:lvlText w:val=""/>
      <w:lvlJc w:val="left"/>
      <w:pPr>
        <w:tabs>
          <w:tab w:val="num" w:pos="5040"/>
        </w:tabs>
        <w:ind w:left="5040" w:hanging="360"/>
      </w:pPr>
      <w:rPr>
        <w:rFonts w:ascii="Symbol" w:hAnsi="Symbol" w:hint="default"/>
      </w:rPr>
    </w:lvl>
    <w:lvl w:ilvl="7" w:tplc="08D4228C" w:tentative="1">
      <w:start w:val="1"/>
      <w:numFmt w:val="bullet"/>
      <w:lvlText w:val="o"/>
      <w:lvlJc w:val="left"/>
      <w:pPr>
        <w:tabs>
          <w:tab w:val="num" w:pos="5760"/>
        </w:tabs>
        <w:ind w:left="5760" w:hanging="360"/>
      </w:pPr>
      <w:rPr>
        <w:rFonts w:ascii="Courier New" w:hAnsi="Courier New" w:cs="Courier New" w:hint="default"/>
      </w:rPr>
    </w:lvl>
    <w:lvl w:ilvl="8" w:tplc="BA4CAD82" w:tentative="1">
      <w:start w:val="1"/>
      <w:numFmt w:val="bullet"/>
      <w:lvlText w:val=""/>
      <w:lvlJc w:val="left"/>
      <w:pPr>
        <w:tabs>
          <w:tab w:val="num" w:pos="6480"/>
        </w:tabs>
        <w:ind w:left="6480" w:hanging="360"/>
      </w:pPr>
      <w:rPr>
        <w:rFonts w:ascii="Wingdings" w:hAnsi="Wingdings" w:hint="default"/>
      </w:rPr>
    </w:lvl>
  </w:abstractNum>
  <w:abstractNum w:abstractNumId="9">
    <w:nsid w:val="1F762DB5"/>
    <w:multiLevelType w:val="hybridMultilevel"/>
    <w:tmpl w:val="81FAD2D2"/>
    <w:lvl w:ilvl="0" w:tplc="36BAC95A">
      <w:start w:val="1"/>
      <w:numFmt w:val="bullet"/>
      <w:lvlText w:val=""/>
      <w:lvlJc w:val="left"/>
      <w:pPr>
        <w:tabs>
          <w:tab w:val="num" w:pos="720"/>
        </w:tabs>
        <w:ind w:left="720" w:hanging="360"/>
      </w:pPr>
      <w:rPr>
        <w:rFonts w:ascii="Symbol" w:hAnsi="Symbol" w:hint="default"/>
      </w:rPr>
    </w:lvl>
    <w:lvl w:ilvl="1" w:tplc="005E702C" w:tentative="1">
      <w:start w:val="1"/>
      <w:numFmt w:val="bullet"/>
      <w:lvlText w:val="o"/>
      <w:lvlJc w:val="left"/>
      <w:pPr>
        <w:tabs>
          <w:tab w:val="num" w:pos="1440"/>
        </w:tabs>
        <w:ind w:left="1440" w:hanging="360"/>
      </w:pPr>
      <w:rPr>
        <w:rFonts w:ascii="Courier New" w:hAnsi="Courier New" w:hint="default"/>
      </w:rPr>
    </w:lvl>
    <w:lvl w:ilvl="2" w:tplc="E09A01E6" w:tentative="1">
      <w:start w:val="1"/>
      <w:numFmt w:val="bullet"/>
      <w:lvlText w:val=""/>
      <w:lvlJc w:val="left"/>
      <w:pPr>
        <w:tabs>
          <w:tab w:val="num" w:pos="2160"/>
        </w:tabs>
        <w:ind w:left="2160" w:hanging="360"/>
      </w:pPr>
      <w:rPr>
        <w:rFonts w:ascii="Wingdings" w:hAnsi="Wingdings" w:hint="default"/>
      </w:rPr>
    </w:lvl>
    <w:lvl w:ilvl="3" w:tplc="4F12DF4E" w:tentative="1">
      <w:start w:val="1"/>
      <w:numFmt w:val="bullet"/>
      <w:lvlText w:val=""/>
      <w:lvlJc w:val="left"/>
      <w:pPr>
        <w:tabs>
          <w:tab w:val="num" w:pos="2880"/>
        </w:tabs>
        <w:ind w:left="2880" w:hanging="360"/>
      </w:pPr>
      <w:rPr>
        <w:rFonts w:ascii="Symbol" w:hAnsi="Symbol" w:hint="default"/>
      </w:rPr>
    </w:lvl>
    <w:lvl w:ilvl="4" w:tplc="39F61ED8" w:tentative="1">
      <w:start w:val="1"/>
      <w:numFmt w:val="bullet"/>
      <w:lvlText w:val="o"/>
      <w:lvlJc w:val="left"/>
      <w:pPr>
        <w:tabs>
          <w:tab w:val="num" w:pos="3600"/>
        </w:tabs>
        <w:ind w:left="3600" w:hanging="360"/>
      </w:pPr>
      <w:rPr>
        <w:rFonts w:ascii="Courier New" w:hAnsi="Courier New" w:hint="default"/>
      </w:rPr>
    </w:lvl>
    <w:lvl w:ilvl="5" w:tplc="992CDB8A" w:tentative="1">
      <w:start w:val="1"/>
      <w:numFmt w:val="bullet"/>
      <w:lvlText w:val=""/>
      <w:lvlJc w:val="left"/>
      <w:pPr>
        <w:tabs>
          <w:tab w:val="num" w:pos="4320"/>
        </w:tabs>
        <w:ind w:left="4320" w:hanging="360"/>
      </w:pPr>
      <w:rPr>
        <w:rFonts w:ascii="Wingdings" w:hAnsi="Wingdings" w:hint="default"/>
      </w:rPr>
    </w:lvl>
    <w:lvl w:ilvl="6" w:tplc="C420A0EC" w:tentative="1">
      <w:start w:val="1"/>
      <w:numFmt w:val="bullet"/>
      <w:lvlText w:val=""/>
      <w:lvlJc w:val="left"/>
      <w:pPr>
        <w:tabs>
          <w:tab w:val="num" w:pos="5040"/>
        </w:tabs>
        <w:ind w:left="5040" w:hanging="360"/>
      </w:pPr>
      <w:rPr>
        <w:rFonts w:ascii="Symbol" w:hAnsi="Symbol" w:hint="default"/>
      </w:rPr>
    </w:lvl>
    <w:lvl w:ilvl="7" w:tplc="F6B0522E" w:tentative="1">
      <w:start w:val="1"/>
      <w:numFmt w:val="bullet"/>
      <w:lvlText w:val="o"/>
      <w:lvlJc w:val="left"/>
      <w:pPr>
        <w:tabs>
          <w:tab w:val="num" w:pos="5760"/>
        </w:tabs>
        <w:ind w:left="5760" w:hanging="360"/>
      </w:pPr>
      <w:rPr>
        <w:rFonts w:ascii="Courier New" w:hAnsi="Courier New" w:hint="default"/>
      </w:rPr>
    </w:lvl>
    <w:lvl w:ilvl="8" w:tplc="46DE087E" w:tentative="1">
      <w:start w:val="1"/>
      <w:numFmt w:val="bullet"/>
      <w:lvlText w:val=""/>
      <w:lvlJc w:val="left"/>
      <w:pPr>
        <w:tabs>
          <w:tab w:val="num" w:pos="6480"/>
        </w:tabs>
        <w:ind w:left="6480" w:hanging="360"/>
      </w:pPr>
      <w:rPr>
        <w:rFonts w:ascii="Wingdings" w:hAnsi="Wingdings" w:hint="default"/>
      </w:rPr>
    </w:lvl>
  </w:abstractNum>
  <w:abstractNum w:abstractNumId="10">
    <w:nsid w:val="20773D98"/>
    <w:multiLevelType w:val="hybridMultilevel"/>
    <w:tmpl w:val="5C4C5244"/>
    <w:lvl w:ilvl="0" w:tplc="636E0DCA">
      <w:start w:val="1"/>
      <w:numFmt w:val="bullet"/>
      <w:lvlText w:val=""/>
      <w:lvlJc w:val="left"/>
      <w:pPr>
        <w:tabs>
          <w:tab w:val="num" w:pos="720"/>
        </w:tabs>
        <w:ind w:left="720" w:hanging="360"/>
      </w:pPr>
      <w:rPr>
        <w:rFonts w:ascii="Symbol" w:hAnsi="Symbol" w:hint="default"/>
      </w:rPr>
    </w:lvl>
    <w:lvl w:ilvl="1" w:tplc="5F0A9A62" w:tentative="1">
      <w:start w:val="1"/>
      <w:numFmt w:val="bullet"/>
      <w:lvlText w:val="o"/>
      <w:lvlJc w:val="left"/>
      <w:pPr>
        <w:tabs>
          <w:tab w:val="num" w:pos="1440"/>
        </w:tabs>
        <w:ind w:left="1440" w:hanging="360"/>
      </w:pPr>
      <w:rPr>
        <w:rFonts w:ascii="Courier New" w:hAnsi="Courier New" w:hint="default"/>
      </w:rPr>
    </w:lvl>
    <w:lvl w:ilvl="2" w:tplc="1E422178" w:tentative="1">
      <w:start w:val="1"/>
      <w:numFmt w:val="bullet"/>
      <w:lvlText w:val=""/>
      <w:lvlJc w:val="left"/>
      <w:pPr>
        <w:tabs>
          <w:tab w:val="num" w:pos="2160"/>
        </w:tabs>
        <w:ind w:left="2160" w:hanging="360"/>
      </w:pPr>
      <w:rPr>
        <w:rFonts w:ascii="Wingdings" w:hAnsi="Wingdings" w:hint="default"/>
      </w:rPr>
    </w:lvl>
    <w:lvl w:ilvl="3" w:tplc="3A0C5404" w:tentative="1">
      <w:start w:val="1"/>
      <w:numFmt w:val="bullet"/>
      <w:lvlText w:val=""/>
      <w:lvlJc w:val="left"/>
      <w:pPr>
        <w:tabs>
          <w:tab w:val="num" w:pos="2880"/>
        </w:tabs>
        <w:ind w:left="2880" w:hanging="360"/>
      </w:pPr>
      <w:rPr>
        <w:rFonts w:ascii="Symbol" w:hAnsi="Symbol" w:hint="default"/>
      </w:rPr>
    </w:lvl>
    <w:lvl w:ilvl="4" w:tplc="91D65D8C" w:tentative="1">
      <w:start w:val="1"/>
      <w:numFmt w:val="bullet"/>
      <w:lvlText w:val="o"/>
      <w:lvlJc w:val="left"/>
      <w:pPr>
        <w:tabs>
          <w:tab w:val="num" w:pos="3600"/>
        </w:tabs>
        <w:ind w:left="3600" w:hanging="360"/>
      </w:pPr>
      <w:rPr>
        <w:rFonts w:ascii="Courier New" w:hAnsi="Courier New" w:hint="default"/>
      </w:rPr>
    </w:lvl>
    <w:lvl w:ilvl="5" w:tplc="3CEA6E96" w:tentative="1">
      <w:start w:val="1"/>
      <w:numFmt w:val="bullet"/>
      <w:lvlText w:val=""/>
      <w:lvlJc w:val="left"/>
      <w:pPr>
        <w:tabs>
          <w:tab w:val="num" w:pos="4320"/>
        </w:tabs>
        <w:ind w:left="4320" w:hanging="360"/>
      </w:pPr>
      <w:rPr>
        <w:rFonts w:ascii="Wingdings" w:hAnsi="Wingdings" w:hint="default"/>
      </w:rPr>
    </w:lvl>
    <w:lvl w:ilvl="6" w:tplc="E20EC6DA" w:tentative="1">
      <w:start w:val="1"/>
      <w:numFmt w:val="bullet"/>
      <w:lvlText w:val=""/>
      <w:lvlJc w:val="left"/>
      <w:pPr>
        <w:tabs>
          <w:tab w:val="num" w:pos="5040"/>
        </w:tabs>
        <w:ind w:left="5040" w:hanging="360"/>
      </w:pPr>
      <w:rPr>
        <w:rFonts w:ascii="Symbol" w:hAnsi="Symbol" w:hint="default"/>
      </w:rPr>
    </w:lvl>
    <w:lvl w:ilvl="7" w:tplc="52201F1C" w:tentative="1">
      <w:start w:val="1"/>
      <w:numFmt w:val="bullet"/>
      <w:lvlText w:val="o"/>
      <w:lvlJc w:val="left"/>
      <w:pPr>
        <w:tabs>
          <w:tab w:val="num" w:pos="5760"/>
        </w:tabs>
        <w:ind w:left="5760" w:hanging="360"/>
      </w:pPr>
      <w:rPr>
        <w:rFonts w:ascii="Courier New" w:hAnsi="Courier New" w:hint="default"/>
      </w:rPr>
    </w:lvl>
    <w:lvl w:ilvl="8" w:tplc="E278946E" w:tentative="1">
      <w:start w:val="1"/>
      <w:numFmt w:val="bullet"/>
      <w:lvlText w:val=""/>
      <w:lvlJc w:val="left"/>
      <w:pPr>
        <w:tabs>
          <w:tab w:val="num" w:pos="6480"/>
        </w:tabs>
        <w:ind w:left="6480" w:hanging="360"/>
      </w:pPr>
      <w:rPr>
        <w:rFonts w:ascii="Wingdings" w:hAnsi="Wingdings" w:hint="default"/>
      </w:rPr>
    </w:lvl>
  </w:abstractNum>
  <w:abstractNum w:abstractNumId="11">
    <w:nsid w:val="20A6358E"/>
    <w:multiLevelType w:val="multilevel"/>
    <w:tmpl w:val="BE94AA6C"/>
    <w:lvl w:ilvl="0">
      <w:start w:val="2"/>
      <w:numFmt w:val="decimal"/>
      <w:lvlText w:val="%1."/>
      <w:lvlJc w:val="left"/>
      <w:pPr>
        <w:tabs>
          <w:tab w:val="num" w:pos="1080"/>
        </w:tabs>
        <w:ind w:left="1080" w:hanging="360"/>
      </w:pPr>
      <w:rPr>
        <w:rFonts w:hint="default"/>
      </w:rPr>
    </w:lvl>
    <w:lvl w:ilvl="1">
      <w:start w:val="1"/>
      <w:numFmt w:val="decimal"/>
      <w:lvlText w:val="%2."/>
      <w:lvlJc w:val="left"/>
      <w:pPr>
        <w:tabs>
          <w:tab w:val="num" w:pos="1800"/>
        </w:tabs>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20AD3D7F"/>
    <w:multiLevelType w:val="hybridMultilevel"/>
    <w:tmpl w:val="E356DEDA"/>
    <w:lvl w:ilvl="0" w:tplc="CC0C8AE8">
      <w:start w:val="1"/>
      <w:numFmt w:val="bullet"/>
      <w:lvlText w:val=""/>
      <w:lvlJc w:val="left"/>
      <w:pPr>
        <w:tabs>
          <w:tab w:val="num" w:pos="720"/>
        </w:tabs>
        <w:ind w:left="720" w:hanging="360"/>
      </w:pPr>
      <w:rPr>
        <w:rFonts w:ascii="Symbol" w:hAnsi="Symbol" w:hint="default"/>
      </w:rPr>
    </w:lvl>
    <w:lvl w:ilvl="1" w:tplc="7FAA132E" w:tentative="1">
      <w:start w:val="1"/>
      <w:numFmt w:val="bullet"/>
      <w:lvlText w:val="o"/>
      <w:lvlJc w:val="left"/>
      <w:pPr>
        <w:tabs>
          <w:tab w:val="num" w:pos="1440"/>
        </w:tabs>
        <w:ind w:left="1440" w:hanging="360"/>
      </w:pPr>
      <w:rPr>
        <w:rFonts w:ascii="Courier New" w:hAnsi="Courier New" w:hint="default"/>
      </w:rPr>
    </w:lvl>
    <w:lvl w:ilvl="2" w:tplc="4270355C" w:tentative="1">
      <w:start w:val="1"/>
      <w:numFmt w:val="bullet"/>
      <w:lvlText w:val=""/>
      <w:lvlJc w:val="left"/>
      <w:pPr>
        <w:tabs>
          <w:tab w:val="num" w:pos="2160"/>
        </w:tabs>
        <w:ind w:left="2160" w:hanging="360"/>
      </w:pPr>
      <w:rPr>
        <w:rFonts w:ascii="Wingdings" w:hAnsi="Wingdings" w:hint="default"/>
      </w:rPr>
    </w:lvl>
    <w:lvl w:ilvl="3" w:tplc="9BF6CEF4" w:tentative="1">
      <w:start w:val="1"/>
      <w:numFmt w:val="bullet"/>
      <w:lvlText w:val=""/>
      <w:lvlJc w:val="left"/>
      <w:pPr>
        <w:tabs>
          <w:tab w:val="num" w:pos="2880"/>
        </w:tabs>
        <w:ind w:left="2880" w:hanging="360"/>
      </w:pPr>
      <w:rPr>
        <w:rFonts w:ascii="Symbol" w:hAnsi="Symbol" w:hint="default"/>
      </w:rPr>
    </w:lvl>
    <w:lvl w:ilvl="4" w:tplc="FC7E19DA" w:tentative="1">
      <w:start w:val="1"/>
      <w:numFmt w:val="bullet"/>
      <w:lvlText w:val="o"/>
      <w:lvlJc w:val="left"/>
      <w:pPr>
        <w:tabs>
          <w:tab w:val="num" w:pos="3600"/>
        </w:tabs>
        <w:ind w:left="3600" w:hanging="360"/>
      </w:pPr>
      <w:rPr>
        <w:rFonts w:ascii="Courier New" w:hAnsi="Courier New" w:hint="default"/>
      </w:rPr>
    </w:lvl>
    <w:lvl w:ilvl="5" w:tplc="45B805C4" w:tentative="1">
      <w:start w:val="1"/>
      <w:numFmt w:val="bullet"/>
      <w:lvlText w:val=""/>
      <w:lvlJc w:val="left"/>
      <w:pPr>
        <w:tabs>
          <w:tab w:val="num" w:pos="4320"/>
        </w:tabs>
        <w:ind w:left="4320" w:hanging="360"/>
      </w:pPr>
      <w:rPr>
        <w:rFonts w:ascii="Wingdings" w:hAnsi="Wingdings" w:hint="default"/>
      </w:rPr>
    </w:lvl>
    <w:lvl w:ilvl="6" w:tplc="98D4A5B0" w:tentative="1">
      <w:start w:val="1"/>
      <w:numFmt w:val="bullet"/>
      <w:lvlText w:val=""/>
      <w:lvlJc w:val="left"/>
      <w:pPr>
        <w:tabs>
          <w:tab w:val="num" w:pos="5040"/>
        </w:tabs>
        <w:ind w:left="5040" w:hanging="360"/>
      </w:pPr>
      <w:rPr>
        <w:rFonts w:ascii="Symbol" w:hAnsi="Symbol" w:hint="default"/>
      </w:rPr>
    </w:lvl>
    <w:lvl w:ilvl="7" w:tplc="E8C0C310" w:tentative="1">
      <w:start w:val="1"/>
      <w:numFmt w:val="bullet"/>
      <w:lvlText w:val="o"/>
      <w:lvlJc w:val="left"/>
      <w:pPr>
        <w:tabs>
          <w:tab w:val="num" w:pos="5760"/>
        </w:tabs>
        <w:ind w:left="5760" w:hanging="360"/>
      </w:pPr>
      <w:rPr>
        <w:rFonts w:ascii="Courier New" w:hAnsi="Courier New" w:hint="default"/>
      </w:rPr>
    </w:lvl>
    <w:lvl w:ilvl="8" w:tplc="DAAEF9AA" w:tentative="1">
      <w:start w:val="1"/>
      <w:numFmt w:val="bullet"/>
      <w:lvlText w:val=""/>
      <w:lvlJc w:val="left"/>
      <w:pPr>
        <w:tabs>
          <w:tab w:val="num" w:pos="6480"/>
        </w:tabs>
        <w:ind w:left="6480" w:hanging="360"/>
      </w:pPr>
      <w:rPr>
        <w:rFonts w:ascii="Wingdings" w:hAnsi="Wingdings" w:hint="default"/>
      </w:rPr>
    </w:lvl>
  </w:abstractNum>
  <w:abstractNum w:abstractNumId="13">
    <w:nsid w:val="25BC65C4"/>
    <w:multiLevelType w:val="hybridMultilevel"/>
    <w:tmpl w:val="9E640972"/>
    <w:lvl w:ilvl="0" w:tplc="188630F8">
      <w:start w:val="1"/>
      <w:numFmt w:val="bullet"/>
      <w:lvlText w:val=""/>
      <w:lvlJc w:val="left"/>
      <w:pPr>
        <w:tabs>
          <w:tab w:val="num" w:pos="720"/>
        </w:tabs>
        <w:ind w:left="720" w:hanging="360"/>
      </w:pPr>
      <w:rPr>
        <w:rFonts w:ascii="Symbol" w:hAnsi="Symbol" w:hint="default"/>
      </w:rPr>
    </w:lvl>
    <w:lvl w:ilvl="1" w:tplc="1EC61594" w:tentative="1">
      <w:start w:val="1"/>
      <w:numFmt w:val="bullet"/>
      <w:lvlText w:val="o"/>
      <w:lvlJc w:val="left"/>
      <w:pPr>
        <w:tabs>
          <w:tab w:val="num" w:pos="1440"/>
        </w:tabs>
        <w:ind w:left="1440" w:hanging="360"/>
      </w:pPr>
      <w:rPr>
        <w:rFonts w:ascii="Courier New" w:hAnsi="Courier New" w:hint="default"/>
      </w:rPr>
    </w:lvl>
    <w:lvl w:ilvl="2" w:tplc="3938ABEE" w:tentative="1">
      <w:start w:val="1"/>
      <w:numFmt w:val="bullet"/>
      <w:lvlText w:val=""/>
      <w:lvlJc w:val="left"/>
      <w:pPr>
        <w:tabs>
          <w:tab w:val="num" w:pos="2160"/>
        </w:tabs>
        <w:ind w:left="2160" w:hanging="360"/>
      </w:pPr>
      <w:rPr>
        <w:rFonts w:ascii="Wingdings" w:hAnsi="Wingdings" w:hint="default"/>
      </w:rPr>
    </w:lvl>
    <w:lvl w:ilvl="3" w:tplc="606ED35C" w:tentative="1">
      <w:start w:val="1"/>
      <w:numFmt w:val="bullet"/>
      <w:lvlText w:val=""/>
      <w:lvlJc w:val="left"/>
      <w:pPr>
        <w:tabs>
          <w:tab w:val="num" w:pos="2880"/>
        </w:tabs>
        <w:ind w:left="2880" w:hanging="360"/>
      </w:pPr>
      <w:rPr>
        <w:rFonts w:ascii="Symbol" w:hAnsi="Symbol" w:hint="default"/>
      </w:rPr>
    </w:lvl>
    <w:lvl w:ilvl="4" w:tplc="EBCA5BCE" w:tentative="1">
      <w:start w:val="1"/>
      <w:numFmt w:val="bullet"/>
      <w:lvlText w:val="o"/>
      <w:lvlJc w:val="left"/>
      <w:pPr>
        <w:tabs>
          <w:tab w:val="num" w:pos="3600"/>
        </w:tabs>
        <w:ind w:left="3600" w:hanging="360"/>
      </w:pPr>
      <w:rPr>
        <w:rFonts w:ascii="Courier New" w:hAnsi="Courier New" w:hint="default"/>
      </w:rPr>
    </w:lvl>
    <w:lvl w:ilvl="5" w:tplc="7C7AFB42" w:tentative="1">
      <w:start w:val="1"/>
      <w:numFmt w:val="bullet"/>
      <w:lvlText w:val=""/>
      <w:lvlJc w:val="left"/>
      <w:pPr>
        <w:tabs>
          <w:tab w:val="num" w:pos="4320"/>
        </w:tabs>
        <w:ind w:left="4320" w:hanging="360"/>
      </w:pPr>
      <w:rPr>
        <w:rFonts w:ascii="Wingdings" w:hAnsi="Wingdings" w:hint="default"/>
      </w:rPr>
    </w:lvl>
    <w:lvl w:ilvl="6" w:tplc="9EF6ECF4" w:tentative="1">
      <w:start w:val="1"/>
      <w:numFmt w:val="bullet"/>
      <w:lvlText w:val=""/>
      <w:lvlJc w:val="left"/>
      <w:pPr>
        <w:tabs>
          <w:tab w:val="num" w:pos="5040"/>
        </w:tabs>
        <w:ind w:left="5040" w:hanging="360"/>
      </w:pPr>
      <w:rPr>
        <w:rFonts w:ascii="Symbol" w:hAnsi="Symbol" w:hint="default"/>
      </w:rPr>
    </w:lvl>
    <w:lvl w:ilvl="7" w:tplc="013A4C34" w:tentative="1">
      <w:start w:val="1"/>
      <w:numFmt w:val="bullet"/>
      <w:lvlText w:val="o"/>
      <w:lvlJc w:val="left"/>
      <w:pPr>
        <w:tabs>
          <w:tab w:val="num" w:pos="5760"/>
        </w:tabs>
        <w:ind w:left="5760" w:hanging="360"/>
      </w:pPr>
      <w:rPr>
        <w:rFonts w:ascii="Courier New" w:hAnsi="Courier New" w:hint="default"/>
      </w:rPr>
    </w:lvl>
    <w:lvl w:ilvl="8" w:tplc="F88CCDAE" w:tentative="1">
      <w:start w:val="1"/>
      <w:numFmt w:val="bullet"/>
      <w:lvlText w:val=""/>
      <w:lvlJc w:val="left"/>
      <w:pPr>
        <w:tabs>
          <w:tab w:val="num" w:pos="6480"/>
        </w:tabs>
        <w:ind w:left="6480" w:hanging="360"/>
      </w:pPr>
      <w:rPr>
        <w:rFonts w:ascii="Wingdings" w:hAnsi="Wingdings" w:hint="default"/>
      </w:rPr>
    </w:lvl>
  </w:abstractNum>
  <w:abstractNum w:abstractNumId="14">
    <w:nsid w:val="2F8D6DB3"/>
    <w:multiLevelType w:val="hybridMultilevel"/>
    <w:tmpl w:val="50F4F042"/>
    <w:lvl w:ilvl="0" w:tplc="84F40B56">
      <w:start w:val="1"/>
      <w:numFmt w:val="bullet"/>
      <w:lvlText w:val=""/>
      <w:lvlJc w:val="left"/>
      <w:pPr>
        <w:tabs>
          <w:tab w:val="num" w:pos="720"/>
        </w:tabs>
        <w:ind w:left="720" w:hanging="360"/>
      </w:pPr>
      <w:rPr>
        <w:rFonts w:ascii="Symbol" w:hAnsi="Symbol" w:hint="default"/>
      </w:rPr>
    </w:lvl>
    <w:lvl w:ilvl="1" w:tplc="4486253C" w:tentative="1">
      <w:start w:val="1"/>
      <w:numFmt w:val="bullet"/>
      <w:lvlText w:val="o"/>
      <w:lvlJc w:val="left"/>
      <w:pPr>
        <w:tabs>
          <w:tab w:val="num" w:pos="1440"/>
        </w:tabs>
        <w:ind w:left="1440" w:hanging="360"/>
      </w:pPr>
      <w:rPr>
        <w:rFonts w:ascii="Courier New" w:hAnsi="Courier New" w:hint="default"/>
      </w:rPr>
    </w:lvl>
    <w:lvl w:ilvl="2" w:tplc="FAC280CA" w:tentative="1">
      <w:start w:val="1"/>
      <w:numFmt w:val="bullet"/>
      <w:lvlText w:val=""/>
      <w:lvlJc w:val="left"/>
      <w:pPr>
        <w:tabs>
          <w:tab w:val="num" w:pos="2160"/>
        </w:tabs>
        <w:ind w:left="2160" w:hanging="360"/>
      </w:pPr>
      <w:rPr>
        <w:rFonts w:ascii="Wingdings" w:hAnsi="Wingdings" w:hint="default"/>
      </w:rPr>
    </w:lvl>
    <w:lvl w:ilvl="3" w:tplc="5B60F566" w:tentative="1">
      <w:start w:val="1"/>
      <w:numFmt w:val="bullet"/>
      <w:lvlText w:val=""/>
      <w:lvlJc w:val="left"/>
      <w:pPr>
        <w:tabs>
          <w:tab w:val="num" w:pos="2880"/>
        </w:tabs>
        <w:ind w:left="2880" w:hanging="360"/>
      </w:pPr>
      <w:rPr>
        <w:rFonts w:ascii="Symbol" w:hAnsi="Symbol" w:hint="default"/>
      </w:rPr>
    </w:lvl>
    <w:lvl w:ilvl="4" w:tplc="E0666246" w:tentative="1">
      <w:start w:val="1"/>
      <w:numFmt w:val="bullet"/>
      <w:lvlText w:val="o"/>
      <w:lvlJc w:val="left"/>
      <w:pPr>
        <w:tabs>
          <w:tab w:val="num" w:pos="3600"/>
        </w:tabs>
        <w:ind w:left="3600" w:hanging="360"/>
      </w:pPr>
      <w:rPr>
        <w:rFonts w:ascii="Courier New" w:hAnsi="Courier New" w:hint="default"/>
      </w:rPr>
    </w:lvl>
    <w:lvl w:ilvl="5" w:tplc="A402534E" w:tentative="1">
      <w:start w:val="1"/>
      <w:numFmt w:val="bullet"/>
      <w:lvlText w:val=""/>
      <w:lvlJc w:val="left"/>
      <w:pPr>
        <w:tabs>
          <w:tab w:val="num" w:pos="4320"/>
        </w:tabs>
        <w:ind w:left="4320" w:hanging="360"/>
      </w:pPr>
      <w:rPr>
        <w:rFonts w:ascii="Wingdings" w:hAnsi="Wingdings" w:hint="default"/>
      </w:rPr>
    </w:lvl>
    <w:lvl w:ilvl="6" w:tplc="6A469318" w:tentative="1">
      <w:start w:val="1"/>
      <w:numFmt w:val="bullet"/>
      <w:lvlText w:val=""/>
      <w:lvlJc w:val="left"/>
      <w:pPr>
        <w:tabs>
          <w:tab w:val="num" w:pos="5040"/>
        </w:tabs>
        <w:ind w:left="5040" w:hanging="360"/>
      </w:pPr>
      <w:rPr>
        <w:rFonts w:ascii="Symbol" w:hAnsi="Symbol" w:hint="default"/>
      </w:rPr>
    </w:lvl>
    <w:lvl w:ilvl="7" w:tplc="9626C9B4" w:tentative="1">
      <w:start w:val="1"/>
      <w:numFmt w:val="bullet"/>
      <w:lvlText w:val="o"/>
      <w:lvlJc w:val="left"/>
      <w:pPr>
        <w:tabs>
          <w:tab w:val="num" w:pos="5760"/>
        </w:tabs>
        <w:ind w:left="5760" w:hanging="360"/>
      </w:pPr>
      <w:rPr>
        <w:rFonts w:ascii="Courier New" w:hAnsi="Courier New" w:hint="default"/>
      </w:rPr>
    </w:lvl>
    <w:lvl w:ilvl="8" w:tplc="9BB64242" w:tentative="1">
      <w:start w:val="1"/>
      <w:numFmt w:val="bullet"/>
      <w:lvlText w:val=""/>
      <w:lvlJc w:val="left"/>
      <w:pPr>
        <w:tabs>
          <w:tab w:val="num" w:pos="6480"/>
        </w:tabs>
        <w:ind w:left="6480" w:hanging="360"/>
      </w:pPr>
      <w:rPr>
        <w:rFonts w:ascii="Wingdings" w:hAnsi="Wingdings" w:hint="default"/>
      </w:rPr>
    </w:lvl>
  </w:abstractNum>
  <w:abstractNum w:abstractNumId="15">
    <w:nsid w:val="32F52DDB"/>
    <w:multiLevelType w:val="hybridMultilevel"/>
    <w:tmpl w:val="CC38117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6">
    <w:nsid w:val="3B6A067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3D3735B7"/>
    <w:multiLevelType w:val="hybridMultilevel"/>
    <w:tmpl w:val="FD04085E"/>
    <w:lvl w:ilvl="0" w:tplc="1F9606D0">
      <w:start w:val="1"/>
      <w:numFmt w:val="bullet"/>
      <w:lvlText w:val=""/>
      <w:lvlJc w:val="left"/>
      <w:pPr>
        <w:tabs>
          <w:tab w:val="num" w:pos="720"/>
        </w:tabs>
        <w:ind w:left="720" w:hanging="360"/>
      </w:pPr>
      <w:rPr>
        <w:rFonts w:ascii="Symbol" w:hAnsi="Symbol" w:hint="default"/>
      </w:rPr>
    </w:lvl>
    <w:lvl w:ilvl="1" w:tplc="AF22512E" w:tentative="1">
      <w:start w:val="1"/>
      <w:numFmt w:val="bullet"/>
      <w:lvlText w:val="o"/>
      <w:lvlJc w:val="left"/>
      <w:pPr>
        <w:tabs>
          <w:tab w:val="num" w:pos="1440"/>
        </w:tabs>
        <w:ind w:left="1440" w:hanging="360"/>
      </w:pPr>
      <w:rPr>
        <w:rFonts w:ascii="Courier New" w:hAnsi="Courier New" w:hint="default"/>
      </w:rPr>
    </w:lvl>
    <w:lvl w:ilvl="2" w:tplc="CE087E3C" w:tentative="1">
      <w:start w:val="1"/>
      <w:numFmt w:val="bullet"/>
      <w:lvlText w:val=""/>
      <w:lvlJc w:val="left"/>
      <w:pPr>
        <w:tabs>
          <w:tab w:val="num" w:pos="2160"/>
        </w:tabs>
        <w:ind w:left="2160" w:hanging="360"/>
      </w:pPr>
      <w:rPr>
        <w:rFonts w:ascii="Wingdings" w:hAnsi="Wingdings" w:hint="default"/>
      </w:rPr>
    </w:lvl>
    <w:lvl w:ilvl="3" w:tplc="38C67122" w:tentative="1">
      <w:start w:val="1"/>
      <w:numFmt w:val="bullet"/>
      <w:lvlText w:val=""/>
      <w:lvlJc w:val="left"/>
      <w:pPr>
        <w:tabs>
          <w:tab w:val="num" w:pos="2880"/>
        </w:tabs>
        <w:ind w:left="2880" w:hanging="360"/>
      </w:pPr>
      <w:rPr>
        <w:rFonts w:ascii="Symbol" w:hAnsi="Symbol" w:hint="default"/>
      </w:rPr>
    </w:lvl>
    <w:lvl w:ilvl="4" w:tplc="B696112A" w:tentative="1">
      <w:start w:val="1"/>
      <w:numFmt w:val="bullet"/>
      <w:lvlText w:val="o"/>
      <w:lvlJc w:val="left"/>
      <w:pPr>
        <w:tabs>
          <w:tab w:val="num" w:pos="3600"/>
        </w:tabs>
        <w:ind w:left="3600" w:hanging="360"/>
      </w:pPr>
      <w:rPr>
        <w:rFonts w:ascii="Courier New" w:hAnsi="Courier New" w:hint="default"/>
      </w:rPr>
    </w:lvl>
    <w:lvl w:ilvl="5" w:tplc="E84429DC" w:tentative="1">
      <w:start w:val="1"/>
      <w:numFmt w:val="bullet"/>
      <w:lvlText w:val=""/>
      <w:lvlJc w:val="left"/>
      <w:pPr>
        <w:tabs>
          <w:tab w:val="num" w:pos="4320"/>
        </w:tabs>
        <w:ind w:left="4320" w:hanging="360"/>
      </w:pPr>
      <w:rPr>
        <w:rFonts w:ascii="Wingdings" w:hAnsi="Wingdings" w:hint="default"/>
      </w:rPr>
    </w:lvl>
    <w:lvl w:ilvl="6" w:tplc="577A7340" w:tentative="1">
      <w:start w:val="1"/>
      <w:numFmt w:val="bullet"/>
      <w:lvlText w:val=""/>
      <w:lvlJc w:val="left"/>
      <w:pPr>
        <w:tabs>
          <w:tab w:val="num" w:pos="5040"/>
        </w:tabs>
        <w:ind w:left="5040" w:hanging="360"/>
      </w:pPr>
      <w:rPr>
        <w:rFonts w:ascii="Symbol" w:hAnsi="Symbol" w:hint="default"/>
      </w:rPr>
    </w:lvl>
    <w:lvl w:ilvl="7" w:tplc="EE304E86" w:tentative="1">
      <w:start w:val="1"/>
      <w:numFmt w:val="bullet"/>
      <w:lvlText w:val="o"/>
      <w:lvlJc w:val="left"/>
      <w:pPr>
        <w:tabs>
          <w:tab w:val="num" w:pos="5760"/>
        </w:tabs>
        <w:ind w:left="5760" w:hanging="360"/>
      </w:pPr>
      <w:rPr>
        <w:rFonts w:ascii="Courier New" w:hAnsi="Courier New" w:hint="default"/>
      </w:rPr>
    </w:lvl>
    <w:lvl w:ilvl="8" w:tplc="BBB6A7B2" w:tentative="1">
      <w:start w:val="1"/>
      <w:numFmt w:val="bullet"/>
      <w:lvlText w:val=""/>
      <w:lvlJc w:val="left"/>
      <w:pPr>
        <w:tabs>
          <w:tab w:val="num" w:pos="6480"/>
        </w:tabs>
        <w:ind w:left="6480" w:hanging="360"/>
      </w:pPr>
      <w:rPr>
        <w:rFonts w:ascii="Wingdings" w:hAnsi="Wingdings" w:hint="default"/>
      </w:rPr>
    </w:lvl>
  </w:abstractNum>
  <w:abstractNum w:abstractNumId="18">
    <w:nsid w:val="3EFE4606"/>
    <w:multiLevelType w:val="hybridMultilevel"/>
    <w:tmpl w:val="12188AD8"/>
    <w:lvl w:ilvl="0" w:tplc="8BBAE4EE">
      <w:start w:val="1"/>
      <w:numFmt w:val="bullet"/>
      <w:lvlText w:val=""/>
      <w:lvlJc w:val="left"/>
      <w:pPr>
        <w:tabs>
          <w:tab w:val="num" w:pos="720"/>
        </w:tabs>
        <w:ind w:left="720" w:hanging="360"/>
      </w:pPr>
      <w:rPr>
        <w:rFonts w:ascii="Symbol" w:hAnsi="Symbol" w:hint="default"/>
      </w:rPr>
    </w:lvl>
    <w:lvl w:ilvl="1" w:tplc="3AD0A2AA" w:tentative="1">
      <w:start w:val="1"/>
      <w:numFmt w:val="bullet"/>
      <w:lvlText w:val="o"/>
      <w:lvlJc w:val="left"/>
      <w:pPr>
        <w:tabs>
          <w:tab w:val="num" w:pos="1440"/>
        </w:tabs>
        <w:ind w:left="1440" w:hanging="360"/>
      </w:pPr>
      <w:rPr>
        <w:rFonts w:ascii="Courier New" w:hAnsi="Courier New" w:hint="default"/>
      </w:rPr>
    </w:lvl>
    <w:lvl w:ilvl="2" w:tplc="E432D46E" w:tentative="1">
      <w:start w:val="1"/>
      <w:numFmt w:val="bullet"/>
      <w:lvlText w:val=""/>
      <w:lvlJc w:val="left"/>
      <w:pPr>
        <w:tabs>
          <w:tab w:val="num" w:pos="2160"/>
        </w:tabs>
        <w:ind w:left="2160" w:hanging="360"/>
      </w:pPr>
      <w:rPr>
        <w:rFonts w:ascii="Wingdings" w:hAnsi="Wingdings" w:hint="default"/>
      </w:rPr>
    </w:lvl>
    <w:lvl w:ilvl="3" w:tplc="F68CE9CC" w:tentative="1">
      <w:start w:val="1"/>
      <w:numFmt w:val="bullet"/>
      <w:lvlText w:val=""/>
      <w:lvlJc w:val="left"/>
      <w:pPr>
        <w:tabs>
          <w:tab w:val="num" w:pos="2880"/>
        </w:tabs>
        <w:ind w:left="2880" w:hanging="360"/>
      </w:pPr>
      <w:rPr>
        <w:rFonts w:ascii="Symbol" w:hAnsi="Symbol" w:hint="default"/>
      </w:rPr>
    </w:lvl>
    <w:lvl w:ilvl="4" w:tplc="DCC07452" w:tentative="1">
      <w:start w:val="1"/>
      <w:numFmt w:val="bullet"/>
      <w:lvlText w:val="o"/>
      <w:lvlJc w:val="left"/>
      <w:pPr>
        <w:tabs>
          <w:tab w:val="num" w:pos="3600"/>
        </w:tabs>
        <w:ind w:left="3600" w:hanging="360"/>
      </w:pPr>
      <w:rPr>
        <w:rFonts w:ascii="Courier New" w:hAnsi="Courier New" w:hint="default"/>
      </w:rPr>
    </w:lvl>
    <w:lvl w:ilvl="5" w:tplc="10AE2E08" w:tentative="1">
      <w:start w:val="1"/>
      <w:numFmt w:val="bullet"/>
      <w:lvlText w:val=""/>
      <w:lvlJc w:val="left"/>
      <w:pPr>
        <w:tabs>
          <w:tab w:val="num" w:pos="4320"/>
        </w:tabs>
        <w:ind w:left="4320" w:hanging="360"/>
      </w:pPr>
      <w:rPr>
        <w:rFonts w:ascii="Wingdings" w:hAnsi="Wingdings" w:hint="default"/>
      </w:rPr>
    </w:lvl>
    <w:lvl w:ilvl="6" w:tplc="51CA2278" w:tentative="1">
      <w:start w:val="1"/>
      <w:numFmt w:val="bullet"/>
      <w:lvlText w:val=""/>
      <w:lvlJc w:val="left"/>
      <w:pPr>
        <w:tabs>
          <w:tab w:val="num" w:pos="5040"/>
        </w:tabs>
        <w:ind w:left="5040" w:hanging="360"/>
      </w:pPr>
      <w:rPr>
        <w:rFonts w:ascii="Symbol" w:hAnsi="Symbol" w:hint="default"/>
      </w:rPr>
    </w:lvl>
    <w:lvl w:ilvl="7" w:tplc="DF38255C" w:tentative="1">
      <w:start w:val="1"/>
      <w:numFmt w:val="bullet"/>
      <w:lvlText w:val="o"/>
      <w:lvlJc w:val="left"/>
      <w:pPr>
        <w:tabs>
          <w:tab w:val="num" w:pos="5760"/>
        </w:tabs>
        <w:ind w:left="5760" w:hanging="360"/>
      </w:pPr>
      <w:rPr>
        <w:rFonts w:ascii="Courier New" w:hAnsi="Courier New" w:hint="default"/>
      </w:rPr>
    </w:lvl>
    <w:lvl w:ilvl="8" w:tplc="923C7E4E" w:tentative="1">
      <w:start w:val="1"/>
      <w:numFmt w:val="bullet"/>
      <w:lvlText w:val=""/>
      <w:lvlJc w:val="left"/>
      <w:pPr>
        <w:tabs>
          <w:tab w:val="num" w:pos="6480"/>
        </w:tabs>
        <w:ind w:left="6480" w:hanging="360"/>
      </w:pPr>
      <w:rPr>
        <w:rFonts w:ascii="Wingdings" w:hAnsi="Wingdings" w:hint="default"/>
      </w:rPr>
    </w:lvl>
  </w:abstractNum>
  <w:abstractNum w:abstractNumId="19">
    <w:nsid w:val="5808656E"/>
    <w:multiLevelType w:val="hybridMultilevel"/>
    <w:tmpl w:val="EEAA73B0"/>
    <w:lvl w:ilvl="0" w:tplc="3A94C690">
      <w:start w:val="1"/>
      <w:numFmt w:val="bullet"/>
      <w:lvlText w:val=""/>
      <w:lvlJc w:val="left"/>
      <w:pPr>
        <w:tabs>
          <w:tab w:val="num" w:pos="360"/>
        </w:tabs>
        <w:ind w:left="360" w:hanging="360"/>
      </w:pPr>
      <w:rPr>
        <w:rFonts w:ascii="Symbol" w:hAnsi="Symbol" w:hint="default"/>
        <w:color w:val="000000"/>
      </w:rPr>
    </w:lvl>
    <w:lvl w:ilvl="1" w:tplc="0FBC1FA6" w:tentative="1">
      <w:start w:val="1"/>
      <w:numFmt w:val="bullet"/>
      <w:lvlText w:val="o"/>
      <w:lvlJc w:val="left"/>
      <w:pPr>
        <w:tabs>
          <w:tab w:val="num" w:pos="720"/>
        </w:tabs>
        <w:ind w:left="720" w:hanging="360"/>
      </w:pPr>
      <w:rPr>
        <w:rFonts w:ascii="Courier New" w:hAnsi="Courier New" w:hint="default"/>
      </w:rPr>
    </w:lvl>
    <w:lvl w:ilvl="2" w:tplc="9264A3B8" w:tentative="1">
      <w:start w:val="1"/>
      <w:numFmt w:val="bullet"/>
      <w:lvlText w:val=""/>
      <w:lvlJc w:val="left"/>
      <w:pPr>
        <w:tabs>
          <w:tab w:val="num" w:pos="1440"/>
        </w:tabs>
        <w:ind w:left="1440" w:hanging="360"/>
      </w:pPr>
      <w:rPr>
        <w:rFonts w:ascii="Wingdings" w:hAnsi="Wingdings" w:hint="default"/>
      </w:rPr>
    </w:lvl>
    <w:lvl w:ilvl="3" w:tplc="436A8962" w:tentative="1">
      <w:start w:val="1"/>
      <w:numFmt w:val="bullet"/>
      <w:lvlText w:val=""/>
      <w:lvlJc w:val="left"/>
      <w:pPr>
        <w:tabs>
          <w:tab w:val="num" w:pos="2160"/>
        </w:tabs>
        <w:ind w:left="2160" w:hanging="360"/>
      </w:pPr>
      <w:rPr>
        <w:rFonts w:ascii="Symbol" w:hAnsi="Symbol" w:hint="default"/>
      </w:rPr>
    </w:lvl>
    <w:lvl w:ilvl="4" w:tplc="FE20987A" w:tentative="1">
      <w:start w:val="1"/>
      <w:numFmt w:val="bullet"/>
      <w:lvlText w:val="o"/>
      <w:lvlJc w:val="left"/>
      <w:pPr>
        <w:tabs>
          <w:tab w:val="num" w:pos="2880"/>
        </w:tabs>
        <w:ind w:left="2880" w:hanging="360"/>
      </w:pPr>
      <w:rPr>
        <w:rFonts w:ascii="Courier New" w:hAnsi="Courier New" w:hint="default"/>
      </w:rPr>
    </w:lvl>
    <w:lvl w:ilvl="5" w:tplc="0C36F05C" w:tentative="1">
      <w:start w:val="1"/>
      <w:numFmt w:val="bullet"/>
      <w:lvlText w:val=""/>
      <w:lvlJc w:val="left"/>
      <w:pPr>
        <w:tabs>
          <w:tab w:val="num" w:pos="3600"/>
        </w:tabs>
        <w:ind w:left="3600" w:hanging="360"/>
      </w:pPr>
      <w:rPr>
        <w:rFonts w:ascii="Wingdings" w:hAnsi="Wingdings" w:hint="default"/>
      </w:rPr>
    </w:lvl>
    <w:lvl w:ilvl="6" w:tplc="BEE87844" w:tentative="1">
      <w:start w:val="1"/>
      <w:numFmt w:val="bullet"/>
      <w:lvlText w:val=""/>
      <w:lvlJc w:val="left"/>
      <w:pPr>
        <w:tabs>
          <w:tab w:val="num" w:pos="4320"/>
        </w:tabs>
        <w:ind w:left="4320" w:hanging="360"/>
      </w:pPr>
      <w:rPr>
        <w:rFonts w:ascii="Symbol" w:hAnsi="Symbol" w:hint="default"/>
      </w:rPr>
    </w:lvl>
    <w:lvl w:ilvl="7" w:tplc="2330501E" w:tentative="1">
      <w:start w:val="1"/>
      <w:numFmt w:val="bullet"/>
      <w:lvlText w:val="o"/>
      <w:lvlJc w:val="left"/>
      <w:pPr>
        <w:tabs>
          <w:tab w:val="num" w:pos="5040"/>
        </w:tabs>
        <w:ind w:left="5040" w:hanging="360"/>
      </w:pPr>
      <w:rPr>
        <w:rFonts w:ascii="Courier New" w:hAnsi="Courier New" w:hint="default"/>
      </w:rPr>
    </w:lvl>
    <w:lvl w:ilvl="8" w:tplc="E4A08954" w:tentative="1">
      <w:start w:val="1"/>
      <w:numFmt w:val="bullet"/>
      <w:lvlText w:val=""/>
      <w:lvlJc w:val="left"/>
      <w:pPr>
        <w:tabs>
          <w:tab w:val="num" w:pos="5760"/>
        </w:tabs>
        <w:ind w:left="5760" w:hanging="360"/>
      </w:pPr>
      <w:rPr>
        <w:rFonts w:ascii="Wingdings" w:hAnsi="Wingdings" w:hint="default"/>
      </w:rPr>
    </w:lvl>
  </w:abstractNum>
  <w:abstractNum w:abstractNumId="20">
    <w:nsid w:val="5ABD493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5AE84E43"/>
    <w:multiLevelType w:val="hybridMultilevel"/>
    <w:tmpl w:val="6B842302"/>
    <w:lvl w:ilvl="0" w:tplc="512EA56E">
      <w:start w:val="1"/>
      <w:numFmt w:val="bullet"/>
      <w:lvlText w:val=""/>
      <w:lvlJc w:val="left"/>
      <w:pPr>
        <w:tabs>
          <w:tab w:val="num" w:pos="720"/>
        </w:tabs>
        <w:ind w:left="720" w:hanging="360"/>
      </w:pPr>
      <w:rPr>
        <w:rFonts w:ascii="Symbol" w:hAnsi="Symbol" w:hint="default"/>
      </w:rPr>
    </w:lvl>
    <w:lvl w:ilvl="1" w:tplc="086C83C2" w:tentative="1">
      <w:start w:val="1"/>
      <w:numFmt w:val="bullet"/>
      <w:lvlText w:val="o"/>
      <w:lvlJc w:val="left"/>
      <w:pPr>
        <w:tabs>
          <w:tab w:val="num" w:pos="1440"/>
        </w:tabs>
        <w:ind w:left="1440" w:hanging="360"/>
      </w:pPr>
      <w:rPr>
        <w:rFonts w:ascii="Courier New" w:hAnsi="Courier New" w:hint="default"/>
      </w:rPr>
    </w:lvl>
    <w:lvl w:ilvl="2" w:tplc="321253C0" w:tentative="1">
      <w:start w:val="1"/>
      <w:numFmt w:val="bullet"/>
      <w:lvlText w:val=""/>
      <w:lvlJc w:val="left"/>
      <w:pPr>
        <w:tabs>
          <w:tab w:val="num" w:pos="2160"/>
        </w:tabs>
        <w:ind w:left="2160" w:hanging="360"/>
      </w:pPr>
      <w:rPr>
        <w:rFonts w:ascii="Wingdings" w:hAnsi="Wingdings" w:hint="default"/>
      </w:rPr>
    </w:lvl>
    <w:lvl w:ilvl="3" w:tplc="651A0A1C" w:tentative="1">
      <w:start w:val="1"/>
      <w:numFmt w:val="bullet"/>
      <w:lvlText w:val=""/>
      <w:lvlJc w:val="left"/>
      <w:pPr>
        <w:tabs>
          <w:tab w:val="num" w:pos="2880"/>
        </w:tabs>
        <w:ind w:left="2880" w:hanging="360"/>
      </w:pPr>
      <w:rPr>
        <w:rFonts w:ascii="Symbol" w:hAnsi="Symbol" w:hint="default"/>
      </w:rPr>
    </w:lvl>
    <w:lvl w:ilvl="4" w:tplc="59E05DFE" w:tentative="1">
      <w:start w:val="1"/>
      <w:numFmt w:val="bullet"/>
      <w:lvlText w:val="o"/>
      <w:lvlJc w:val="left"/>
      <w:pPr>
        <w:tabs>
          <w:tab w:val="num" w:pos="3600"/>
        </w:tabs>
        <w:ind w:left="3600" w:hanging="360"/>
      </w:pPr>
      <w:rPr>
        <w:rFonts w:ascii="Courier New" w:hAnsi="Courier New" w:hint="default"/>
      </w:rPr>
    </w:lvl>
    <w:lvl w:ilvl="5" w:tplc="5A0003E8" w:tentative="1">
      <w:start w:val="1"/>
      <w:numFmt w:val="bullet"/>
      <w:lvlText w:val=""/>
      <w:lvlJc w:val="left"/>
      <w:pPr>
        <w:tabs>
          <w:tab w:val="num" w:pos="4320"/>
        </w:tabs>
        <w:ind w:left="4320" w:hanging="360"/>
      </w:pPr>
      <w:rPr>
        <w:rFonts w:ascii="Wingdings" w:hAnsi="Wingdings" w:hint="default"/>
      </w:rPr>
    </w:lvl>
    <w:lvl w:ilvl="6" w:tplc="13B2D2DA" w:tentative="1">
      <w:start w:val="1"/>
      <w:numFmt w:val="bullet"/>
      <w:lvlText w:val=""/>
      <w:lvlJc w:val="left"/>
      <w:pPr>
        <w:tabs>
          <w:tab w:val="num" w:pos="5040"/>
        </w:tabs>
        <w:ind w:left="5040" w:hanging="360"/>
      </w:pPr>
      <w:rPr>
        <w:rFonts w:ascii="Symbol" w:hAnsi="Symbol" w:hint="default"/>
      </w:rPr>
    </w:lvl>
    <w:lvl w:ilvl="7" w:tplc="791216D6" w:tentative="1">
      <w:start w:val="1"/>
      <w:numFmt w:val="bullet"/>
      <w:lvlText w:val="o"/>
      <w:lvlJc w:val="left"/>
      <w:pPr>
        <w:tabs>
          <w:tab w:val="num" w:pos="5760"/>
        </w:tabs>
        <w:ind w:left="5760" w:hanging="360"/>
      </w:pPr>
      <w:rPr>
        <w:rFonts w:ascii="Courier New" w:hAnsi="Courier New" w:hint="default"/>
      </w:rPr>
    </w:lvl>
    <w:lvl w:ilvl="8" w:tplc="70AC03DC" w:tentative="1">
      <w:start w:val="1"/>
      <w:numFmt w:val="bullet"/>
      <w:lvlText w:val=""/>
      <w:lvlJc w:val="left"/>
      <w:pPr>
        <w:tabs>
          <w:tab w:val="num" w:pos="6480"/>
        </w:tabs>
        <w:ind w:left="6480" w:hanging="360"/>
      </w:pPr>
      <w:rPr>
        <w:rFonts w:ascii="Wingdings" w:hAnsi="Wingdings" w:hint="default"/>
      </w:rPr>
    </w:lvl>
  </w:abstractNum>
  <w:abstractNum w:abstractNumId="22">
    <w:nsid w:val="626B6FB1"/>
    <w:multiLevelType w:val="hybridMultilevel"/>
    <w:tmpl w:val="38A22DD2"/>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cs="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cs="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cs="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23">
    <w:nsid w:val="66004A28"/>
    <w:multiLevelType w:val="hybridMultilevel"/>
    <w:tmpl w:val="8E0AAF28"/>
    <w:lvl w:ilvl="0" w:tplc="8B0A975A">
      <w:start w:val="1"/>
      <w:numFmt w:val="decimal"/>
      <w:lvlText w:val="%1."/>
      <w:lvlJc w:val="left"/>
      <w:pPr>
        <w:tabs>
          <w:tab w:val="num" w:pos="1080"/>
        </w:tabs>
        <w:ind w:left="1080" w:hanging="360"/>
      </w:pPr>
      <w:rPr>
        <w:rFonts w:hint="default"/>
      </w:rPr>
    </w:lvl>
    <w:lvl w:ilvl="1" w:tplc="FA88EA38" w:tentative="1">
      <w:start w:val="1"/>
      <w:numFmt w:val="lowerLetter"/>
      <w:lvlText w:val="%2."/>
      <w:lvlJc w:val="left"/>
      <w:pPr>
        <w:tabs>
          <w:tab w:val="num" w:pos="1800"/>
        </w:tabs>
        <w:ind w:left="1800" w:hanging="360"/>
      </w:pPr>
    </w:lvl>
    <w:lvl w:ilvl="2" w:tplc="1E10A27A" w:tentative="1">
      <w:start w:val="1"/>
      <w:numFmt w:val="lowerRoman"/>
      <w:lvlText w:val="%3."/>
      <w:lvlJc w:val="right"/>
      <w:pPr>
        <w:tabs>
          <w:tab w:val="num" w:pos="2520"/>
        </w:tabs>
        <w:ind w:left="2520" w:hanging="180"/>
      </w:pPr>
    </w:lvl>
    <w:lvl w:ilvl="3" w:tplc="9CE0A360" w:tentative="1">
      <w:start w:val="1"/>
      <w:numFmt w:val="decimal"/>
      <w:lvlText w:val="%4."/>
      <w:lvlJc w:val="left"/>
      <w:pPr>
        <w:tabs>
          <w:tab w:val="num" w:pos="3240"/>
        </w:tabs>
        <w:ind w:left="3240" w:hanging="360"/>
      </w:pPr>
    </w:lvl>
    <w:lvl w:ilvl="4" w:tplc="423A3E6A" w:tentative="1">
      <w:start w:val="1"/>
      <w:numFmt w:val="lowerLetter"/>
      <w:lvlText w:val="%5."/>
      <w:lvlJc w:val="left"/>
      <w:pPr>
        <w:tabs>
          <w:tab w:val="num" w:pos="3960"/>
        </w:tabs>
        <w:ind w:left="3960" w:hanging="360"/>
      </w:pPr>
    </w:lvl>
    <w:lvl w:ilvl="5" w:tplc="BFF6CB80" w:tentative="1">
      <w:start w:val="1"/>
      <w:numFmt w:val="lowerRoman"/>
      <w:lvlText w:val="%6."/>
      <w:lvlJc w:val="right"/>
      <w:pPr>
        <w:tabs>
          <w:tab w:val="num" w:pos="4680"/>
        </w:tabs>
        <w:ind w:left="4680" w:hanging="180"/>
      </w:pPr>
    </w:lvl>
    <w:lvl w:ilvl="6" w:tplc="743A49C8" w:tentative="1">
      <w:start w:val="1"/>
      <w:numFmt w:val="decimal"/>
      <w:lvlText w:val="%7."/>
      <w:lvlJc w:val="left"/>
      <w:pPr>
        <w:tabs>
          <w:tab w:val="num" w:pos="5400"/>
        </w:tabs>
        <w:ind w:left="5400" w:hanging="360"/>
      </w:pPr>
    </w:lvl>
    <w:lvl w:ilvl="7" w:tplc="CB5C2E2C" w:tentative="1">
      <w:start w:val="1"/>
      <w:numFmt w:val="lowerLetter"/>
      <w:lvlText w:val="%8."/>
      <w:lvlJc w:val="left"/>
      <w:pPr>
        <w:tabs>
          <w:tab w:val="num" w:pos="6120"/>
        </w:tabs>
        <w:ind w:left="6120" w:hanging="360"/>
      </w:pPr>
    </w:lvl>
    <w:lvl w:ilvl="8" w:tplc="D05E24F6" w:tentative="1">
      <w:start w:val="1"/>
      <w:numFmt w:val="lowerRoman"/>
      <w:lvlText w:val="%9."/>
      <w:lvlJc w:val="right"/>
      <w:pPr>
        <w:tabs>
          <w:tab w:val="num" w:pos="6840"/>
        </w:tabs>
        <w:ind w:left="6840" w:hanging="180"/>
      </w:pPr>
    </w:lvl>
  </w:abstractNum>
  <w:abstractNum w:abstractNumId="24">
    <w:nsid w:val="66A771AD"/>
    <w:multiLevelType w:val="hybridMultilevel"/>
    <w:tmpl w:val="2FF2A38C"/>
    <w:lvl w:ilvl="0" w:tplc="502AE0E6">
      <w:start w:val="1"/>
      <w:numFmt w:val="lowerLetter"/>
      <w:lvlText w:val="%1."/>
      <w:lvlJc w:val="left"/>
      <w:pPr>
        <w:tabs>
          <w:tab w:val="num" w:pos="1440"/>
        </w:tabs>
        <w:ind w:left="1440" w:hanging="360"/>
      </w:pPr>
      <w:rPr>
        <w:rFonts w:hint="default"/>
        <w:b w:val="0"/>
      </w:rPr>
    </w:lvl>
    <w:lvl w:ilvl="1" w:tplc="71B0C9B8" w:tentative="1">
      <w:start w:val="1"/>
      <w:numFmt w:val="lowerLetter"/>
      <w:lvlText w:val="%2."/>
      <w:lvlJc w:val="left"/>
      <w:pPr>
        <w:tabs>
          <w:tab w:val="num" w:pos="2160"/>
        </w:tabs>
        <w:ind w:left="2160" w:hanging="360"/>
      </w:pPr>
    </w:lvl>
    <w:lvl w:ilvl="2" w:tplc="2BDC2136" w:tentative="1">
      <w:start w:val="1"/>
      <w:numFmt w:val="lowerRoman"/>
      <w:lvlText w:val="%3."/>
      <w:lvlJc w:val="right"/>
      <w:pPr>
        <w:tabs>
          <w:tab w:val="num" w:pos="2880"/>
        </w:tabs>
        <w:ind w:left="2880" w:hanging="180"/>
      </w:pPr>
    </w:lvl>
    <w:lvl w:ilvl="3" w:tplc="568EF6D4" w:tentative="1">
      <w:start w:val="1"/>
      <w:numFmt w:val="decimal"/>
      <w:lvlText w:val="%4."/>
      <w:lvlJc w:val="left"/>
      <w:pPr>
        <w:tabs>
          <w:tab w:val="num" w:pos="3600"/>
        </w:tabs>
        <w:ind w:left="3600" w:hanging="360"/>
      </w:pPr>
    </w:lvl>
    <w:lvl w:ilvl="4" w:tplc="E13E9EC0" w:tentative="1">
      <w:start w:val="1"/>
      <w:numFmt w:val="lowerLetter"/>
      <w:lvlText w:val="%5."/>
      <w:lvlJc w:val="left"/>
      <w:pPr>
        <w:tabs>
          <w:tab w:val="num" w:pos="4320"/>
        </w:tabs>
        <w:ind w:left="4320" w:hanging="360"/>
      </w:pPr>
    </w:lvl>
    <w:lvl w:ilvl="5" w:tplc="A014866C" w:tentative="1">
      <w:start w:val="1"/>
      <w:numFmt w:val="lowerRoman"/>
      <w:lvlText w:val="%6."/>
      <w:lvlJc w:val="right"/>
      <w:pPr>
        <w:tabs>
          <w:tab w:val="num" w:pos="5040"/>
        </w:tabs>
        <w:ind w:left="5040" w:hanging="180"/>
      </w:pPr>
    </w:lvl>
    <w:lvl w:ilvl="6" w:tplc="83140208" w:tentative="1">
      <w:start w:val="1"/>
      <w:numFmt w:val="decimal"/>
      <w:lvlText w:val="%7."/>
      <w:lvlJc w:val="left"/>
      <w:pPr>
        <w:tabs>
          <w:tab w:val="num" w:pos="5760"/>
        </w:tabs>
        <w:ind w:left="5760" w:hanging="360"/>
      </w:pPr>
    </w:lvl>
    <w:lvl w:ilvl="7" w:tplc="5C20D49A" w:tentative="1">
      <w:start w:val="1"/>
      <w:numFmt w:val="lowerLetter"/>
      <w:lvlText w:val="%8."/>
      <w:lvlJc w:val="left"/>
      <w:pPr>
        <w:tabs>
          <w:tab w:val="num" w:pos="6480"/>
        </w:tabs>
        <w:ind w:left="6480" w:hanging="360"/>
      </w:pPr>
    </w:lvl>
    <w:lvl w:ilvl="8" w:tplc="C4B4E674" w:tentative="1">
      <w:start w:val="1"/>
      <w:numFmt w:val="lowerRoman"/>
      <w:lvlText w:val="%9."/>
      <w:lvlJc w:val="right"/>
      <w:pPr>
        <w:tabs>
          <w:tab w:val="num" w:pos="7200"/>
        </w:tabs>
        <w:ind w:left="7200" w:hanging="180"/>
      </w:pPr>
    </w:lvl>
  </w:abstractNum>
  <w:abstractNum w:abstractNumId="25">
    <w:nsid w:val="67CC4ACA"/>
    <w:multiLevelType w:val="hybridMultilevel"/>
    <w:tmpl w:val="A34E5772"/>
    <w:lvl w:ilvl="0" w:tplc="F7725C8E">
      <w:start w:val="5"/>
      <w:numFmt w:val="decimal"/>
      <w:lvlText w:val="%1."/>
      <w:lvlJc w:val="left"/>
      <w:pPr>
        <w:tabs>
          <w:tab w:val="num" w:pos="720"/>
        </w:tabs>
        <w:ind w:left="720" w:hanging="360"/>
      </w:pPr>
      <w:rPr>
        <w:rFonts w:hint="default"/>
      </w:rPr>
    </w:lvl>
    <w:lvl w:ilvl="1" w:tplc="453EB1A0" w:tentative="1">
      <w:start w:val="1"/>
      <w:numFmt w:val="lowerLetter"/>
      <w:lvlText w:val="%2."/>
      <w:lvlJc w:val="left"/>
      <w:pPr>
        <w:tabs>
          <w:tab w:val="num" w:pos="1440"/>
        </w:tabs>
        <w:ind w:left="1440" w:hanging="360"/>
      </w:pPr>
    </w:lvl>
    <w:lvl w:ilvl="2" w:tplc="B338F58C" w:tentative="1">
      <w:start w:val="1"/>
      <w:numFmt w:val="lowerRoman"/>
      <w:lvlText w:val="%3."/>
      <w:lvlJc w:val="right"/>
      <w:pPr>
        <w:tabs>
          <w:tab w:val="num" w:pos="2160"/>
        </w:tabs>
        <w:ind w:left="2160" w:hanging="180"/>
      </w:pPr>
    </w:lvl>
    <w:lvl w:ilvl="3" w:tplc="C1347834" w:tentative="1">
      <w:start w:val="1"/>
      <w:numFmt w:val="decimal"/>
      <w:lvlText w:val="%4."/>
      <w:lvlJc w:val="left"/>
      <w:pPr>
        <w:tabs>
          <w:tab w:val="num" w:pos="2880"/>
        </w:tabs>
        <w:ind w:left="2880" w:hanging="360"/>
      </w:pPr>
    </w:lvl>
    <w:lvl w:ilvl="4" w:tplc="CF6E372C" w:tentative="1">
      <w:start w:val="1"/>
      <w:numFmt w:val="lowerLetter"/>
      <w:lvlText w:val="%5."/>
      <w:lvlJc w:val="left"/>
      <w:pPr>
        <w:tabs>
          <w:tab w:val="num" w:pos="3600"/>
        </w:tabs>
        <w:ind w:left="3600" w:hanging="360"/>
      </w:pPr>
    </w:lvl>
    <w:lvl w:ilvl="5" w:tplc="E82EBF10" w:tentative="1">
      <w:start w:val="1"/>
      <w:numFmt w:val="lowerRoman"/>
      <w:lvlText w:val="%6."/>
      <w:lvlJc w:val="right"/>
      <w:pPr>
        <w:tabs>
          <w:tab w:val="num" w:pos="4320"/>
        </w:tabs>
        <w:ind w:left="4320" w:hanging="180"/>
      </w:pPr>
    </w:lvl>
    <w:lvl w:ilvl="6" w:tplc="5B1009DA" w:tentative="1">
      <w:start w:val="1"/>
      <w:numFmt w:val="decimal"/>
      <w:lvlText w:val="%7."/>
      <w:lvlJc w:val="left"/>
      <w:pPr>
        <w:tabs>
          <w:tab w:val="num" w:pos="5040"/>
        </w:tabs>
        <w:ind w:left="5040" w:hanging="360"/>
      </w:pPr>
    </w:lvl>
    <w:lvl w:ilvl="7" w:tplc="2EEC7018" w:tentative="1">
      <w:start w:val="1"/>
      <w:numFmt w:val="lowerLetter"/>
      <w:lvlText w:val="%8."/>
      <w:lvlJc w:val="left"/>
      <w:pPr>
        <w:tabs>
          <w:tab w:val="num" w:pos="5760"/>
        </w:tabs>
        <w:ind w:left="5760" w:hanging="360"/>
      </w:pPr>
    </w:lvl>
    <w:lvl w:ilvl="8" w:tplc="B89CCDCC" w:tentative="1">
      <w:start w:val="1"/>
      <w:numFmt w:val="lowerRoman"/>
      <w:lvlText w:val="%9."/>
      <w:lvlJc w:val="right"/>
      <w:pPr>
        <w:tabs>
          <w:tab w:val="num" w:pos="6480"/>
        </w:tabs>
        <w:ind w:left="6480" w:hanging="180"/>
      </w:pPr>
    </w:lvl>
  </w:abstractNum>
  <w:abstractNum w:abstractNumId="26">
    <w:nsid w:val="6E2D0FA5"/>
    <w:multiLevelType w:val="hybridMultilevel"/>
    <w:tmpl w:val="08482EA4"/>
    <w:lvl w:ilvl="0" w:tplc="41B0886E">
      <w:start w:val="1"/>
      <w:numFmt w:val="decimal"/>
      <w:lvlText w:val="%1."/>
      <w:lvlJc w:val="left"/>
      <w:pPr>
        <w:tabs>
          <w:tab w:val="num" w:pos="720"/>
        </w:tabs>
        <w:ind w:left="720" w:hanging="360"/>
      </w:pPr>
      <w:rPr>
        <w:rFonts w:ascii="Times New Roman" w:eastAsia="Times New Roman" w:hAnsi="Times New Roman" w:cs="Times New Roman"/>
      </w:rPr>
    </w:lvl>
    <w:lvl w:ilvl="1" w:tplc="557A8780" w:tentative="1">
      <w:start w:val="1"/>
      <w:numFmt w:val="bullet"/>
      <w:lvlText w:val="o"/>
      <w:lvlJc w:val="left"/>
      <w:pPr>
        <w:tabs>
          <w:tab w:val="num" w:pos="1440"/>
        </w:tabs>
        <w:ind w:left="1440" w:hanging="360"/>
      </w:pPr>
      <w:rPr>
        <w:rFonts w:ascii="Courier New" w:hAnsi="Courier New" w:cs="Courier New" w:hint="default"/>
      </w:rPr>
    </w:lvl>
    <w:lvl w:ilvl="2" w:tplc="BD9A6FE0" w:tentative="1">
      <w:start w:val="1"/>
      <w:numFmt w:val="bullet"/>
      <w:lvlText w:val=""/>
      <w:lvlJc w:val="left"/>
      <w:pPr>
        <w:tabs>
          <w:tab w:val="num" w:pos="2160"/>
        </w:tabs>
        <w:ind w:left="2160" w:hanging="360"/>
      </w:pPr>
      <w:rPr>
        <w:rFonts w:ascii="Wingdings" w:hAnsi="Wingdings" w:hint="default"/>
      </w:rPr>
    </w:lvl>
    <w:lvl w:ilvl="3" w:tplc="5184CE82" w:tentative="1">
      <w:start w:val="1"/>
      <w:numFmt w:val="bullet"/>
      <w:lvlText w:val=""/>
      <w:lvlJc w:val="left"/>
      <w:pPr>
        <w:tabs>
          <w:tab w:val="num" w:pos="2880"/>
        </w:tabs>
        <w:ind w:left="2880" w:hanging="360"/>
      </w:pPr>
      <w:rPr>
        <w:rFonts w:ascii="Symbol" w:hAnsi="Symbol" w:hint="default"/>
      </w:rPr>
    </w:lvl>
    <w:lvl w:ilvl="4" w:tplc="0CB4A3D0" w:tentative="1">
      <w:start w:val="1"/>
      <w:numFmt w:val="bullet"/>
      <w:lvlText w:val="o"/>
      <w:lvlJc w:val="left"/>
      <w:pPr>
        <w:tabs>
          <w:tab w:val="num" w:pos="3600"/>
        </w:tabs>
        <w:ind w:left="3600" w:hanging="360"/>
      </w:pPr>
      <w:rPr>
        <w:rFonts w:ascii="Courier New" w:hAnsi="Courier New" w:cs="Courier New" w:hint="default"/>
      </w:rPr>
    </w:lvl>
    <w:lvl w:ilvl="5" w:tplc="153A949E" w:tentative="1">
      <w:start w:val="1"/>
      <w:numFmt w:val="bullet"/>
      <w:lvlText w:val=""/>
      <w:lvlJc w:val="left"/>
      <w:pPr>
        <w:tabs>
          <w:tab w:val="num" w:pos="4320"/>
        </w:tabs>
        <w:ind w:left="4320" w:hanging="360"/>
      </w:pPr>
      <w:rPr>
        <w:rFonts w:ascii="Wingdings" w:hAnsi="Wingdings" w:hint="default"/>
      </w:rPr>
    </w:lvl>
    <w:lvl w:ilvl="6" w:tplc="1F72B71A" w:tentative="1">
      <w:start w:val="1"/>
      <w:numFmt w:val="bullet"/>
      <w:lvlText w:val=""/>
      <w:lvlJc w:val="left"/>
      <w:pPr>
        <w:tabs>
          <w:tab w:val="num" w:pos="5040"/>
        </w:tabs>
        <w:ind w:left="5040" w:hanging="360"/>
      </w:pPr>
      <w:rPr>
        <w:rFonts w:ascii="Symbol" w:hAnsi="Symbol" w:hint="default"/>
      </w:rPr>
    </w:lvl>
    <w:lvl w:ilvl="7" w:tplc="CF98AF92" w:tentative="1">
      <w:start w:val="1"/>
      <w:numFmt w:val="bullet"/>
      <w:lvlText w:val="o"/>
      <w:lvlJc w:val="left"/>
      <w:pPr>
        <w:tabs>
          <w:tab w:val="num" w:pos="5760"/>
        </w:tabs>
        <w:ind w:left="5760" w:hanging="360"/>
      </w:pPr>
      <w:rPr>
        <w:rFonts w:ascii="Courier New" w:hAnsi="Courier New" w:cs="Courier New" w:hint="default"/>
      </w:rPr>
    </w:lvl>
    <w:lvl w:ilvl="8" w:tplc="1FB49F18" w:tentative="1">
      <w:start w:val="1"/>
      <w:numFmt w:val="bullet"/>
      <w:lvlText w:val=""/>
      <w:lvlJc w:val="left"/>
      <w:pPr>
        <w:tabs>
          <w:tab w:val="num" w:pos="6480"/>
        </w:tabs>
        <w:ind w:left="6480" w:hanging="360"/>
      </w:pPr>
      <w:rPr>
        <w:rFonts w:ascii="Wingdings" w:hAnsi="Wingdings" w:hint="default"/>
      </w:rPr>
    </w:lvl>
  </w:abstractNum>
  <w:abstractNum w:abstractNumId="27">
    <w:nsid w:val="6FA31C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70970FEC"/>
    <w:multiLevelType w:val="hybridMultilevel"/>
    <w:tmpl w:val="F7868988"/>
    <w:lvl w:ilvl="0" w:tplc="5D1EC57E">
      <w:start w:val="1"/>
      <w:numFmt w:val="bullet"/>
      <w:lvlText w:val=""/>
      <w:lvlJc w:val="left"/>
      <w:pPr>
        <w:tabs>
          <w:tab w:val="num" w:pos="360"/>
        </w:tabs>
        <w:ind w:left="360" w:hanging="360"/>
      </w:pPr>
      <w:rPr>
        <w:rFonts w:ascii="Symbol" w:hAnsi="Symbol" w:hint="default"/>
      </w:rPr>
    </w:lvl>
    <w:lvl w:ilvl="1" w:tplc="E92E1C7E" w:tentative="1">
      <w:start w:val="1"/>
      <w:numFmt w:val="bullet"/>
      <w:lvlText w:val="o"/>
      <w:lvlJc w:val="left"/>
      <w:pPr>
        <w:tabs>
          <w:tab w:val="num" w:pos="1080"/>
        </w:tabs>
        <w:ind w:left="1080" w:hanging="360"/>
      </w:pPr>
      <w:rPr>
        <w:rFonts w:ascii="Courier New" w:hAnsi="Courier New" w:hint="default"/>
      </w:rPr>
    </w:lvl>
    <w:lvl w:ilvl="2" w:tplc="72B608E0" w:tentative="1">
      <w:start w:val="1"/>
      <w:numFmt w:val="bullet"/>
      <w:lvlText w:val=""/>
      <w:lvlJc w:val="left"/>
      <w:pPr>
        <w:tabs>
          <w:tab w:val="num" w:pos="1800"/>
        </w:tabs>
        <w:ind w:left="1800" w:hanging="360"/>
      </w:pPr>
      <w:rPr>
        <w:rFonts w:ascii="Wingdings" w:hAnsi="Wingdings" w:hint="default"/>
      </w:rPr>
    </w:lvl>
    <w:lvl w:ilvl="3" w:tplc="FB84A10C" w:tentative="1">
      <w:start w:val="1"/>
      <w:numFmt w:val="bullet"/>
      <w:lvlText w:val=""/>
      <w:lvlJc w:val="left"/>
      <w:pPr>
        <w:tabs>
          <w:tab w:val="num" w:pos="2520"/>
        </w:tabs>
        <w:ind w:left="2520" w:hanging="360"/>
      </w:pPr>
      <w:rPr>
        <w:rFonts w:ascii="Symbol" w:hAnsi="Symbol" w:hint="default"/>
      </w:rPr>
    </w:lvl>
    <w:lvl w:ilvl="4" w:tplc="D6FE8434" w:tentative="1">
      <w:start w:val="1"/>
      <w:numFmt w:val="bullet"/>
      <w:lvlText w:val="o"/>
      <w:lvlJc w:val="left"/>
      <w:pPr>
        <w:tabs>
          <w:tab w:val="num" w:pos="3240"/>
        </w:tabs>
        <w:ind w:left="3240" w:hanging="360"/>
      </w:pPr>
      <w:rPr>
        <w:rFonts w:ascii="Courier New" w:hAnsi="Courier New" w:hint="default"/>
      </w:rPr>
    </w:lvl>
    <w:lvl w:ilvl="5" w:tplc="299A4790" w:tentative="1">
      <w:start w:val="1"/>
      <w:numFmt w:val="bullet"/>
      <w:lvlText w:val=""/>
      <w:lvlJc w:val="left"/>
      <w:pPr>
        <w:tabs>
          <w:tab w:val="num" w:pos="3960"/>
        </w:tabs>
        <w:ind w:left="3960" w:hanging="360"/>
      </w:pPr>
      <w:rPr>
        <w:rFonts w:ascii="Wingdings" w:hAnsi="Wingdings" w:hint="default"/>
      </w:rPr>
    </w:lvl>
    <w:lvl w:ilvl="6" w:tplc="CBCAA160" w:tentative="1">
      <w:start w:val="1"/>
      <w:numFmt w:val="bullet"/>
      <w:lvlText w:val=""/>
      <w:lvlJc w:val="left"/>
      <w:pPr>
        <w:tabs>
          <w:tab w:val="num" w:pos="4680"/>
        </w:tabs>
        <w:ind w:left="4680" w:hanging="360"/>
      </w:pPr>
      <w:rPr>
        <w:rFonts w:ascii="Symbol" w:hAnsi="Symbol" w:hint="default"/>
      </w:rPr>
    </w:lvl>
    <w:lvl w:ilvl="7" w:tplc="9250A362" w:tentative="1">
      <w:start w:val="1"/>
      <w:numFmt w:val="bullet"/>
      <w:lvlText w:val="o"/>
      <w:lvlJc w:val="left"/>
      <w:pPr>
        <w:tabs>
          <w:tab w:val="num" w:pos="5400"/>
        </w:tabs>
        <w:ind w:left="5400" w:hanging="360"/>
      </w:pPr>
      <w:rPr>
        <w:rFonts w:ascii="Courier New" w:hAnsi="Courier New" w:hint="default"/>
      </w:rPr>
    </w:lvl>
    <w:lvl w:ilvl="8" w:tplc="70ECB0CE" w:tentative="1">
      <w:start w:val="1"/>
      <w:numFmt w:val="bullet"/>
      <w:lvlText w:val=""/>
      <w:lvlJc w:val="left"/>
      <w:pPr>
        <w:tabs>
          <w:tab w:val="num" w:pos="6120"/>
        </w:tabs>
        <w:ind w:left="6120" w:hanging="360"/>
      </w:pPr>
      <w:rPr>
        <w:rFonts w:ascii="Wingdings" w:hAnsi="Wingdings" w:hint="default"/>
      </w:rPr>
    </w:lvl>
  </w:abstractNum>
  <w:abstractNum w:abstractNumId="29">
    <w:nsid w:val="710F14E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nsid w:val="73351090"/>
    <w:multiLevelType w:val="hybridMultilevel"/>
    <w:tmpl w:val="B680F570"/>
    <w:lvl w:ilvl="0" w:tplc="8A127C8A">
      <w:start w:val="1"/>
      <w:numFmt w:val="decimal"/>
      <w:lvlText w:val="%1."/>
      <w:lvlJc w:val="left"/>
      <w:pPr>
        <w:tabs>
          <w:tab w:val="num" w:pos="720"/>
        </w:tabs>
        <w:ind w:left="720" w:hanging="360"/>
      </w:pPr>
      <w:rPr>
        <w:rFonts w:ascii="Times New Roman" w:eastAsia="Times New Roman" w:hAnsi="Times New Roman" w:cs="Times New Roman"/>
      </w:rPr>
    </w:lvl>
    <w:lvl w:ilvl="1" w:tplc="55E0D1F2">
      <w:start w:val="1"/>
      <w:numFmt w:val="decimal"/>
      <w:lvlText w:val="%2."/>
      <w:lvlJc w:val="left"/>
      <w:pPr>
        <w:tabs>
          <w:tab w:val="num" w:pos="1800"/>
        </w:tabs>
        <w:ind w:left="1800" w:hanging="720"/>
      </w:pPr>
      <w:rPr>
        <w:rFonts w:hint="default"/>
      </w:rPr>
    </w:lvl>
    <w:lvl w:ilvl="2" w:tplc="E2348EB6" w:tentative="1">
      <w:start w:val="1"/>
      <w:numFmt w:val="bullet"/>
      <w:lvlText w:val=""/>
      <w:lvlJc w:val="left"/>
      <w:pPr>
        <w:tabs>
          <w:tab w:val="num" w:pos="2160"/>
        </w:tabs>
        <w:ind w:left="2160" w:hanging="360"/>
      </w:pPr>
      <w:rPr>
        <w:rFonts w:ascii="Wingdings" w:hAnsi="Wingdings" w:hint="default"/>
      </w:rPr>
    </w:lvl>
    <w:lvl w:ilvl="3" w:tplc="7CE4A810" w:tentative="1">
      <w:start w:val="1"/>
      <w:numFmt w:val="bullet"/>
      <w:lvlText w:val=""/>
      <w:lvlJc w:val="left"/>
      <w:pPr>
        <w:tabs>
          <w:tab w:val="num" w:pos="2880"/>
        </w:tabs>
        <w:ind w:left="2880" w:hanging="360"/>
      </w:pPr>
      <w:rPr>
        <w:rFonts w:ascii="Symbol" w:hAnsi="Symbol" w:hint="default"/>
      </w:rPr>
    </w:lvl>
    <w:lvl w:ilvl="4" w:tplc="F3E2EB72" w:tentative="1">
      <w:start w:val="1"/>
      <w:numFmt w:val="bullet"/>
      <w:lvlText w:val="o"/>
      <w:lvlJc w:val="left"/>
      <w:pPr>
        <w:tabs>
          <w:tab w:val="num" w:pos="3600"/>
        </w:tabs>
        <w:ind w:left="3600" w:hanging="360"/>
      </w:pPr>
      <w:rPr>
        <w:rFonts w:ascii="Courier New" w:hAnsi="Courier New" w:hint="default"/>
      </w:rPr>
    </w:lvl>
    <w:lvl w:ilvl="5" w:tplc="108C0BC8" w:tentative="1">
      <w:start w:val="1"/>
      <w:numFmt w:val="bullet"/>
      <w:lvlText w:val=""/>
      <w:lvlJc w:val="left"/>
      <w:pPr>
        <w:tabs>
          <w:tab w:val="num" w:pos="4320"/>
        </w:tabs>
        <w:ind w:left="4320" w:hanging="360"/>
      </w:pPr>
      <w:rPr>
        <w:rFonts w:ascii="Wingdings" w:hAnsi="Wingdings" w:hint="default"/>
      </w:rPr>
    </w:lvl>
    <w:lvl w:ilvl="6" w:tplc="7090CF4C" w:tentative="1">
      <w:start w:val="1"/>
      <w:numFmt w:val="bullet"/>
      <w:lvlText w:val=""/>
      <w:lvlJc w:val="left"/>
      <w:pPr>
        <w:tabs>
          <w:tab w:val="num" w:pos="5040"/>
        </w:tabs>
        <w:ind w:left="5040" w:hanging="360"/>
      </w:pPr>
      <w:rPr>
        <w:rFonts w:ascii="Symbol" w:hAnsi="Symbol" w:hint="default"/>
      </w:rPr>
    </w:lvl>
    <w:lvl w:ilvl="7" w:tplc="0D56F664" w:tentative="1">
      <w:start w:val="1"/>
      <w:numFmt w:val="bullet"/>
      <w:lvlText w:val="o"/>
      <w:lvlJc w:val="left"/>
      <w:pPr>
        <w:tabs>
          <w:tab w:val="num" w:pos="5760"/>
        </w:tabs>
        <w:ind w:left="5760" w:hanging="360"/>
      </w:pPr>
      <w:rPr>
        <w:rFonts w:ascii="Courier New" w:hAnsi="Courier New" w:hint="default"/>
      </w:rPr>
    </w:lvl>
    <w:lvl w:ilvl="8" w:tplc="EFD45266" w:tentative="1">
      <w:start w:val="1"/>
      <w:numFmt w:val="bullet"/>
      <w:lvlText w:val=""/>
      <w:lvlJc w:val="left"/>
      <w:pPr>
        <w:tabs>
          <w:tab w:val="num" w:pos="6480"/>
        </w:tabs>
        <w:ind w:left="6480" w:hanging="360"/>
      </w:pPr>
      <w:rPr>
        <w:rFonts w:ascii="Wingdings" w:hAnsi="Wingdings" w:hint="default"/>
      </w:rPr>
    </w:lvl>
  </w:abstractNum>
  <w:abstractNum w:abstractNumId="31">
    <w:nsid w:val="78E53876"/>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2">
    <w:nsid w:val="7BAA7F6F"/>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lvlOverride w:ilvl="0">
      <w:lvl w:ilvl="0">
        <w:numFmt w:val="bullet"/>
        <w:lvlText w:val=""/>
        <w:legacy w:legacy="1" w:legacySpace="0" w:legacyIndent="360"/>
        <w:lvlJc w:val="left"/>
        <w:pPr>
          <w:ind w:left="360" w:hanging="360"/>
        </w:pPr>
        <w:rPr>
          <w:rFonts w:ascii="WP MathA" w:hAnsi="WP MathA" w:hint="default"/>
        </w:rPr>
      </w:lvl>
    </w:lvlOverride>
  </w:num>
  <w:num w:numId="2">
    <w:abstractNumId w:val="19"/>
  </w:num>
  <w:num w:numId="3">
    <w:abstractNumId w:val="12"/>
  </w:num>
  <w:num w:numId="4">
    <w:abstractNumId w:val="28"/>
  </w:num>
  <w:num w:numId="5">
    <w:abstractNumId w:val="5"/>
  </w:num>
  <w:num w:numId="6">
    <w:abstractNumId w:val="13"/>
  </w:num>
  <w:num w:numId="7">
    <w:abstractNumId w:val="30"/>
  </w:num>
  <w:num w:numId="8">
    <w:abstractNumId w:val="4"/>
  </w:num>
  <w:num w:numId="9">
    <w:abstractNumId w:val="18"/>
  </w:num>
  <w:num w:numId="10">
    <w:abstractNumId w:val="3"/>
  </w:num>
  <w:num w:numId="11">
    <w:abstractNumId w:val="10"/>
  </w:num>
  <w:num w:numId="12">
    <w:abstractNumId w:val="14"/>
  </w:num>
  <w:num w:numId="13">
    <w:abstractNumId w:val="21"/>
  </w:num>
  <w:num w:numId="14">
    <w:abstractNumId w:val="17"/>
  </w:num>
  <w:num w:numId="15">
    <w:abstractNumId w:val="9"/>
  </w:num>
  <w:num w:numId="16">
    <w:abstractNumId w:val="31"/>
  </w:num>
  <w:num w:numId="17">
    <w:abstractNumId w:val="2"/>
  </w:num>
  <w:num w:numId="18">
    <w:abstractNumId w:val="25"/>
  </w:num>
  <w:num w:numId="19">
    <w:abstractNumId w:val="23"/>
  </w:num>
  <w:num w:numId="20">
    <w:abstractNumId w:val="8"/>
  </w:num>
  <w:num w:numId="21">
    <w:abstractNumId w:val="26"/>
  </w:num>
  <w:num w:numId="22">
    <w:abstractNumId w:val="24"/>
  </w:num>
  <w:num w:numId="23">
    <w:abstractNumId w:val="32"/>
  </w:num>
  <w:num w:numId="24">
    <w:abstractNumId w:val="6"/>
  </w:num>
  <w:num w:numId="25">
    <w:abstractNumId w:val="20"/>
  </w:num>
  <w:num w:numId="26">
    <w:abstractNumId w:val="11"/>
  </w:num>
  <w:num w:numId="27">
    <w:abstractNumId w:val="29"/>
  </w:num>
  <w:num w:numId="28">
    <w:abstractNumId w:val="27"/>
  </w:num>
  <w:num w:numId="29">
    <w:abstractNumId w:val="1"/>
  </w:num>
  <w:num w:numId="30">
    <w:abstractNumId w:val="16"/>
  </w:num>
  <w:num w:numId="31">
    <w:abstractNumId w:val="7"/>
  </w:num>
  <w:num w:numId="32">
    <w:abstractNumId w:val="22"/>
  </w:num>
  <w:num w:numId="3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trackRevisions/>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rsids>
    <w:rsidRoot w:val="00BB6B19"/>
    <w:rsid w:val="000122C3"/>
    <w:rsid w:val="000163DC"/>
    <w:rsid w:val="00020D80"/>
    <w:rsid w:val="00071106"/>
    <w:rsid w:val="000831A1"/>
    <w:rsid w:val="00094E1E"/>
    <w:rsid w:val="000A0598"/>
    <w:rsid w:val="000B5ABC"/>
    <w:rsid w:val="000B61D8"/>
    <w:rsid w:val="000C45CC"/>
    <w:rsid w:val="000D46E5"/>
    <w:rsid w:val="00113A8E"/>
    <w:rsid w:val="001229E2"/>
    <w:rsid w:val="00141A61"/>
    <w:rsid w:val="00151949"/>
    <w:rsid w:val="00172E9E"/>
    <w:rsid w:val="00193030"/>
    <w:rsid w:val="001C3008"/>
    <w:rsid w:val="001E15A6"/>
    <w:rsid w:val="0020133C"/>
    <w:rsid w:val="00221667"/>
    <w:rsid w:val="00226FF8"/>
    <w:rsid w:val="0023073C"/>
    <w:rsid w:val="00235E66"/>
    <w:rsid w:val="00236B04"/>
    <w:rsid w:val="00242E07"/>
    <w:rsid w:val="00246254"/>
    <w:rsid w:val="0025168B"/>
    <w:rsid w:val="00266716"/>
    <w:rsid w:val="00270443"/>
    <w:rsid w:val="00273282"/>
    <w:rsid w:val="002B1543"/>
    <w:rsid w:val="002C3A6B"/>
    <w:rsid w:val="002C6F91"/>
    <w:rsid w:val="00336819"/>
    <w:rsid w:val="0034142E"/>
    <w:rsid w:val="00344D6C"/>
    <w:rsid w:val="0036552B"/>
    <w:rsid w:val="0037265D"/>
    <w:rsid w:val="0038408B"/>
    <w:rsid w:val="003957E2"/>
    <w:rsid w:val="003A3E2C"/>
    <w:rsid w:val="003B2380"/>
    <w:rsid w:val="003B35CD"/>
    <w:rsid w:val="003D1E5D"/>
    <w:rsid w:val="003E212D"/>
    <w:rsid w:val="004008CB"/>
    <w:rsid w:val="00405630"/>
    <w:rsid w:val="0041514F"/>
    <w:rsid w:val="0043041A"/>
    <w:rsid w:val="0045115E"/>
    <w:rsid w:val="00461A9E"/>
    <w:rsid w:val="004E0DE8"/>
    <w:rsid w:val="00513675"/>
    <w:rsid w:val="005236FC"/>
    <w:rsid w:val="005277BF"/>
    <w:rsid w:val="00536B6B"/>
    <w:rsid w:val="00540B5C"/>
    <w:rsid w:val="005623C9"/>
    <w:rsid w:val="005706E6"/>
    <w:rsid w:val="00574F25"/>
    <w:rsid w:val="00585046"/>
    <w:rsid w:val="005850E7"/>
    <w:rsid w:val="005C4A52"/>
    <w:rsid w:val="005C53DD"/>
    <w:rsid w:val="005D3958"/>
    <w:rsid w:val="005D77A9"/>
    <w:rsid w:val="005E305A"/>
    <w:rsid w:val="0067778D"/>
    <w:rsid w:val="00691AB3"/>
    <w:rsid w:val="006B77B5"/>
    <w:rsid w:val="006C7C30"/>
    <w:rsid w:val="00701D23"/>
    <w:rsid w:val="0071293A"/>
    <w:rsid w:val="007209D2"/>
    <w:rsid w:val="007233FE"/>
    <w:rsid w:val="007252B0"/>
    <w:rsid w:val="00731DA1"/>
    <w:rsid w:val="00735E06"/>
    <w:rsid w:val="00745924"/>
    <w:rsid w:val="00746E35"/>
    <w:rsid w:val="00760815"/>
    <w:rsid w:val="00766FF9"/>
    <w:rsid w:val="00770FF6"/>
    <w:rsid w:val="007721EB"/>
    <w:rsid w:val="007B16BA"/>
    <w:rsid w:val="007C0A1C"/>
    <w:rsid w:val="00807BCE"/>
    <w:rsid w:val="00811F8C"/>
    <w:rsid w:val="008120F0"/>
    <w:rsid w:val="00812AF6"/>
    <w:rsid w:val="00830D4E"/>
    <w:rsid w:val="00831638"/>
    <w:rsid w:val="00843242"/>
    <w:rsid w:val="00845558"/>
    <w:rsid w:val="00872E0B"/>
    <w:rsid w:val="00891055"/>
    <w:rsid w:val="008D124F"/>
    <w:rsid w:val="008E1DAB"/>
    <w:rsid w:val="008E7E86"/>
    <w:rsid w:val="0092047A"/>
    <w:rsid w:val="00940BB5"/>
    <w:rsid w:val="0094188E"/>
    <w:rsid w:val="0095465C"/>
    <w:rsid w:val="00965E0A"/>
    <w:rsid w:val="00967591"/>
    <w:rsid w:val="009676E0"/>
    <w:rsid w:val="0097393A"/>
    <w:rsid w:val="00981AD3"/>
    <w:rsid w:val="0098473E"/>
    <w:rsid w:val="00984B2B"/>
    <w:rsid w:val="00990983"/>
    <w:rsid w:val="00992F6C"/>
    <w:rsid w:val="009A3821"/>
    <w:rsid w:val="009D04D0"/>
    <w:rsid w:val="009D435A"/>
    <w:rsid w:val="00A03B7F"/>
    <w:rsid w:val="00A20872"/>
    <w:rsid w:val="00A274C0"/>
    <w:rsid w:val="00A357F8"/>
    <w:rsid w:val="00A41289"/>
    <w:rsid w:val="00A55AD2"/>
    <w:rsid w:val="00A73ACB"/>
    <w:rsid w:val="00AD0DB5"/>
    <w:rsid w:val="00B1406F"/>
    <w:rsid w:val="00B221AF"/>
    <w:rsid w:val="00B27AA4"/>
    <w:rsid w:val="00B3414C"/>
    <w:rsid w:val="00B34CEE"/>
    <w:rsid w:val="00B42399"/>
    <w:rsid w:val="00B51D0E"/>
    <w:rsid w:val="00B547F2"/>
    <w:rsid w:val="00B5630C"/>
    <w:rsid w:val="00B974AB"/>
    <w:rsid w:val="00BB1F9C"/>
    <w:rsid w:val="00BB2ECF"/>
    <w:rsid w:val="00BB3B78"/>
    <w:rsid w:val="00BB5D49"/>
    <w:rsid w:val="00BB62D6"/>
    <w:rsid w:val="00BB6B19"/>
    <w:rsid w:val="00BC4767"/>
    <w:rsid w:val="00BD37CE"/>
    <w:rsid w:val="00BE5CDF"/>
    <w:rsid w:val="00BF5319"/>
    <w:rsid w:val="00C01D63"/>
    <w:rsid w:val="00C05D03"/>
    <w:rsid w:val="00C14C8C"/>
    <w:rsid w:val="00C2273C"/>
    <w:rsid w:val="00C32E3A"/>
    <w:rsid w:val="00C577C8"/>
    <w:rsid w:val="00C73BBC"/>
    <w:rsid w:val="00C755A3"/>
    <w:rsid w:val="00C87853"/>
    <w:rsid w:val="00C91389"/>
    <w:rsid w:val="00C933F6"/>
    <w:rsid w:val="00C97B88"/>
    <w:rsid w:val="00CA3134"/>
    <w:rsid w:val="00CC48A8"/>
    <w:rsid w:val="00CD0E67"/>
    <w:rsid w:val="00D05142"/>
    <w:rsid w:val="00D33F19"/>
    <w:rsid w:val="00D35BA3"/>
    <w:rsid w:val="00D51268"/>
    <w:rsid w:val="00D5219F"/>
    <w:rsid w:val="00D87E5B"/>
    <w:rsid w:val="00D91C93"/>
    <w:rsid w:val="00D91CA0"/>
    <w:rsid w:val="00DB376A"/>
    <w:rsid w:val="00DC7580"/>
    <w:rsid w:val="00DE28A8"/>
    <w:rsid w:val="00DE5B1E"/>
    <w:rsid w:val="00E128E2"/>
    <w:rsid w:val="00E264A9"/>
    <w:rsid w:val="00E42416"/>
    <w:rsid w:val="00E5158C"/>
    <w:rsid w:val="00E7667A"/>
    <w:rsid w:val="00E828F6"/>
    <w:rsid w:val="00E85564"/>
    <w:rsid w:val="00E90112"/>
    <w:rsid w:val="00E936EC"/>
    <w:rsid w:val="00E970BB"/>
    <w:rsid w:val="00EA223A"/>
    <w:rsid w:val="00EA2446"/>
    <w:rsid w:val="00EA745A"/>
    <w:rsid w:val="00EB313D"/>
    <w:rsid w:val="00EC2967"/>
    <w:rsid w:val="00ED07E0"/>
    <w:rsid w:val="00ED5167"/>
    <w:rsid w:val="00EF4AD3"/>
    <w:rsid w:val="00F15D7D"/>
    <w:rsid w:val="00F16D48"/>
    <w:rsid w:val="00F33A30"/>
    <w:rsid w:val="00F3739E"/>
    <w:rsid w:val="00F50AA1"/>
    <w:rsid w:val="00F7272C"/>
    <w:rsid w:val="00F817C8"/>
    <w:rsid w:val="00FA01D7"/>
    <w:rsid w:val="00FB7B3B"/>
    <w:rsid w:val="00FF1271"/>
    <w:rsid w:val="00FF47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33FE"/>
    <w:pPr>
      <w:widowControl w:val="0"/>
      <w:autoSpaceDE w:val="0"/>
      <w:autoSpaceDN w:val="0"/>
      <w:adjustRightInd w:val="0"/>
    </w:pPr>
    <w:rPr>
      <w:sz w:val="24"/>
      <w:szCs w:val="24"/>
    </w:rPr>
  </w:style>
  <w:style w:type="paragraph" w:styleId="Heading1">
    <w:name w:val="heading 1"/>
    <w:basedOn w:val="Normal"/>
    <w:next w:val="Normal"/>
    <w:qFormat/>
    <w:rsid w:val="007233FE"/>
    <w:pPr>
      <w:keepNext/>
      <w:tabs>
        <w:tab w:val="center" w:pos="-1440"/>
        <w:tab w:val="left" w:pos="720"/>
        <w:tab w:val="left" w:pos="1080"/>
        <w:tab w:val="center" w:pos="2880"/>
        <w:tab w:val="center" w:pos="4680"/>
        <w:tab w:val="center" w:pos="6480"/>
        <w:tab w:val="center" w:pos="8280"/>
      </w:tabs>
      <w:spacing w:after="58"/>
      <w:outlineLvl w:val="0"/>
    </w:pPr>
    <w:rPr>
      <w:rFonts w:ascii="Times" w:hAnsi="Times"/>
      <w:u w:val="single"/>
    </w:rPr>
  </w:style>
  <w:style w:type="paragraph" w:styleId="Heading2">
    <w:name w:val="heading 2"/>
    <w:basedOn w:val="Normal"/>
    <w:next w:val="Normal"/>
    <w:qFormat/>
    <w:rsid w:val="007233FE"/>
    <w:pPr>
      <w:keepNext/>
      <w:tabs>
        <w:tab w:val="left" w:pos="360"/>
        <w:tab w:val="left" w:pos="720"/>
      </w:tabs>
      <w:jc w:val="center"/>
      <w:outlineLvl w:val="1"/>
    </w:pPr>
    <w:rPr>
      <w:i/>
      <w:iCs/>
    </w:rPr>
  </w:style>
  <w:style w:type="paragraph" w:styleId="Heading3">
    <w:name w:val="heading 3"/>
    <w:basedOn w:val="Normal"/>
    <w:next w:val="Normal"/>
    <w:qFormat/>
    <w:rsid w:val="007233FE"/>
    <w:pPr>
      <w:keepNext/>
      <w:tabs>
        <w:tab w:val="center" w:pos="-1440"/>
        <w:tab w:val="left" w:pos="720"/>
        <w:tab w:val="left" w:pos="1080"/>
        <w:tab w:val="center" w:pos="2880"/>
        <w:tab w:val="center" w:pos="4680"/>
        <w:tab w:val="center" w:pos="6480"/>
        <w:tab w:val="center" w:pos="8280"/>
      </w:tabs>
      <w:spacing w:after="58"/>
      <w:outlineLvl w:val="2"/>
    </w:pPr>
    <w:rPr>
      <w:rFonts w:ascii="Times" w:hAnsi="Times"/>
      <w:i/>
      <w:iCs/>
    </w:rPr>
  </w:style>
  <w:style w:type="paragraph" w:styleId="Heading4">
    <w:name w:val="heading 4"/>
    <w:basedOn w:val="Normal"/>
    <w:next w:val="Normal"/>
    <w:qFormat/>
    <w:rsid w:val="007233FE"/>
    <w:pPr>
      <w:keepNext/>
      <w:pBdr>
        <w:top w:val="single" w:sz="4" w:space="1" w:color="auto"/>
        <w:bottom w:val="single" w:sz="4" w:space="0" w:color="auto"/>
      </w:pBdr>
      <w:tabs>
        <w:tab w:val="center" w:pos="-1440"/>
      </w:tabs>
      <w:outlineLvl w:val="3"/>
    </w:pPr>
    <w:rPr>
      <w:i/>
      <w:iCs/>
    </w:rPr>
  </w:style>
  <w:style w:type="paragraph" w:styleId="Heading5">
    <w:name w:val="heading 5"/>
    <w:basedOn w:val="Normal"/>
    <w:next w:val="Normal"/>
    <w:qFormat/>
    <w:rsid w:val="007233FE"/>
    <w:pPr>
      <w:keepNext/>
      <w:widowControl/>
      <w:tabs>
        <w:tab w:val="left" w:pos="360"/>
        <w:tab w:val="left" w:pos="720"/>
      </w:tabs>
      <w:ind w:right="-731"/>
      <w:outlineLvl w:val="4"/>
    </w:pPr>
    <w:rPr>
      <w:rFonts w:ascii="Times" w:hAnsi="Times"/>
      <w:u w:val="single"/>
    </w:rPr>
  </w:style>
  <w:style w:type="paragraph" w:styleId="Heading6">
    <w:name w:val="heading 6"/>
    <w:basedOn w:val="Normal"/>
    <w:next w:val="Normal"/>
    <w:qFormat/>
    <w:rsid w:val="007233FE"/>
    <w:pPr>
      <w:keepNext/>
      <w:widowControl/>
      <w:tabs>
        <w:tab w:val="left" w:pos="360"/>
        <w:tab w:val="left" w:pos="720"/>
      </w:tabs>
      <w:ind w:right="-378"/>
      <w:outlineLvl w:val="5"/>
    </w:pPr>
    <w:rPr>
      <w:rFonts w:ascii="Times" w:hAnsi="Times"/>
      <w:u w:val="single"/>
    </w:rPr>
  </w:style>
  <w:style w:type="paragraph" w:styleId="Heading7">
    <w:name w:val="heading 7"/>
    <w:basedOn w:val="Normal"/>
    <w:next w:val="Normal"/>
    <w:qFormat/>
    <w:rsid w:val="007233FE"/>
    <w:pPr>
      <w:keepNext/>
      <w:widowControl/>
      <w:tabs>
        <w:tab w:val="left" w:pos="360"/>
        <w:tab w:val="left" w:pos="720"/>
      </w:tabs>
      <w:ind w:right="-378"/>
      <w:outlineLvl w:val="6"/>
    </w:pPr>
    <w:rPr>
      <w:rFonts w:ascii="Times" w:hAnsi="Times"/>
      <w:i/>
      <w:iCs/>
    </w:rPr>
  </w:style>
  <w:style w:type="paragraph" w:styleId="Heading8">
    <w:name w:val="heading 8"/>
    <w:basedOn w:val="Normal"/>
    <w:next w:val="Normal"/>
    <w:qFormat/>
    <w:rsid w:val="007233FE"/>
    <w:pPr>
      <w:keepNext/>
      <w:outlineLvl w:val="7"/>
    </w:pPr>
    <w:rPr>
      <w:b/>
      <w:bCs/>
    </w:rPr>
  </w:style>
  <w:style w:type="paragraph" w:styleId="Heading9">
    <w:name w:val="heading 9"/>
    <w:basedOn w:val="Normal"/>
    <w:next w:val="Normal"/>
    <w:qFormat/>
    <w:rsid w:val="007233FE"/>
    <w:pPr>
      <w:keepNext/>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233FE"/>
  </w:style>
  <w:style w:type="paragraph" w:customStyle="1" w:styleId="a">
    <w:name w:val="_"/>
    <w:basedOn w:val="Normal"/>
    <w:rsid w:val="007233FE"/>
    <w:pPr>
      <w:ind w:left="360" w:hanging="360"/>
    </w:pPr>
  </w:style>
  <w:style w:type="paragraph" w:styleId="FootnoteText">
    <w:name w:val="footnote text"/>
    <w:basedOn w:val="Normal"/>
    <w:semiHidden/>
    <w:rsid w:val="007233FE"/>
    <w:pPr>
      <w:widowControl/>
      <w:autoSpaceDE/>
      <w:autoSpaceDN/>
      <w:adjustRightInd/>
    </w:pPr>
    <w:rPr>
      <w:snapToGrid w:val="0"/>
      <w:sz w:val="20"/>
      <w:szCs w:val="20"/>
    </w:rPr>
  </w:style>
  <w:style w:type="paragraph" w:styleId="BodyText">
    <w:name w:val="Body Text"/>
    <w:basedOn w:val="Normal"/>
    <w:rsid w:val="007233FE"/>
    <w:pPr>
      <w:tabs>
        <w:tab w:val="left" w:pos="360"/>
        <w:tab w:val="left" w:pos="900"/>
      </w:tabs>
      <w:jc w:val="both"/>
    </w:pPr>
    <w:rPr>
      <w:color w:val="000000"/>
    </w:rPr>
  </w:style>
  <w:style w:type="paragraph" w:styleId="BodyTextIndent">
    <w:name w:val="Body Text Indent"/>
    <w:basedOn w:val="Normal"/>
    <w:rsid w:val="007233FE"/>
    <w:pPr>
      <w:tabs>
        <w:tab w:val="left" w:pos="360"/>
        <w:tab w:val="left" w:pos="720"/>
      </w:tabs>
      <w:ind w:firstLine="360"/>
      <w:jc w:val="both"/>
    </w:pPr>
  </w:style>
  <w:style w:type="paragraph" w:styleId="Header">
    <w:name w:val="header"/>
    <w:basedOn w:val="Normal"/>
    <w:rsid w:val="007233FE"/>
    <w:pPr>
      <w:tabs>
        <w:tab w:val="center" w:pos="4320"/>
        <w:tab w:val="right" w:pos="8640"/>
      </w:tabs>
    </w:pPr>
  </w:style>
  <w:style w:type="paragraph" w:styleId="Footer">
    <w:name w:val="footer"/>
    <w:basedOn w:val="Normal"/>
    <w:rsid w:val="007233FE"/>
    <w:pPr>
      <w:tabs>
        <w:tab w:val="center" w:pos="4320"/>
        <w:tab w:val="right" w:pos="8640"/>
      </w:tabs>
    </w:pPr>
  </w:style>
  <w:style w:type="character" w:styleId="PageNumber">
    <w:name w:val="page number"/>
    <w:basedOn w:val="DefaultParagraphFont"/>
    <w:rsid w:val="007233FE"/>
  </w:style>
  <w:style w:type="paragraph" w:styleId="BalloonText">
    <w:name w:val="Balloon Text"/>
    <w:basedOn w:val="Normal"/>
    <w:semiHidden/>
    <w:rsid w:val="007233FE"/>
    <w:rPr>
      <w:rFonts w:ascii="Tahoma" w:hAnsi="Tahoma" w:cs="Tahoma"/>
      <w:sz w:val="16"/>
      <w:szCs w:val="16"/>
    </w:rPr>
  </w:style>
  <w:style w:type="paragraph" w:styleId="BodyText2">
    <w:name w:val="Body Text 2"/>
    <w:basedOn w:val="Normal"/>
    <w:rsid w:val="007233FE"/>
    <w:pPr>
      <w:jc w:val="both"/>
    </w:pPr>
    <w:rPr>
      <w:b/>
    </w:rPr>
  </w:style>
  <w:style w:type="paragraph" w:styleId="BodyTextIndent2">
    <w:name w:val="Body Text Indent 2"/>
    <w:basedOn w:val="Normal"/>
    <w:rsid w:val="007233FE"/>
    <w:pPr>
      <w:ind w:firstLine="720"/>
      <w:jc w:val="both"/>
    </w:pPr>
  </w:style>
  <w:style w:type="paragraph" w:styleId="Title">
    <w:name w:val="Title"/>
    <w:basedOn w:val="Normal"/>
    <w:qFormat/>
    <w:rsid w:val="007233FE"/>
    <w:pPr>
      <w:widowControl/>
      <w:tabs>
        <w:tab w:val="left" w:pos="1440"/>
      </w:tabs>
      <w:autoSpaceDE/>
      <w:autoSpaceDN/>
      <w:adjustRightInd/>
      <w:jc w:val="center"/>
    </w:pPr>
    <w:rPr>
      <w:sz w:val="28"/>
      <w:szCs w:val="20"/>
    </w:rPr>
  </w:style>
  <w:style w:type="paragraph" w:styleId="BodyText3">
    <w:name w:val="Body Text 3"/>
    <w:basedOn w:val="Normal"/>
    <w:rsid w:val="007233FE"/>
    <w:pPr>
      <w:jc w:val="both"/>
    </w:pPr>
  </w:style>
  <w:style w:type="table" w:styleId="TableGrid">
    <w:name w:val="Table Grid"/>
    <w:basedOn w:val="TableNormal"/>
    <w:rsid w:val="0067778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F50AA1"/>
    <w:rPr>
      <w:sz w:val="16"/>
      <w:szCs w:val="16"/>
    </w:rPr>
  </w:style>
  <w:style w:type="paragraph" w:styleId="CommentText">
    <w:name w:val="annotation text"/>
    <w:basedOn w:val="Normal"/>
    <w:semiHidden/>
    <w:rsid w:val="00F50AA1"/>
    <w:rPr>
      <w:sz w:val="20"/>
      <w:szCs w:val="20"/>
    </w:rPr>
  </w:style>
  <w:style w:type="paragraph" w:styleId="CommentSubject">
    <w:name w:val="annotation subject"/>
    <w:basedOn w:val="CommentText"/>
    <w:next w:val="CommentText"/>
    <w:semiHidden/>
    <w:rsid w:val="00F50AA1"/>
    <w:rPr>
      <w:b/>
      <w:bCs/>
    </w:rPr>
  </w:style>
  <w:style w:type="paragraph" w:styleId="ListParagraph">
    <w:name w:val="List Paragraph"/>
    <w:basedOn w:val="Normal"/>
    <w:uiPriority w:val="34"/>
    <w:qFormat/>
    <w:rsid w:val="00CA313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071BD2-9D12-4DDA-A924-14E728C21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3892</Words>
  <Characters>20773</Characters>
  <Application>Microsoft Office Word</Application>
  <DocSecurity>0</DocSecurity>
  <Lines>173</Lines>
  <Paragraphs>49</Paragraphs>
  <ScaleCrop>false</ScaleCrop>
  <HeadingPairs>
    <vt:vector size="2" baseType="variant">
      <vt:variant>
        <vt:lpstr>Title</vt:lpstr>
      </vt:variant>
      <vt:variant>
        <vt:i4>1</vt:i4>
      </vt:variant>
    </vt:vector>
  </HeadingPairs>
  <TitlesOfParts>
    <vt:vector size="1" baseType="lpstr">
      <vt:lpstr/>
    </vt:vector>
  </TitlesOfParts>
  <Company>FRB</Company>
  <LinksUpToDate>false</LinksUpToDate>
  <CharactersWithSpaces>24616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m1cmb00</dc:creator>
  <cp:keywords/>
  <dc:description/>
  <cp:lastModifiedBy>Cindy Ayouch</cp:lastModifiedBy>
  <cp:revision>2</cp:revision>
  <cp:lastPrinted>2010-04-14T12:59:00Z</cp:lastPrinted>
  <dcterms:created xsi:type="dcterms:W3CDTF">2010-06-15T13:23:00Z</dcterms:created>
  <dcterms:modified xsi:type="dcterms:W3CDTF">2010-06-15T13:23:00Z</dcterms:modified>
</cp:coreProperties>
</file>