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74" w:rsidRDefault="00937C74" w:rsidP="00937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37C74" w:rsidRDefault="00937C74" w:rsidP="00937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37C74" w:rsidRDefault="00937C74" w:rsidP="00937C74">
      <w:pPr>
        <w:rPr>
          <w:color w:val="000000"/>
          <w:sz w:val="24"/>
        </w:rPr>
      </w:pPr>
      <w:r>
        <w:rPr>
          <w:b/>
          <w:bCs/>
          <w:sz w:val="24"/>
        </w:rPr>
        <w:t xml:space="preserve">A. </w:t>
      </w:r>
      <w:r>
        <w:rPr>
          <w:b/>
          <w:bCs/>
          <w:sz w:val="24"/>
        </w:rPr>
        <w:tab/>
        <w:t>Justi</w:t>
      </w:r>
      <w:r>
        <w:rPr>
          <w:b/>
          <w:bCs/>
          <w:color w:val="000000"/>
          <w:sz w:val="24"/>
        </w:rPr>
        <w:t>fication</w:t>
      </w:r>
    </w:p>
    <w:p w:rsidR="00937C74" w:rsidRDefault="00937C74" w:rsidP="00937C74">
      <w:pPr>
        <w:rPr>
          <w:color w:val="000000"/>
          <w:sz w:val="24"/>
        </w:rPr>
      </w:pPr>
    </w:p>
    <w:p w:rsidR="00937C74" w:rsidRPr="00186350" w:rsidRDefault="00937C74" w:rsidP="00937C74">
      <w:pPr>
        <w:numPr>
          <w:ilvl w:val="0"/>
          <w:numId w:val="1"/>
        </w:numPr>
        <w:rPr>
          <w:b/>
          <w:sz w:val="24"/>
        </w:rPr>
      </w:pPr>
      <w:r>
        <w:rPr>
          <w:sz w:val="24"/>
        </w:rPr>
        <w:t>On September 19, 2005 (70 FR 54983), HUD published a final rule amending the regulation governing the Public Housing Operating Fund Program at 24 CFR part 990.  The regulation was developed through negotiated rulemaking</w:t>
      </w:r>
      <w:r w:rsidRPr="00B01415">
        <w:rPr>
          <w:b/>
          <w:bCs/>
          <w:sz w:val="24"/>
        </w:rPr>
        <w:t>.</w:t>
      </w:r>
      <w:r>
        <w:rPr>
          <w:sz w:val="24"/>
        </w:rPr>
        <w:t xml:space="preserve">  Part 990 provides a new formula for distributing operating subsidy to public housing agencies (PHAs) and establishes requirements for PHAs to convert to asset management.  The goals of asset management are to improve the operational efficiency and effectiveness of managing public housing assets, to better preserve and protect each asset, to facilitate future investment and reinvestment in public housing by public and private sector entities, and to provide an appropriate mechanism for monitoring performance and compliance at the project level.</w:t>
      </w:r>
    </w:p>
    <w:p w:rsidR="00937C74" w:rsidRDefault="00937C74" w:rsidP="00937C74">
      <w:pPr>
        <w:rPr>
          <w:sz w:val="24"/>
        </w:rPr>
      </w:pPr>
      <w:r>
        <w:rPr>
          <w:sz w:val="24"/>
        </w:rPr>
        <w:tab/>
      </w:r>
    </w:p>
    <w:p w:rsidR="00937C74" w:rsidRDefault="00937C74" w:rsidP="00937C74">
      <w:pPr>
        <w:overflowPunct/>
        <w:ind w:leftChars="180" w:left="360"/>
        <w:textAlignment w:val="auto"/>
        <w:rPr>
          <w:sz w:val="24"/>
          <w:szCs w:val="24"/>
        </w:rPr>
      </w:pPr>
      <w:r>
        <w:rPr>
          <w:sz w:val="24"/>
        </w:rPr>
        <w:tab/>
        <w:t>Subpart H of 24 CFR 990 (</w:t>
      </w:r>
      <w:r w:rsidRPr="005C06EC">
        <w:rPr>
          <w:sz w:val="24"/>
        </w:rPr>
        <w:t>§§</w:t>
      </w:r>
      <w:r>
        <w:rPr>
          <w:sz w:val="24"/>
        </w:rPr>
        <w:t xml:space="preserve"> 990.255 to 990.290) establishes the requirements regarding asset management.  Under </w:t>
      </w:r>
      <w:r w:rsidRPr="005C06EC">
        <w:rPr>
          <w:sz w:val="24"/>
        </w:rPr>
        <w:t>§</w:t>
      </w:r>
      <w:r>
        <w:rPr>
          <w:sz w:val="24"/>
        </w:rPr>
        <w:t xml:space="preserve"> 990.260, PHAs that own and operate 250 or more dwelling rental units must operate using an asset management model consistent with the subpart H regulations.  PHAs with fewer than 250 dwelling rental units may elect to transition to asset management, but they are not required to do so.  PHAs with 250 or more units are required to implement project-based management, accounting, budgeting and performance evaluation.</w:t>
      </w:r>
      <w:r w:rsidRPr="00D817BD">
        <w:rPr>
          <w:sz w:val="24"/>
          <w:szCs w:val="24"/>
        </w:rPr>
        <w:t xml:space="preserve"> </w:t>
      </w:r>
      <w:r>
        <w:rPr>
          <w:sz w:val="24"/>
          <w:szCs w:val="24"/>
        </w:rPr>
        <w:t xml:space="preserve"> Title II of Division K of the Consolidated Appropriations Act 2008, P.L. 110-161, (approved December 26, 2007) indicated, for calendar year 2008, that PHAs that own and operate 400 or fewer public housing units may elect to be exempt from any asset management requirement imposed by the Secretary of Housing and Urban Development in connection with the operating fund rule:  </w:t>
      </w:r>
      <w:r>
        <w:rPr>
          <w:i/>
          <w:iCs/>
          <w:sz w:val="24"/>
          <w:szCs w:val="24"/>
        </w:rPr>
        <w:t xml:space="preserve">Provided, </w:t>
      </w:r>
      <w:r>
        <w:rPr>
          <w:sz w:val="24"/>
          <w:szCs w:val="24"/>
        </w:rPr>
        <w:t>That an agency seeking a discontinuance of a reduction of subsidy under the operating fund formula shall not be exempt from asset management requirements.</w:t>
      </w:r>
    </w:p>
    <w:p w:rsidR="00937C74" w:rsidRDefault="00937C74" w:rsidP="00937C74">
      <w:pPr>
        <w:overflowPunct/>
        <w:ind w:leftChars="180" w:left="360"/>
        <w:textAlignment w:val="auto"/>
        <w:rPr>
          <w:sz w:val="24"/>
          <w:szCs w:val="24"/>
        </w:rPr>
      </w:pPr>
    </w:p>
    <w:p w:rsidR="00937C74" w:rsidRPr="00FF5034" w:rsidRDefault="00937C74" w:rsidP="00937C74">
      <w:pPr>
        <w:overflowPunct/>
        <w:ind w:leftChars="180" w:left="360"/>
        <w:textAlignment w:val="auto"/>
        <w:rPr>
          <w:sz w:val="24"/>
          <w:szCs w:val="24"/>
        </w:rPr>
      </w:pPr>
      <w:r w:rsidRPr="00FF5034">
        <w:rPr>
          <w:sz w:val="24"/>
          <w:szCs w:val="24"/>
        </w:rPr>
        <w:tab/>
        <w:t>The Consolidated Appropriations Act 2008, P.L. 110-161</w:t>
      </w:r>
      <w:r>
        <w:rPr>
          <w:sz w:val="24"/>
          <w:szCs w:val="24"/>
        </w:rPr>
        <w:t>,</w:t>
      </w:r>
      <w:r w:rsidRPr="00FF5034">
        <w:rPr>
          <w:sz w:val="24"/>
          <w:szCs w:val="24"/>
        </w:rPr>
        <w:t xml:space="preserve"> also provided “…$5,940,000 for competitive grants and contracts to third parties for the provision of technical assistance to public housing agencies related to the transition and implementation of asset-based management in public housing.”  The contract now in effect will provide for</w:t>
      </w:r>
      <w:r>
        <w:rPr>
          <w:sz w:val="24"/>
          <w:szCs w:val="24"/>
        </w:rPr>
        <w:t xml:space="preserve"> </w:t>
      </w:r>
      <w:proofErr w:type="gramStart"/>
      <w:r>
        <w:rPr>
          <w:sz w:val="24"/>
          <w:szCs w:val="24"/>
        </w:rPr>
        <w:t>both w</w:t>
      </w:r>
      <w:r w:rsidRPr="00FF5034">
        <w:rPr>
          <w:sz w:val="24"/>
          <w:szCs w:val="24"/>
        </w:rPr>
        <w:t>eb</w:t>
      </w:r>
      <w:proofErr w:type="gramEnd"/>
      <w:r w:rsidRPr="00FF5034">
        <w:rPr>
          <w:sz w:val="24"/>
          <w:szCs w:val="24"/>
        </w:rPr>
        <w:t>-based training, on-site seminars and on-site technical assistance to assist PHAs in implementing asset management</w:t>
      </w:r>
      <w:r>
        <w:rPr>
          <w:sz w:val="24"/>
          <w:szCs w:val="24"/>
        </w:rPr>
        <w:t>.</w:t>
      </w:r>
    </w:p>
    <w:p w:rsidR="00937C74" w:rsidRDefault="00937C74" w:rsidP="00937C74">
      <w:pPr>
        <w:overflowPunct/>
        <w:ind w:leftChars="180" w:left="360"/>
        <w:textAlignment w:val="auto"/>
        <w:rPr>
          <w:sz w:val="24"/>
        </w:rPr>
      </w:pPr>
    </w:p>
    <w:p w:rsidR="00937C74" w:rsidRPr="00EB1702" w:rsidRDefault="00937C74" w:rsidP="00937C74">
      <w:pPr>
        <w:numPr>
          <w:ilvl w:val="0"/>
          <w:numId w:val="1"/>
        </w:numPr>
        <w:rPr>
          <w:color w:val="000000"/>
          <w:sz w:val="24"/>
        </w:rPr>
      </w:pPr>
      <w:r>
        <w:rPr>
          <w:sz w:val="24"/>
        </w:rPr>
        <w:t>HUD will use the information provided in the Training Evaluation Form to determine how the training and technical assistance can be improved to meet PHA needs.</w:t>
      </w:r>
    </w:p>
    <w:p w:rsidR="00937C74" w:rsidRDefault="00937C74" w:rsidP="00937C74">
      <w:pPr>
        <w:rPr>
          <w:color w:val="000000"/>
          <w:sz w:val="24"/>
        </w:rPr>
      </w:pPr>
      <w:r>
        <w:rPr>
          <w:color w:val="000000"/>
          <w:sz w:val="24"/>
        </w:rPr>
        <w:t xml:space="preserve"> </w:t>
      </w:r>
    </w:p>
    <w:p w:rsidR="00937C74" w:rsidRDefault="00937C74" w:rsidP="00937C74">
      <w:pPr>
        <w:numPr>
          <w:ilvl w:val="0"/>
          <w:numId w:val="1"/>
        </w:numPr>
        <w:rPr>
          <w:color w:val="000000"/>
          <w:sz w:val="24"/>
        </w:rPr>
      </w:pPr>
      <w:r>
        <w:rPr>
          <w:color w:val="000000"/>
          <w:sz w:val="24"/>
        </w:rPr>
        <w:t>PHAs will voluntarily complete the form in one of two ways.  For web-based training, the form will be posted on the web based training website for students to complete and email to HUD at the completion of each course.  For on-site seminars and technical assistance, the form will be completed manually at the conclusion of each event.  A third party contractor will compile the results for review by HUD.</w:t>
      </w:r>
    </w:p>
    <w:p w:rsidR="00937C74" w:rsidRDefault="00937C74" w:rsidP="00937C74">
      <w:pPr>
        <w:rPr>
          <w:color w:val="000000"/>
          <w:sz w:val="24"/>
        </w:rPr>
      </w:pPr>
    </w:p>
    <w:p w:rsidR="00937C74" w:rsidRDefault="00937C74" w:rsidP="00937C74">
      <w:pPr>
        <w:pStyle w:val="BodyTextIndent"/>
        <w:numPr>
          <w:ilvl w:val="0"/>
          <w:numId w:val="1"/>
        </w:numPr>
      </w:pPr>
      <w:r>
        <w:t xml:space="preserve">The Office of Public and Indian Housing is not aware of any duplication of efforts to collect this information.  </w:t>
      </w:r>
    </w:p>
    <w:p w:rsidR="00937C74" w:rsidRDefault="00937C74" w:rsidP="00937C74">
      <w:pPr>
        <w:pStyle w:val="BodyTextIndent"/>
        <w:ind w:left="0"/>
      </w:pPr>
    </w:p>
    <w:p w:rsidR="00937C74" w:rsidRDefault="00937C74" w:rsidP="00937C74">
      <w:pPr>
        <w:numPr>
          <w:ilvl w:val="0"/>
          <w:numId w:val="1"/>
        </w:numPr>
        <w:rPr>
          <w:color w:val="000000"/>
          <w:sz w:val="24"/>
        </w:rPr>
      </w:pPr>
      <w:r>
        <w:rPr>
          <w:color w:val="000000"/>
          <w:sz w:val="24"/>
        </w:rPr>
        <w:t>The information being collected has no significant impact on small businesses or other small entities.</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 xml:space="preserve">If HUD does not implement the Training Evaluation Form, it will not be able to improve the training which will be designed to assist PHAs in the transition to asset management by 2011, when asset management is to be fully implemented.  </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lastRenderedPageBreak/>
        <w:t>There are no special circumstances that require the collection of information to be inconsistent with the guidelines in 5 CFR § 1320.6.</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 xml:space="preserve">HUD published a Notice of Proposed Information Collection for Public Comments on May 26, 2010, in the </w:t>
      </w:r>
      <w:r w:rsidRPr="00224825">
        <w:rPr>
          <w:color w:val="000000"/>
          <w:sz w:val="24"/>
          <w:u w:val="single"/>
        </w:rPr>
        <w:t>Federal</w:t>
      </w:r>
      <w:r w:rsidRPr="006970C4">
        <w:rPr>
          <w:color w:val="000000"/>
          <w:sz w:val="24"/>
        </w:rPr>
        <w:t xml:space="preserve"> </w:t>
      </w:r>
      <w:r w:rsidRPr="00224825">
        <w:rPr>
          <w:color w:val="000000"/>
          <w:sz w:val="24"/>
          <w:u w:val="single"/>
        </w:rPr>
        <w:t>Register</w:t>
      </w:r>
      <w:r>
        <w:rPr>
          <w:color w:val="000000"/>
          <w:sz w:val="24"/>
        </w:rPr>
        <w:t xml:space="preserve">.  The public was given until </w:t>
      </w:r>
      <w:proofErr w:type="spellStart"/>
      <w:r>
        <w:rPr>
          <w:color w:val="000000"/>
          <w:sz w:val="24"/>
        </w:rPr>
        <w:t>xxxxxxx</w:t>
      </w:r>
      <w:proofErr w:type="spellEnd"/>
      <w:r>
        <w:rPr>
          <w:color w:val="000000"/>
          <w:sz w:val="24"/>
        </w:rPr>
        <w:t xml:space="preserve"> to submit comments on the proposed information collection.  HUD received x comments on this proposed collection.  </w:t>
      </w:r>
      <w:r w:rsidRPr="00224825">
        <w:rPr>
          <w:b/>
          <w:bCs/>
          <w:color w:val="000000"/>
          <w:sz w:val="24"/>
        </w:rPr>
        <w:t>Exhibit E</w:t>
      </w:r>
      <w:r>
        <w:rPr>
          <w:color w:val="000000"/>
          <w:sz w:val="24"/>
        </w:rPr>
        <w:t xml:space="preserve"> is the Notice of Proposed Information Collection for Public Comment.  </w:t>
      </w:r>
      <w:r w:rsidRPr="00224825">
        <w:rPr>
          <w:b/>
          <w:bCs/>
          <w:color w:val="000000"/>
          <w:sz w:val="24"/>
        </w:rPr>
        <w:t>Exhibit F</w:t>
      </w:r>
      <w:r>
        <w:rPr>
          <w:color w:val="000000"/>
          <w:sz w:val="24"/>
        </w:rPr>
        <w:t xml:space="preserve"> is the Disclosure Statement.</w:t>
      </w:r>
    </w:p>
    <w:p w:rsidR="00937C74" w:rsidRDefault="00937C74" w:rsidP="00937C74">
      <w:pPr>
        <w:rPr>
          <w:color w:val="000000"/>
          <w:sz w:val="24"/>
        </w:rPr>
      </w:pPr>
      <w:r>
        <w:rPr>
          <w:color w:val="000000"/>
          <w:sz w:val="24"/>
        </w:rPr>
        <w:t xml:space="preserve"> </w:t>
      </w:r>
    </w:p>
    <w:p w:rsidR="00937C74" w:rsidRDefault="00937C74" w:rsidP="00937C74">
      <w:pPr>
        <w:numPr>
          <w:ilvl w:val="0"/>
          <w:numId w:val="1"/>
        </w:numPr>
        <w:rPr>
          <w:color w:val="000000"/>
          <w:sz w:val="24"/>
        </w:rPr>
      </w:pPr>
      <w:r>
        <w:rPr>
          <w:color w:val="000000"/>
          <w:sz w:val="24"/>
        </w:rPr>
        <w:t>No payments or gifts are provided to respondents.</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Assurances of confidentiality are neither provided nor needed because PHAs will submit this information anonymously.</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No sensitive questions are being asked.</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 xml:space="preserve">The estimated numbers of respondents is 29,288.  This estimate is based on:  (1) web-based training </w:t>
      </w:r>
      <w:proofErr w:type="gramStart"/>
      <w:r>
        <w:rPr>
          <w:color w:val="000000"/>
          <w:sz w:val="24"/>
        </w:rPr>
        <w:t>–  26,680</w:t>
      </w:r>
      <w:proofErr w:type="gramEnd"/>
      <w:r>
        <w:rPr>
          <w:color w:val="000000"/>
          <w:sz w:val="24"/>
        </w:rPr>
        <w:t xml:space="preserve"> (667 PHAs, with an average of two trainees per PHA and 20 courses); (2) seminars – 2,000 (50 seminars with an average of 40 trainees per seminar); and (3) on-site technical assistance – 608 (76 on-site technical assistance visits with an average of 8 PHA employees per visit).  The annual burden hours for completing the Training Evaluation Form are estimated to be 2 minutes for each respondent, for a total of 996 hours.  This estimation is based on actual experience in completing the Training Evaluation Form.</w:t>
      </w:r>
    </w:p>
    <w:p w:rsidR="00937C74" w:rsidRDefault="00937C74" w:rsidP="00937C74">
      <w:pPr>
        <w:rPr>
          <w:color w:val="000000"/>
          <w:sz w:val="24"/>
        </w:rPr>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1523"/>
        <w:gridCol w:w="390"/>
        <w:gridCol w:w="1548"/>
        <w:gridCol w:w="1270"/>
        <w:gridCol w:w="390"/>
        <w:gridCol w:w="1256"/>
        <w:gridCol w:w="359"/>
        <w:gridCol w:w="1721"/>
      </w:tblGrid>
      <w:tr w:rsidR="00937C74" w:rsidTr="002D6EA2">
        <w:tblPrEx>
          <w:tblCellMar>
            <w:top w:w="0" w:type="dxa"/>
            <w:bottom w:w="0" w:type="dxa"/>
          </w:tblCellMar>
        </w:tblPrEx>
        <w:trPr>
          <w:cantSplit/>
          <w:jc w:val="center"/>
        </w:trPr>
        <w:tc>
          <w:tcPr>
            <w:tcW w:w="10299" w:type="dxa"/>
            <w:gridSpan w:val="9"/>
          </w:tcPr>
          <w:p w:rsidR="00937C74" w:rsidRDefault="00937C74" w:rsidP="002D6EA2">
            <w:pPr>
              <w:pStyle w:val="Heading6"/>
              <w:overflowPunct w:val="0"/>
              <w:autoSpaceDE w:val="0"/>
              <w:autoSpaceDN w:val="0"/>
              <w:adjustRightInd w:val="0"/>
              <w:textAlignment w:val="baseline"/>
            </w:pPr>
            <w:r>
              <w:t>Total Burden Hour Estimates</w:t>
            </w:r>
          </w:p>
        </w:tc>
      </w:tr>
      <w:tr w:rsidR="00937C74" w:rsidTr="002D6EA2">
        <w:tblPrEx>
          <w:tblCellMar>
            <w:top w:w="0" w:type="dxa"/>
            <w:bottom w:w="0" w:type="dxa"/>
          </w:tblCellMar>
        </w:tblPrEx>
        <w:trPr>
          <w:jc w:val="center"/>
        </w:trPr>
        <w:tc>
          <w:tcPr>
            <w:tcW w:w="1842" w:type="dxa"/>
            <w:vAlign w:val="center"/>
          </w:tcPr>
          <w:p w:rsidR="00937C74" w:rsidRDefault="00937C74" w:rsidP="002D6EA2">
            <w:pPr>
              <w:keepNext/>
              <w:spacing w:before="40" w:after="40"/>
              <w:jc w:val="center"/>
              <w:rPr>
                <w:b/>
                <w:bCs/>
                <w:sz w:val="24"/>
              </w:rPr>
            </w:pPr>
            <w:r>
              <w:rPr>
                <w:b/>
                <w:bCs/>
                <w:sz w:val="24"/>
              </w:rPr>
              <w:t>Respondents</w:t>
            </w:r>
          </w:p>
        </w:tc>
        <w:tc>
          <w:tcPr>
            <w:tcW w:w="1523" w:type="dxa"/>
            <w:vAlign w:val="center"/>
          </w:tcPr>
          <w:p w:rsidR="00937C74" w:rsidRDefault="00937C74" w:rsidP="002D6EA2">
            <w:pPr>
              <w:keepNext/>
              <w:spacing w:before="40" w:after="40"/>
              <w:jc w:val="center"/>
              <w:rPr>
                <w:b/>
                <w:bCs/>
                <w:sz w:val="24"/>
              </w:rPr>
            </w:pPr>
            <w:r>
              <w:rPr>
                <w:b/>
                <w:bCs/>
                <w:sz w:val="24"/>
              </w:rPr>
              <w:t>Number of Respondents</w:t>
            </w:r>
          </w:p>
        </w:tc>
        <w:tc>
          <w:tcPr>
            <w:tcW w:w="390" w:type="dxa"/>
            <w:vAlign w:val="center"/>
          </w:tcPr>
          <w:p w:rsidR="00937C74" w:rsidRDefault="00937C74" w:rsidP="002D6EA2">
            <w:pPr>
              <w:pStyle w:val="Heading5"/>
            </w:pPr>
            <w:r>
              <w:t>X</w:t>
            </w:r>
          </w:p>
        </w:tc>
        <w:tc>
          <w:tcPr>
            <w:tcW w:w="1548" w:type="dxa"/>
            <w:vAlign w:val="center"/>
          </w:tcPr>
          <w:p w:rsidR="00937C74" w:rsidRDefault="00937C74" w:rsidP="002D6EA2">
            <w:pPr>
              <w:keepNext/>
              <w:spacing w:before="40" w:after="40"/>
              <w:jc w:val="center"/>
              <w:rPr>
                <w:b/>
                <w:bCs/>
                <w:sz w:val="24"/>
              </w:rPr>
            </w:pPr>
            <w:r>
              <w:rPr>
                <w:b/>
                <w:bCs/>
                <w:sz w:val="24"/>
              </w:rPr>
              <w:t>Frequency  of Response</w:t>
            </w:r>
          </w:p>
        </w:tc>
        <w:tc>
          <w:tcPr>
            <w:tcW w:w="1270" w:type="dxa"/>
          </w:tcPr>
          <w:p w:rsidR="00937C74" w:rsidRDefault="00937C74" w:rsidP="002D6EA2">
            <w:pPr>
              <w:jc w:val="center"/>
              <w:rPr>
                <w:b/>
                <w:bCs/>
                <w:sz w:val="24"/>
              </w:rPr>
            </w:pPr>
            <w:r>
              <w:rPr>
                <w:b/>
                <w:bCs/>
                <w:sz w:val="24"/>
              </w:rPr>
              <w:t>Total Responses</w:t>
            </w:r>
          </w:p>
        </w:tc>
        <w:tc>
          <w:tcPr>
            <w:tcW w:w="390" w:type="dxa"/>
            <w:vAlign w:val="center"/>
          </w:tcPr>
          <w:p w:rsidR="00937C74" w:rsidRDefault="00937C74" w:rsidP="002D6EA2">
            <w:pPr>
              <w:pStyle w:val="Heading5"/>
            </w:pPr>
            <w:r>
              <w:t>X</w:t>
            </w:r>
          </w:p>
        </w:tc>
        <w:tc>
          <w:tcPr>
            <w:tcW w:w="1256" w:type="dxa"/>
            <w:vAlign w:val="center"/>
          </w:tcPr>
          <w:p w:rsidR="00937C74" w:rsidRDefault="00937C74" w:rsidP="002D6EA2">
            <w:pPr>
              <w:keepNext/>
              <w:spacing w:before="40" w:after="40"/>
              <w:jc w:val="center"/>
              <w:rPr>
                <w:b/>
                <w:bCs/>
                <w:sz w:val="24"/>
              </w:rPr>
            </w:pPr>
            <w:r>
              <w:rPr>
                <w:b/>
                <w:bCs/>
                <w:sz w:val="24"/>
              </w:rPr>
              <w:t xml:space="preserve">Estimated Hours </w:t>
            </w:r>
          </w:p>
        </w:tc>
        <w:tc>
          <w:tcPr>
            <w:tcW w:w="359" w:type="dxa"/>
            <w:vAlign w:val="center"/>
          </w:tcPr>
          <w:p w:rsidR="00937C74" w:rsidRDefault="00937C74" w:rsidP="002D6EA2">
            <w:pPr>
              <w:rPr>
                <w:b/>
                <w:bCs/>
                <w:sz w:val="24"/>
              </w:rPr>
            </w:pPr>
            <w:r>
              <w:rPr>
                <w:b/>
                <w:bCs/>
                <w:sz w:val="24"/>
              </w:rPr>
              <w:t>=</w:t>
            </w:r>
          </w:p>
        </w:tc>
        <w:tc>
          <w:tcPr>
            <w:tcW w:w="1721" w:type="dxa"/>
            <w:vAlign w:val="center"/>
          </w:tcPr>
          <w:p w:rsidR="00937C74" w:rsidRDefault="00937C74" w:rsidP="002D6EA2">
            <w:pPr>
              <w:keepNext/>
              <w:spacing w:before="40" w:after="40"/>
              <w:jc w:val="center"/>
              <w:rPr>
                <w:b/>
                <w:bCs/>
                <w:sz w:val="24"/>
              </w:rPr>
            </w:pPr>
            <w:r>
              <w:rPr>
                <w:b/>
                <w:bCs/>
                <w:sz w:val="24"/>
              </w:rPr>
              <w:t>Total Annual  Burden Hours</w:t>
            </w:r>
          </w:p>
        </w:tc>
      </w:tr>
      <w:tr w:rsidR="00937C74" w:rsidTr="002D6EA2">
        <w:tblPrEx>
          <w:tblCellMar>
            <w:top w:w="0" w:type="dxa"/>
            <w:bottom w:w="0" w:type="dxa"/>
          </w:tblCellMar>
        </w:tblPrEx>
        <w:trPr>
          <w:jc w:val="center"/>
        </w:trPr>
        <w:tc>
          <w:tcPr>
            <w:tcW w:w="1842" w:type="dxa"/>
            <w:vAlign w:val="center"/>
          </w:tcPr>
          <w:p w:rsidR="00937C74" w:rsidRDefault="00937C74" w:rsidP="002D6EA2">
            <w:pPr>
              <w:pStyle w:val="Heading2"/>
              <w:jc w:val="center"/>
            </w:pPr>
            <w:r>
              <w:t>PHA Staff</w:t>
            </w:r>
          </w:p>
        </w:tc>
        <w:tc>
          <w:tcPr>
            <w:tcW w:w="1523" w:type="dxa"/>
            <w:vAlign w:val="center"/>
          </w:tcPr>
          <w:p w:rsidR="00937C74" w:rsidRDefault="00937C74" w:rsidP="002D6EA2">
            <w:pPr>
              <w:keepNext/>
              <w:spacing w:before="40" w:after="40"/>
              <w:ind w:right="360"/>
              <w:jc w:val="center"/>
              <w:rPr>
                <w:sz w:val="24"/>
              </w:rPr>
            </w:pPr>
            <w:r>
              <w:rPr>
                <w:sz w:val="24"/>
              </w:rPr>
              <w:t>29,288</w:t>
            </w:r>
          </w:p>
        </w:tc>
        <w:tc>
          <w:tcPr>
            <w:tcW w:w="390" w:type="dxa"/>
          </w:tcPr>
          <w:p w:rsidR="00937C74" w:rsidRDefault="00937C74" w:rsidP="002D6EA2">
            <w:pPr>
              <w:rPr>
                <w:sz w:val="24"/>
              </w:rPr>
            </w:pPr>
          </w:p>
        </w:tc>
        <w:tc>
          <w:tcPr>
            <w:tcW w:w="1548" w:type="dxa"/>
            <w:vAlign w:val="center"/>
          </w:tcPr>
          <w:p w:rsidR="00937C74" w:rsidRDefault="00937C74" w:rsidP="002D6EA2">
            <w:pPr>
              <w:keepNext/>
              <w:spacing w:before="40" w:after="40"/>
              <w:jc w:val="center"/>
              <w:rPr>
                <w:sz w:val="24"/>
              </w:rPr>
            </w:pPr>
            <w:r>
              <w:rPr>
                <w:sz w:val="24"/>
              </w:rPr>
              <w:t>1</w:t>
            </w:r>
          </w:p>
        </w:tc>
        <w:tc>
          <w:tcPr>
            <w:tcW w:w="1270" w:type="dxa"/>
            <w:vAlign w:val="center"/>
          </w:tcPr>
          <w:p w:rsidR="00937C74" w:rsidRDefault="00937C74" w:rsidP="002D6EA2">
            <w:pPr>
              <w:keepNext/>
              <w:spacing w:before="40" w:after="40"/>
              <w:ind w:right="360"/>
              <w:jc w:val="center"/>
              <w:rPr>
                <w:sz w:val="24"/>
              </w:rPr>
            </w:pPr>
            <w:r>
              <w:rPr>
                <w:sz w:val="24"/>
              </w:rPr>
              <w:t>29,288</w:t>
            </w:r>
          </w:p>
        </w:tc>
        <w:tc>
          <w:tcPr>
            <w:tcW w:w="390" w:type="dxa"/>
          </w:tcPr>
          <w:p w:rsidR="00937C74" w:rsidRDefault="00937C74" w:rsidP="002D6EA2">
            <w:pPr>
              <w:rPr>
                <w:sz w:val="24"/>
              </w:rPr>
            </w:pPr>
          </w:p>
        </w:tc>
        <w:tc>
          <w:tcPr>
            <w:tcW w:w="1256" w:type="dxa"/>
            <w:vAlign w:val="center"/>
          </w:tcPr>
          <w:p w:rsidR="00937C74" w:rsidRDefault="00937C74" w:rsidP="002D6EA2">
            <w:pPr>
              <w:keepNext/>
              <w:spacing w:before="40" w:after="40"/>
              <w:jc w:val="center"/>
              <w:rPr>
                <w:sz w:val="24"/>
              </w:rPr>
            </w:pPr>
            <w:r>
              <w:rPr>
                <w:sz w:val="24"/>
              </w:rPr>
              <w:t>.033</w:t>
            </w:r>
          </w:p>
        </w:tc>
        <w:tc>
          <w:tcPr>
            <w:tcW w:w="359" w:type="dxa"/>
          </w:tcPr>
          <w:p w:rsidR="00937C74" w:rsidRDefault="00937C74" w:rsidP="002D6EA2">
            <w:pPr>
              <w:rPr>
                <w:sz w:val="24"/>
              </w:rPr>
            </w:pPr>
          </w:p>
        </w:tc>
        <w:tc>
          <w:tcPr>
            <w:tcW w:w="1721" w:type="dxa"/>
            <w:vAlign w:val="center"/>
          </w:tcPr>
          <w:p w:rsidR="00937C74" w:rsidRDefault="00937C74" w:rsidP="002D6EA2">
            <w:pPr>
              <w:keepNext/>
              <w:spacing w:before="40" w:after="40"/>
              <w:ind w:right="365"/>
              <w:jc w:val="center"/>
              <w:rPr>
                <w:sz w:val="24"/>
              </w:rPr>
            </w:pPr>
            <w:r>
              <w:rPr>
                <w:sz w:val="24"/>
              </w:rPr>
              <w:t>966</w:t>
            </w:r>
          </w:p>
        </w:tc>
      </w:tr>
      <w:tr w:rsidR="00937C74" w:rsidTr="002D6EA2">
        <w:tblPrEx>
          <w:tblCellMar>
            <w:top w:w="0" w:type="dxa"/>
            <w:bottom w:w="0" w:type="dxa"/>
          </w:tblCellMar>
        </w:tblPrEx>
        <w:trPr>
          <w:jc w:val="center"/>
        </w:trPr>
        <w:tc>
          <w:tcPr>
            <w:tcW w:w="1842" w:type="dxa"/>
            <w:vAlign w:val="center"/>
          </w:tcPr>
          <w:p w:rsidR="00937C74" w:rsidRDefault="00937C74" w:rsidP="002D6EA2">
            <w:pPr>
              <w:pStyle w:val="Heading6"/>
              <w:overflowPunct w:val="0"/>
              <w:autoSpaceDE w:val="0"/>
              <w:autoSpaceDN w:val="0"/>
              <w:adjustRightInd w:val="0"/>
              <w:spacing w:before="40" w:after="40"/>
              <w:textAlignment w:val="baseline"/>
            </w:pPr>
            <w:r>
              <w:t>Totals</w:t>
            </w:r>
          </w:p>
        </w:tc>
        <w:tc>
          <w:tcPr>
            <w:tcW w:w="1523" w:type="dxa"/>
            <w:vAlign w:val="center"/>
          </w:tcPr>
          <w:p w:rsidR="00937C74" w:rsidRPr="006970C4" w:rsidRDefault="00937C74" w:rsidP="002D6EA2">
            <w:pPr>
              <w:keepNext/>
              <w:spacing w:before="40" w:after="40"/>
              <w:ind w:right="360"/>
              <w:jc w:val="center"/>
              <w:rPr>
                <w:b/>
                <w:sz w:val="24"/>
              </w:rPr>
            </w:pPr>
            <w:r w:rsidRPr="006970C4">
              <w:rPr>
                <w:b/>
                <w:sz w:val="24"/>
              </w:rPr>
              <w:t>29,288</w:t>
            </w:r>
          </w:p>
        </w:tc>
        <w:tc>
          <w:tcPr>
            <w:tcW w:w="390" w:type="dxa"/>
          </w:tcPr>
          <w:p w:rsidR="00937C74" w:rsidRPr="006970C4" w:rsidRDefault="00937C74" w:rsidP="002D6EA2">
            <w:pPr>
              <w:rPr>
                <w:b/>
                <w:sz w:val="24"/>
              </w:rPr>
            </w:pPr>
          </w:p>
        </w:tc>
        <w:tc>
          <w:tcPr>
            <w:tcW w:w="1548" w:type="dxa"/>
            <w:vAlign w:val="center"/>
          </w:tcPr>
          <w:p w:rsidR="00937C74" w:rsidRPr="006970C4" w:rsidRDefault="00937C74" w:rsidP="002D6EA2">
            <w:pPr>
              <w:keepNext/>
              <w:spacing w:before="40" w:after="40"/>
              <w:jc w:val="center"/>
              <w:rPr>
                <w:b/>
                <w:sz w:val="24"/>
              </w:rPr>
            </w:pPr>
          </w:p>
        </w:tc>
        <w:tc>
          <w:tcPr>
            <w:tcW w:w="1270" w:type="dxa"/>
            <w:vAlign w:val="center"/>
          </w:tcPr>
          <w:p w:rsidR="00937C74" w:rsidRPr="006970C4" w:rsidRDefault="00937C74" w:rsidP="002D6EA2">
            <w:pPr>
              <w:keepNext/>
              <w:spacing w:before="40" w:after="40"/>
              <w:ind w:right="360"/>
              <w:jc w:val="center"/>
              <w:rPr>
                <w:b/>
                <w:sz w:val="24"/>
              </w:rPr>
            </w:pPr>
            <w:r w:rsidRPr="006970C4">
              <w:rPr>
                <w:b/>
                <w:sz w:val="24"/>
              </w:rPr>
              <w:t>29,288</w:t>
            </w:r>
          </w:p>
        </w:tc>
        <w:tc>
          <w:tcPr>
            <w:tcW w:w="390" w:type="dxa"/>
          </w:tcPr>
          <w:p w:rsidR="00937C74" w:rsidRPr="006970C4" w:rsidRDefault="00937C74" w:rsidP="002D6EA2">
            <w:pPr>
              <w:rPr>
                <w:b/>
                <w:sz w:val="24"/>
              </w:rPr>
            </w:pPr>
          </w:p>
        </w:tc>
        <w:tc>
          <w:tcPr>
            <w:tcW w:w="1256" w:type="dxa"/>
            <w:vAlign w:val="center"/>
          </w:tcPr>
          <w:p w:rsidR="00937C74" w:rsidRPr="006970C4" w:rsidRDefault="00937C74" w:rsidP="002D6EA2">
            <w:pPr>
              <w:keepNext/>
              <w:spacing w:before="40" w:after="40"/>
              <w:jc w:val="center"/>
              <w:rPr>
                <w:b/>
                <w:sz w:val="24"/>
              </w:rPr>
            </w:pPr>
          </w:p>
        </w:tc>
        <w:tc>
          <w:tcPr>
            <w:tcW w:w="359" w:type="dxa"/>
          </w:tcPr>
          <w:p w:rsidR="00937C74" w:rsidRPr="006970C4" w:rsidRDefault="00937C74" w:rsidP="002D6EA2">
            <w:pPr>
              <w:rPr>
                <w:b/>
                <w:sz w:val="24"/>
              </w:rPr>
            </w:pPr>
          </w:p>
        </w:tc>
        <w:tc>
          <w:tcPr>
            <w:tcW w:w="1721" w:type="dxa"/>
            <w:vAlign w:val="center"/>
          </w:tcPr>
          <w:p w:rsidR="00937C74" w:rsidRPr="006970C4" w:rsidRDefault="00937C74" w:rsidP="002D6EA2">
            <w:pPr>
              <w:keepNext/>
              <w:spacing w:before="40" w:after="40"/>
              <w:ind w:right="365"/>
              <w:jc w:val="center"/>
              <w:rPr>
                <w:b/>
                <w:sz w:val="24"/>
              </w:rPr>
            </w:pPr>
            <w:r w:rsidRPr="006970C4">
              <w:rPr>
                <w:b/>
                <w:sz w:val="24"/>
              </w:rPr>
              <w:t>9</w:t>
            </w:r>
            <w:r>
              <w:rPr>
                <w:b/>
                <w:sz w:val="24"/>
              </w:rPr>
              <w:t>6</w:t>
            </w:r>
            <w:r w:rsidRPr="006970C4">
              <w:rPr>
                <w:b/>
                <w:sz w:val="24"/>
              </w:rPr>
              <w:t>6</w:t>
            </w:r>
          </w:p>
        </w:tc>
      </w:tr>
    </w:tbl>
    <w:p w:rsidR="00937C74" w:rsidRDefault="00937C74" w:rsidP="00937C74">
      <w:pPr>
        <w:rPr>
          <w:color w:val="000000"/>
          <w:sz w:val="24"/>
        </w:rPr>
      </w:pPr>
    </w:p>
    <w:p w:rsidR="00937C74" w:rsidRDefault="00937C74" w:rsidP="00937C74">
      <w:pPr>
        <w:pStyle w:val="BodyText"/>
        <w:tabs>
          <w:tab w:val="clear" w:pos="360"/>
          <w:tab w:val="clear" w:pos="450"/>
        </w:tabs>
        <w:ind w:left="360" w:firstLine="360"/>
      </w:pPr>
      <w:r>
        <w:t>The estimated annual cost to respondents are provided in the table, below, and assume an administrative assistant’s salary of $48,303 per year at a GS-8 Step 2 level rate (Salary Table 2010-GS) or an hourly rate of $23.22.</w:t>
      </w:r>
    </w:p>
    <w:p w:rsidR="00937C74" w:rsidRDefault="00937C74" w:rsidP="00937C74">
      <w:pPr>
        <w:pStyle w:val="BodyText"/>
        <w:tabs>
          <w:tab w:val="clear" w:pos="360"/>
          <w:tab w:val="clear" w:pos="450"/>
        </w:tabs>
        <w:ind w:left="360"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4"/>
        <w:gridCol w:w="1669"/>
        <w:gridCol w:w="390"/>
        <w:gridCol w:w="1058"/>
        <w:gridCol w:w="370"/>
        <w:gridCol w:w="1416"/>
      </w:tblGrid>
      <w:tr w:rsidR="00937C74" w:rsidTr="002D6EA2">
        <w:tblPrEx>
          <w:tblCellMar>
            <w:top w:w="0" w:type="dxa"/>
            <w:bottom w:w="0" w:type="dxa"/>
          </w:tblCellMar>
        </w:tblPrEx>
        <w:trPr>
          <w:cantSplit/>
          <w:jc w:val="center"/>
        </w:trPr>
        <w:tc>
          <w:tcPr>
            <w:tcW w:w="6427" w:type="dxa"/>
            <w:gridSpan w:val="6"/>
          </w:tcPr>
          <w:p w:rsidR="00937C74" w:rsidRDefault="00937C74" w:rsidP="002D6EA2">
            <w:pPr>
              <w:pStyle w:val="Heading1"/>
              <w:numPr>
                <w:ilvl w:val="0"/>
                <w:numId w:val="0"/>
              </w:numPr>
              <w:jc w:val="center"/>
              <w:rPr>
                <w:b/>
                <w:bCs/>
              </w:rPr>
            </w:pPr>
            <w:r>
              <w:br w:type="page"/>
            </w:r>
            <w:r>
              <w:rPr>
                <w:b/>
                <w:bCs/>
              </w:rPr>
              <w:t>Estimated Annual Costs to Respondents</w:t>
            </w:r>
          </w:p>
        </w:tc>
      </w:tr>
      <w:tr w:rsidR="00937C74" w:rsidTr="002D6EA2">
        <w:tblPrEx>
          <w:tblCellMar>
            <w:top w:w="0" w:type="dxa"/>
            <w:bottom w:w="0" w:type="dxa"/>
          </w:tblCellMar>
        </w:tblPrEx>
        <w:trPr>
          <w:jc w:val="center"/>
        </w:trPr>
        <w:tc>
          <w:tcPr>
            <w:tcW w:w="1524" w:type="dxa"/>
          </w:tcPr>
          <w:p w:rsidR="00937C74" w:rsidRDefault="00937C74" w:rsidP="002D6EA2">
            <w:pPr>
              <w:keepLines/>
              <w:tabs>
                <w:tab w:val="left" w:pos="360"/>
                <w:tab w:val="left" w:pos="720"/>
              </w:tabs>
              <w:jc w:val="center"/>
              <w:rPr>
                <w:b/>
                <w:bCs/>
                <w:color w:val="000000"/>
                <w:sz w:val="24"/>
              </w:rPr>
            </w:pPr>
            <w:r>
              <w:rPr>
                <w:b/>
                <w:bCs/>
                <w:color w:val="000000"/>
                <w:sz w:val="24"/>
              </w:rPr>
              <w:t>Number of Respondents</w:t>
            </w:r>
          </w:p>
        </w:tc>
        <w:tc>
          <w:tcPr>
            <w:tcW w:w="1669" w:type="dxa"/>
          </w:tcPr>
          <w:p w:rsidR="00937C74" w:rsidRDefault="00937C74" w:rsidP="002D6EA2">
            <w:pPr>
              <w:keepLines/>
              <w:tabs>
                <w:tab w:val="left" w:pos="360"/>
                <w:tab w:val="left" w:pos="720"/>
              </w:tabs>
              <w:jc w:val="center"/>
              <w:rPr>
                <w:b/>
                <w:bCs/>
                <w:color w:val="000000"/>
                <w:sz w:val="24"/>
              </w:rPr>
            </w:pPr>
            <w:r>
              <w:rPr>
                <w:b/>
                <w:bCs/>
                <w:color w:val="000000"/>
                <w:sz w:val="24"/>
              </w:rPr>
              <w:t>Total Burden Hours</w:t>
            </w:r>
          </w:p>
        </w:tc>
        <w:tc>
          <w:tcPr>
            <w:tcW w:w="390" w:type="dxa"/>
            <w:vAlign w:val="center"/>
          </w:tcPr>
          <w:p w:rsidR="00937C74" w:rsidRPr="006970C4" w:rsidRDefault="00937C74" w:rsidP="002D6EA2">
            <w:pPr>
              <w:pStyle w:val="Heading2"/>
              <w:jc w:val="center"/>
              <w:rPr>
                <w:b/>
              </w:rPr>
            </w:pPr>
            <w:r w:rsidRPr="006970C4">
              <w:rPr>
                <w:b/>
              </w:rPr>
              <w:t>X</w:t>
            </w:r>
          </w:p>
        </w:tc>
        <w:tc>
          <w:tcPr>
            <w:tcW w:w="1058" w:type="dxa"/>
          </w:tcPr>
          <w:p w:rsidR="00937C74" w:rsidRDefault="00937C74" w:rsidP="002D6EA2">
            <w:pPr>
              <w:keepLines/>
              <w:tabs>
                <w:tab w:val="left" w:pos="360"/>
                <w:tab w:val="left" w:pos="720"/>
              </w:tabs>
              <w:jc w:val="center"/>
              <w:rPr>
                <w:b/>
                <w:bCs/>
                <w:color w:val="000000"/>
                <w:sz w:val="24"/>
              </w:rPr>
            </w:pPr>
            <w:r>
              <w:rPr>
                <w:b/>
                <w:bCs/>
                <w:color w:val="000000"/>
                <w:sz w:val="24"/>
              </w:rPr>
              <w:t>Hourly Rate</w:t>
            </w:r>
          </w:p>
        </w:tc>
        <w:tc>
          <w:tcPr>
            <w:tcW w:w="370" w:type="dxa"/>
            <w:vAlign w:val="center"/>
          </w:tcPr>
          <w:p w:rsidR="00937C74" w:rsidRPr="006970C4" w:rsidRDefault="00937C74" w:rsidP="002D6EA2">
            <w:pPr>
              <w:keepLines/>
              <w:tabs>
                <w:tab w:val="left" w:pos="360"/>
                <w:tab w:val="left" w:pos="720"/>
              </w:tabs>
              <w:jc w:val="center"/>
              <w:rPr>
                <w:b/>
                <w:bCs/>
                <w:color w:val="000000"/>
                <w:sz w:val="24"/>
              </w:rPr>
            </w:pPr>
            <w:r w:rsidRPr="006970C4">
              <w:rPr>
                <w:b/>
                <w:bCs/>
                <w:color w:val="000000"/>
                <w:sz w:val="24"/>
              </w:rPr>
              <w:t>=</w:t>
            </w:r>
          </w:p>
        </w:tc>
        <w:tc>
          <w:tcPr>
            <w:tcW w:w="1416" w:type="dxa"/>
          </w:tcPr>
          <w:p w:rsidR="00937C74" w:rsidRDefault="00937C74" w:rsidP="002D6EA2">
            <w:pPr>
              <w:keepLines/>
              <w:tabs>
                <w:tab w:val="left" w:pos="360"/>
                <w:tab w:val="left" w:pos="720"/>
              </w:tabs>
              <w:jc w:val="center"/>
              <w:rPr>
                <w:b/>
                <w:bCs/>
                <w:color w:val="000000"/>
                <w:sz w:val="24"/>
              </w:rPr>
            </w:pPr>
            <w:r>
              <w:rPr>
                <w:b/>
                <w:bCs/>
                <w:color w:val="000000"/>
                <w:sz w:val="24"/>
              </w:rPr>
              <w:t>Annualized Cost</w:t>
            </w:r>
          </w:p>
        </w:tc>
      </w:tr>
      <w:tr w:rsidR="00937C74" w:rsidTr="002D6EA2">
        <w:tblPrEx>
          <w:tblCellMar>
            <w:top w:w="0" w:type="dxa"/>
            <w:bottom w:w="0" w:type="dxa"/>
          </w:tblCellMar>
        </w:tblPrEx>
        <w:trPr>
          <w:jc w:val="center"/>
        </w:trPr>
        <w:tc>
          <w:tcPr>
            <w:tcW w:w="1524" w:type="dxa"/>
          </w:tcPr>
          <w:p w:rsidR="00937C74" w:rsidRDefault="00937C74" w:rsidP="002D6EA2">
            <w:pPr>
              <w:keepLines/>
              <w:tabs>
                <w:tab w:val="left" w:pos="360"/>
                <w:tab w:val="left" w:pos="720"/>
              </w:tabs>
              <w:jc w:val="center"/>
              <w:rPr>
                <w:color w:val="000000"/>
                <w:sz w:val="24"/>
              </w:rPr>
            </w:pPr>
            <w:r>
              <w:rPr>
                <w:color w:val="000000"/>
                <w:sz w:val="24"/>
              </w:rPr>
              <w:t>29,288</w:t>
            </w:r>
          </w:p>
        </w:tc>
        <w:tc>
          <w:tcPr>
            <w:tcW w:w="1669" w:type="dxa"/>
          </w:tcPr>
          <w:p w:rsidR="00937C74" w:rsidRDefault="00937C74" w:rsidP="002D6EA2">
            <w:pPr>
              <w:keepLines/>
              <w:tabs>
                <w:tab w:val="left" w:pos="360"/>
                <w:tab w:val="left" w:pos="720"/>
              </w:tabs>
              <w:jc w:val="center"/>
              <w:rPr>
                <w:color w:val="000000"/>
                <w:sz w:val="24"/>
              </w:rPr>
            </w:pPr>
            <w:r>
              <w:rPr>
                <w:color w:val="000000"/>
                <w:sz w:val="24"/>
              </w:rPr>
              <w:t>966</w:t>
            </w:r>
          </w:p>
        </w:tc>
        <w:tc>
          <w:tcPr>
            <w:tcW w:w="390" w:type="dxa"/>
          </w:tcPr>
          <w:p w:rsidR="00937C74" w:rsidRDefault="00937C74" w:rsidP="002D6EA2">
            <w:pPr>
              <w:keepLines/>
              <w:tabs>
                <w:tab w:val="left" w:pos="360"/>
                <w:tab w:val="left" w:pos="720"/>
              </w:tabs>
              <w:jc w:val="center"/>
              <w:rPr>
                <w:color w:val="000000"/>
                <w:sz w:val="24"/>
              </w:rPr>
            </w:pPr>
          </w:p>
        </w:tc>
        <w:tc>
          <w:tcPr>
            <w:tcW w:w="1058" w:type="dxa"/>
          </w:tcPr>
          <w:p w:rsidR="00937C74" w:rsidRDefault="00937C74" w:rsidP="002D6EA2">
            <w:pPr>
              <w:keepLines/>
              <w:tabs>
                <w:tab w:val="left" w:pos="360"/>
                <w:tab w:val="left" w:pos="720"/>
              </w:tabs>
              <w:jc w:val="center"/>
              <w:rPr>
                <w:color w:val="000000"/>
                <w:sz w:val="24"/>
              </w:rPr>
            </w:pPr>
            <w:r>
              <w:rPr>
                <w:color w:val="000000"/>
                <w:sz w:val="24"/>
              </w:rPr>
              <w:t>$23.22</w:t>
            </w:r>
          </w:p>
        </w:tc>
        <w:tc>
          <w:tcPr>
            <w:tcW w:w="370" w:type="dxa"/>
          </w:tcPr>
          <w:p w:rsidR="00937C74" w:rsidRDefault="00937C74" w:rsidP="002D6EA2">
            <w:pPr>
              <w:keepLines/>
              <w:tabs>
                <w:tab w:val="left" w:pos="360"/>
                <w:tab w:val="left" w:pos="720"/>
              </w:tabs>
              <w:jc w:val="center"/>
              <w:rPr>
                <w:color w:val="000000"/>
                <w:sz w:val="24"/>
              </w:rPr>
            </w:pPr>
          </w:p>
        </w:tc>
        <w:tc>
          <w:tcPr>
            <w:tcW w:w="1416" w:type="dxa"/>
          </w:tcPr>
          <w:p w:rsidR="00937C74" w:rsidRDefault="00937C74" w:rsidP="002D6EA2">
            <w:pPr>
              <w:keepLines/>
              <w:tabs>
                <w:tab w:val="left" w:pos="360"/>
                <w:tab w:val="left" w:pos="720"/>
              </w:tabs>
              <w:jc w:val="center"/>
              <w:rPr>
                <w:color w:val="000000"/>
                <w:sz w:val="24"/>
              </w:rPr>
            </w:pPr>
            <w:r>
              <w:rPr>
                <w:color w:val="000000"/>
                <w:sz w:val="24"/>
              </w:rPr>
              <w:t xml:space="preserve">$22,430 </w:t>
            </w:r>
          </w:p>
        </w:tc>
      </w:tr>
    </w:tbl>
    <w:p w:rsidR="00937C74" w:rsidRDefault="00937C74" w:rsidP="00937C74">
      <w:pPr>
        <w:rPr>
          <w:color w:val="000000"/>
          <w:sz w:val="24"/>
        </w:rPr>
      </w:pPr>
    </w:p>
    <w:p w:rsidR="00937C74" w:rsidRDefault="00937C74" w:rsidP="00937C74">
      <w:pPr>
        <w:numPr>
          <w:ilvl w:val="0"/>
          <w:numId w:val="1"/>
        </w:numPr>
        <w:rPr>
          <w:color w:val="000000"/>
          <w:sz w:val="24"/>
        </w:rPr>
      </w:pPr>
      <w:r>
        <w:rPr>
          <w:bCs/>
          <w:color w:val="000000"/>
          <w:sz w:val="24"/>
        </w:rPr>
        <w:t>No other costs are associated with the collection of this information.</w:t>
      </w:r>
      <w:r>
        <w:rPr>
          <w:color w:val="000000"/>
          <w:sz w:val="24"/>
        </w:rPr>
        <w:t xml:space="preserve">  </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A third party contractor will summarize the results of the completed evaluations per the requirements of the existing contract described in item A1 of this justification.  There will be no additional expense to HUD.</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This is a new collection.</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 xml:space="preserve">This information will not be published.  </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 xml:space="preserve">HUD is not seeking approval to not display the expiration date of the OMB approval.  The new OMB approval number and expiration date will appear on the Training Evaluation Form. </w:t>
      </w:r>
    </w:p>
    <w:p w:rsidR="00937C74" w:rsidRDefault="00937C74" w:rsidP="00937C74">
      <w:pPr>
        <w:rPr>
          <w:color w:val="000000"/>
          <w:sz w:val="24"/>
        </w:rPr>
      </w:pPr>
    </w:p>
    <w:p w:rsidR="00937C74" w:rsidRDefault="00937C74" w:rsidP="00937C74">
      <w:pPr>
        <w:numPr>
          <w:ilvl w:val="0"/>
          <w:numId w:val="1"/>
        </w:numPr>
        <w:rPr>
          <w:color w:val="000000"/>
          <w:sz w:val="24"/>
        </w:rPr>
      </w:pPr>
      <w:r>
        <w:rPr>
          <w:color w:val="000000"/>
          <w:sz w:val="24"/>
        </w:rPr>
        <w:t>There are no exceptions to the certification statement identified in item 19 of the OMB 83-I.</w:t>
      </w:r>
    </w:p>
    <w:p w:rsidR="00937C74" w:rsidRDefault="00937C74" w:rsidP="00937C74">
      <w:pPr>
        <w:tabs>
          <w:tab w:val="left" w:pos="360"/>
          <w:tab w:val="left" w:pos="720"/>
        </w:tabs>
        <w:rPr>
          <w:color w:val="000000"/>
          <w:sz w:val="24"/>
        </w:rPr>
      </w:pPr>
    </w:p>
    <w:p w:rsidR="00937C74" w:rsidRDefault="00937C74" w:rsidP="00937C7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00937C74" w:rsidRDefault="00937C74" w:rsidP="00937C7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937C74" w:rsidRDefault="00937C74" w:rsidP="00937C74">
      <w:pPr>
        <w:rPr>
          <w:b/>
          <w:bCs/>
          <w:color w:val="000000"/>
          <w:sz w:val="24"/>
        </w:rPr>
      </w:pPr>
    </w:p>
    <w:p w:rsidR="00937C74" w:rsidRDefault="00937C74" w:rsidP="00937C74">
      <w:pPr>
        <w:rPr>
          <w:color w:val="000000"/>
          <w:sz w:val="24"/>
        </w:rPr>
      </w:pPr>
      <w:r>
        <w:rPr>
          <w:color w:val="000000"/>
          <w:sz w:val="24"/>
        </w:rPr>
        <w:t xml:space="preserve">       N/A</w:t>
      </w:r>
    </w:p>
    <w:p w:rsidR="00AC6B25" w:rsidRDefault="00937C74"/>
    <w:sectPr w:rsidR="00AC6B25">
      <w:headerReference w:type="default" r:id="rId5"/>
      <w:footerReference w:type="default" r:id="rId6"/>
      <w:footerReference w:type="first" r:id="rId7"/>
      <w:pgSz w:w="12240" w:h="15840"/>
      <w:pgMar w:top="480" w:right="720" w:bottom="480" w:left="600" w:header="480" w:footer="480" w:gutter="0"/>
      <w:cols w:space="480" w:equalWidth="0">
        <w:col w:w="10800"/>
      </w:cols>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33" w:rsidRDefault="00937C7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FF0433">
      <w:tblPrEx>
        <w:tblCellMar>
          <w:top w:w="0" w:type="dxa"/>
          <w:bottom w:w="0" w:type="dxa"/>
        </w:tblCellMar>
      </w:tblPrEx>
      <w:tc>
        <w:tcPr>
          <w:tcW w:w="8388" w:type="dxa"/>
          <w:tcBorders>
            <w:top w:val="single" w:sz="6" w:space="0" w:color="auto"/>
            <w:left w:val="nil"/>
            <w:right w:val="single" w:sz="6" w:space="0" w:color="auto"/>
          </w:tcBorders>
        </w:tcPr>
        <w:p w:rsidR="00FF0433" w:rsidRDefault="00937C74">
          <w:pPr>
            <w:pStyle w:val="Footer"/>
            <w:rPr>
              <w:rFonts w:ascii="Helvetica" w:hAnsi="Helvetica"/>
              <w:sz w:val="16"/>
            </w:rPr>
          </w:pPr>
          <w:r>
            <w:rPr>
              <w:rFonts w:ascii="Helvetica" w:hAnsi="Helvetica"/>
              <w:sz w:val="16"/>
            </w:rPr>
            <w:t>Signature of Senior Officer or Designee:</w:t>
          </w:r>
        </w:p>
        <w:p w:rsidR="00FF0433" w:rsidRDefault="00937C74">
          <w:pPr>
            <w:pStyle w:val="Footer"/>
            <w:rPr>
              <w:rFonts w:ascii="Helvetica" w:hAnsi="Helvetica"/>
              <w:sz w:val="16"/>
            </w:rPr>
          </w:pPr>
        </w:p>
        <w:p w:rsidR="00FF0433" w:rsidRDefault="00937C74">
          <w:pPr>
            <w:pStyle w:val="Footer"/>
            <w:rPr>
              <w:rFonts w:ascii="Helvetica" w:hAnsi="Helvetica"/>
              <w:sz w:val="16"/>
            </w:rPr>
          </w:pPr>
        </w:p>
        <w:p w:rsidR="00FF0433" w:rsidRDefault="00937C74">
          <w:pPr>
            <w:pStyle w:val="Footer"/>
            <w:rPr>
              <w:rFonts w:ascii="Helvetica" w:hAnsi="Helvetica"/>
              <w:sz w:val="16"/>
            </w:rPr>
          </w:pPr>
          <w:r>
            <w:rPr>
              <w:rFonts w:ascii="Helvetica" w:hAnsi="Helvetica"/>
              <w:sz w:val="16"/>
            </w:rPr>
            <w:t>X</w:t>
          </w:r>
        </w:p>
        <w:p w:rsidR="00FF0433" w:rsidRDefault="00937C74">
          <w:pPr>
            <w:pStyle w:val="Footer"/>
            <w:rPr>
              <w:rFonts w:ascii="Helvetica" w:hAnsi="Helvetica"/>
              <w:sz w:val="16"/>
            </w:rPr>
          </w:pPr>
          <w:r>
            <w:rPr>
              <w:rFonts w:ascii="Helvetica" w:hAnsi="Helvetica"/>
              <w:sz w:val="16"/>
            </w:rPr>
            <w:t>Colette Pollard</w:t>
          </w:r>
          <w:r>
            <w:rPr>
              <w:rFonts w:ascii="Helvetica" w:hAnsi="Helvetica"/>
              <w:sz w:val="16"/>
            </w:rPr>
            <w:t>, Departmental Reports Management Officer</w:t>
          </w:r>
        </w:p>
        <w:p w:rsidR="00FF0433" w:rsidRDefault="00937C74">
          <w:pPr>
            <w:pStyle w:val="Footer"/>
            <w:rPr>
              <w:rFonts w:ascii="Helvetica" w:hAnsi="Helvetica"/>
              <w:sz w:val="16"/>
            </w:rPr>
          </w:pPr>
          <w:r>
            <w:rPr>
              <w:rFonts w:ascii="Helvetica" w:hAnsi="Helvetica"/>
              <w:sz w:val="16"/>
            </w:rPr>
            <w:t>Office of</w:t>
          </w:r>
          <w:r>
            <w:rPr>
              <w:rFonts w:ascii="Helvetica" w:hAnsi="Helvetica"/>
              <w:sz w:val="16"/>
            </w:rPr>
            <w:t xml:space="preserve"> the Chief Information Officer </w:t>
          </w:r>
        </w:p>
      </w:tc>
      <w:tc>
        <w:tcPr>
          <w:tcW w:w="2748" w:type="dxa"/>
          <w:tcBorders>
            <w:left w:val="nil"/>
          </w:tcBorders>
        </w:tcPr>
        <w:p w:rsidR="00FF0433" w:rsidRDefault="00937C74">
          <w:pPr>
            <w:pStyle w:val="Footer"/>
            <w:rPr>
              <w:rFonts w:ascii="Helvetica" w:hAnsi="Helvetica"/>
              <w:sz w:val="16"/>
            </w:rPr>
          </w:pPr>
          <w:r>
            <w:rPr>
              <w:rFonts w:ascii="Helvetica" w:hAnsi="Helvetica"/>
              <w:sz w:val="16"/>
            </w:rPr>
            <w:t xml:space="preserve">Date: </w:t>
          </w:r>
        </w:p>
      </w:tc>
    </w:tr>
  </w:tbl>
  <w:p w:rsidR="00FF0433" w:rsidRDefault="00937C7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33" w:rsidRDefault="00937C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12137"/>
    <w:multiLevelType w:val="hybridMultilevel"/>
    <w:tmpl w:val="D6A4E778"/>
    <w:lvl w:ilvl="0" w:tplc="CE623114">
      <w:start w:val="1"/>
      <w:numFmt w:val="decimal"/>
      <w:lvlText w:val="%1."/>
      <w:lvlJc w:val="left"/>
      <w:pPr>
        <w:tabs>
          <w:tab w:val="num" w:pos="360"/>
        </w:tabs>
        <w:ind w:left="360" w:hanging="360"/>
      </w:pPr>
      <w:rPr>
        <w:rFonts w:ascii="Times New Roman" w:hAnsi="Times New Roman" w:hint="default"/>
        <w:b w:val="0"/>
        <w:i w:val="0"/>
        <w:sz w:val="24"/>
      </w:rPr>
    </w:lvl>
    <w:lvl w:ilvl="1" w:tplc="DD5C8DD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D848AB"/>
    <w:multiLevelType w:val="hybridMultilevel"/>
    <w:tmpl w:val="6C5EC94A"/>
    <w:lvl w:ilvl="0" w:tplc="A1FA7C86">
      <w:start w:val="1"/>
      <w:numFmt w:val="decimal"/>
      <w:lvlText w:val="%1."/>
      <w:lvlJc w:val="left"/>
      <w:pPr>
        <w:tabs>
          <w:tab w:val="num" w:pos="360"/>
        </w:tabs>
        <w:ind w:left="360" w:hanging="360"/>
      </w:pPr>
      <w:rPr>
        <w:rFonts w:hint="default"/>
      </w:rPr>
    </w:lvl>
    <w:lvl w:ilvl="1" w:tplc="05305AD0">
      <w:start w:val="1"/>
      <w:numFmt w:val="decimal"/>
      <w:lvlText w:val="%2."/>
      <w:lvlJc w:val="left"/>
      <w:pPr>
        <w:tabs>
          <w:tab w:val="num" w:pos="1440"/>
        </w:tabs>
        <w:ind w:left="1440" w:hanging="360"/>
      </w:pPr>
      <w:rPr>
        <w:rFonts w:hint="default"/>
      </w:rPr>
    </w:lvl>
    <w:lvl w:ilvl="2" w:tplc="D7964424">
      <w:start w:val="2"/>
      <w:numFmt w:val="upperLetter"/>
      <w:pStyle w:val="Heading1"/>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C74"/>
    <w:rsid w:val="00731A2D"/>
    <w:rsid w:val="00874328"/>
    <w:rsid w:val="00937C74"/>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C74"/>
    <w:pPr>
      <w:keepNext/>
      <w:numPr>
        <w:ilvl w:val="2"/>
        <w:numId w:val="2"/>
      </w:numPr>
      <w:outlineLvl w:val="0"/>
    </w:pPr>
    <w:rPr>
      <w:color w:val="000000"/>
      <w:sz w:val="24"/>
    </w:rPr>
  </w:style>
  <w:style w:type="paragraph" w:styleId="Heading2">
    <w:name w:val="heading 2"/>
    <w:basedOn w:val="Normal"/>
    <w:next w:val="Normal"/>
    <w:link w:val="Heading2Char"/>
    <w:qFormat/>
    <w:rsid w:val="00937C74"/>
    <w:pPr>
      <w:keepNext/>
      <w:spacing w:before="40" w:after="40"/>
      <w:outlineLvl w:val="1"/>
    </w:pPr>
    <w:rPr>
      <w:sz w:val="24"/>
    </w:rPr>
  </w:style>
  <w:style w:type="paragraph" w:styleId="Heading5">
    <w:name w:val="heading 5"/>
    <w:basedOn w:val="Normal"/>
    <w:next w:val="Normal"/>
    <w:link w:val="Heading5Char"/>
    <w:qFormat/>
    <w:rsid w:val="00937C74"/>
    <w:pPr>
      <w:keepNext/>
      <w:outlineLvl w:val="4"/>
    </w:pPr>
    <w:rPr>
      <w:b/>
      <w:bCs/>
      <w:sz w:val="24"/>
    </w:rPr>
  </w:style>
  <w:style w:type="paragraph" w:styleId="Heading6">
    <w:name w:val="heading 6"/>
    <w:basedOn w:val="Normal"/>
    <w:next w:val="Normal"/>
    <w:link w:val="Heading6Char"/>
    <w:qFormat/>
    <w:rsid w:val="00937C74"/>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C74"/>
    <w:rPr>
      <w:rFonts w:ascii="Times New Roman" w:eastAsia="Times New Roman" w:hAnsi="Times New Roman" w:cs="Times New Roman"/>
      <w:color w:val="000000"/>
      <w:sz w:val="24"/>
      <w:szCs w:val="20"/>
    </w:rPr>
  </w:style>
  <w:style w:type="character" w:customStyle="1" w:styleId="Heading2Char">
    <w:name w:val="Heading 2 Char"/>
    <w:basedOn w:val="DefaultParagraphFont"/>
    <w:link w:val="Heading2"/>
    <w:rsid w:val="00937C7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37C74"/>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937C74"/>
    <w:rPr>
      <w:rFonts w:ascii="Times New Roman" w:eastAsia="Times New Roman" w:hAnsi="Times New Roman" w:cs="Times New Roman"/>
      <w:b/>
      <w:bCs/>
      <w:sz w:val="24"/>
      <w:szCs w:val="20"/>
    </w:rPr>
  </w:style>
  <w:style w:type="paragraph" w:styleId="Header">
    <w:name w:val="header"/>
    <w:basedOn w:val="Normal"/>
    <w:link w:val="HeaderChar"/>
    <w:rsid w:val="00937C74"/>
    <w:pPr>
      <w:tabs>
        <w:tab w:val="center" w:pos="4320"/>
        <w:tab w:val="right" w:pos="8640"/>
      </w:tabs>
    </w:pPr>
  </w:style>
  <w:style w:type="character" w:customStyle="1" w:styleId="HeaderChar">
    <w:name w:val="Header Char"/>
    <w:basedOn w:val="DefaultParagraphFont"/>
    <w:link w:val="Header"/>
    <w:rsid w:val="00937C74"/>
    <w:rPr>
      <w:rFonts w:ascii="Times New Roman" w:eastAsia="Times New Roman" w:hAnsi="Times New Roman" w:cs="Times New Roman"/>
      <w:sz w:val="20"/>
      <w:szCs w:val="20"/>
    </w:rPr>
  </w:style>
  <w:style w:type="paragraph" w:styleId="Footer">
    <w:name w:val="footer"/>
    <w:basedOn w:val="Normal"/>
    <w:link w:val="FooterChar"/>
    <w:rsid w:val="00937C74"/>
    <w:pPr>
      <w:tabs>
        <w:tab w:val="center" w:pos="4320"/>
        <w:tab w:val="right" w:pos="8640"/>
      </w:tabs>
    </w:pPr>
  </w:style>
  <w:style w:type="character" w:customStyle="1" w:styleId="FooterChar">
    <w:name w:val="Footer Char"/>
    <w:basedOn w:val="DefaultParagraphFont"/>
    <w:link w:val="Footer"/>
    <w:rsid w:val="00937C74"/>
    <w:rPr>
      <w:rFonts w:ascii="Times New Roman" w:eastAsia="Times New Roman" w:hAnsi="Times New Roman" w:cs="Times New Roman"/>
      <w:sz w:val="20"/>
      <w:szCs w:val="20"/>
    </w:rPr>
  </w:style>
  <w:style w:type="paragraph" w:styleId="BodyTextIndent">
    <w:name w:val="Body Text Indent"/>
    <w:basedOn w:val="Normal"/>
    <w:link w:val="BodyTextIndentChar"/>
    <w:rsid w:val="00937C74"/>
    <w:pPr>
      <w:ind w:left="270"/>
    </w:pPr>
    <w:rPr>
      <w:color w:val="000000"/>
      <w:sz w:val="24"/>
    </w:rPr>
  </w:style>
  <w:style w:type="character" w:customStyle="1" w:styleId="BodyTextIndentChar">
    <w:name w:val="Body Text Indent Char"/>
    <w:basedOn w:val="DefaultParagraphFont"/>
    <w:link w:val="BodyTextIndent"/>
    <w:rsid w:val="00937C74"/>
    <w:rPr>
      <w:rFonts w:ascii="Times New Roman" w:eastAsia="Times New Roman" w:hAnsi="Times New Roman" w:cs="Times New Roman"/>
      <w:color w:val="000000"/>
      <w:sz w:val="24"/>
      <w:szCs w:val="20"/>
    </w:rPr>
  </w:style>
  <w:style w:type="paragraph" w:styleId="BodyText">
    <w:name w:val="Body Text"/>
    <w:basedOn w:val="Normal"/>
    <w:link w:val="BodyTextChar"/>
    <w:rsid w:val="00937C74"/>
    <w:pPr>
      <w:tabs>
        <w:tab w:val="left" w:pos="360"/>
        <w:tab w:val="left" w:pos="450"/>
      </w:tabs>
    </w:pPr>
    <w:rPr>
      <w:color w:val="000000"/>
      <w:sz w:val="24"/>
    </w:rPr>
  </w:style>
  <w:style w:type="character" w:customStyle="1" w:styleId="BodyTextChar">
    <w:name w:val="Body Text Char"/>
    <w:basedOn w:val="DefaultParagraphFont"/>
    <w:link w:val="BodyText"/>
    <w:rsid w:val="00937C74"/>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5182</Characters>
  <Application>Microsoft Office Word</Application>
  <DocSecurity>0</DocSecurity>
  <Lines>43</Lines>
  <Paragraphs>12</Paragraphs>
  <ScaleCrop>false</ScaleCrop>
  <Company>Housing and Urban Development</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1</cp:revision>
  <dcterms:created xsi:type="dcterms:W3CDTF">2010-11-29T18:48:00Z</dcterms:created>
  <dcterms:modified xsi:type="dcterms:W3CDTF">2010-11-29T18:49:00Z</dcterms:modified>
</cp:coreProperties>
</file>