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27" w:rsidRDefault="00D265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D26527" w:rsidRDefault="00D26527">
      <w:pPr>
        <w:pStyle w:val="Heading3"/>
      </w:pPr>
      <w:r>
        <w:t>Single Family Premium Collection Subsystem-Upfront</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Control Number 2502-0423</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D26527" w:rsidRDefault="00D26527">
      <w:pPr>
        <w:numPr>
          <w:ilvl w:val="0"/>
          <w:numId w:val="3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r>
        <w:rPr>
          <w:rFonts w:ascii="Helvetica" w:hAnsi="Helvetica"/>
          <w:b/>
          <w:sz w:val="24"/>
        </w:rPr>
        <w:t>Justi</w:t>
      </w:r>
      <w:r>
        <w:rPr>
          <w:rFonts w:ascii="Helvetica" w:hAnsi="Helvetica"/>
          <w:b/>
          <w:color w:val="000000"/>
          <w:sz w:val="24"/>
        </w:rPr>
        <w:t>fication</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Courier" w:hAnsi="Courier"/>
          <w:color w:val="000000"/>
          <w:sz w:val="24"/>
        </w:rPr>
      </w:pPr>
    </w:p>
    <w:p w:rsidR="00D26527" w:rsidRDefault="00D26527">
      <w:pPr>
        <w:pStyle w:val="BodyTextIndent2"/>
        <w:numPr>
          <w:ilvl w:val="1"/>
          <w:numId w:val="35"/>
        </w:numPr>
      </w:pPr>
      <w:r>
        <w:t>Regulations at 24 CFR 203.259a; 203.280; 203-281; and 203-283 authorize the collection, calculation, and refunds of a one-time mortgage insurance premium (MIP).  Lenders use the Single Family Premium Collection Subsystem-Upfront (SFPCS-U) to remit the upfront premium to obtain mortgage insurance for the homeowner.</w:t>
      </w:r>
    </w:p>
    <w:p w:rsidR="00D26527" w:rsidRDefault="00D26527">
      <w:pPr>
        <w:tabs>
          <w:tab w:val="left" w:pos="360"/>
        </w:tabs>
        <w:ind w:left="360" w:hanging="360"/>
        <w:rPr>
          <w:b/>
          <w:bCs/>
          <w:sz w:val="19"/>
          <w:szCs w:val="19"/>
        </w:rPr>
      </w:pPr>
    </w:p>
    <w:p w:rsidR="00A46E88" w:rsidRPr="00A46E88" w:rsidRDefault="00D26527" w:rsidP="00A46E88">
      <w:pPr>
        <w:pStyle w:val="BodyTextIndent"/>
        <w:numPr>
          <w:ilvl w:val="1"/>
          <w:numId w:val="35"/>
        </w:numPr>
        <w:tabs>
          <w:tab w:val="left" w:pos="-720"/>
          <w:tab w:val="left" w:pos="360"/>
        </w:tabs>
        <w:suppressAutoHyphens/>
      </w:pPr>
      <w:r w:rsidRPr="00A46E88">
        <w:rPr>
          <w:sz w:val="24"/>
        </w:rPr>
        <w:t>SFPCS-U strengthens HUD's ability to manage and process upfront single-family mortgage insurance premium collections and corrections to submit data.  It also improves data integrity for the Single Family Mortgage Insurance Program.  FHA approved lenders use Automated Clearing House (ACH) applications for all transmissions with SFPCS-U.  The collection of information is used to update HUD's Single Family Insurance System.  The information collection is also used in calculating refunds due to former FHA mortgagors when they apply for homeowner refunds of the unearned portion of the mortgage insurance premium, 24 CFR 203.283, as appropriate.  Without this information the premium collection/monitoring process would be severely impeded, and program data would be unreliable.  In general, lenders use the ACH applications to remit the upfront premium through SFPCS-U to obtain mortgage insurance for the homeowner.</w:t>
      </w:r>
      <w:r w:rsidR="00A46E88">
        <w:rPr>
          <w:sz w:val="24"/>
        </w:rPr>
        <w:t xml:space="preserve"> </w:t>
      </w:r>
    </w:p>
    <w:p w:rsidR="00D26527" w:rsidRDefault="00D26527">
      <w:pPr>
        <w:tabs>
          <w:tab w:val="left" w:pos="360"/>
        </w:tabs>
        <w:rPr>
          <w:sz w:val="19"/>
          <w:szCs w:val="19"/>
        </w:rPr>
      </w:pPr>
    </w:p>
    <w:p w:rsidR="0060462E" w:rsidRPr="0060462E" w:rsidRDefault="0060462E" w:rsidP="0060462E">
      <w:pPr>
        <w:numPr>
          <w:ilvl w:val="1"/>
          <w:numId w:val="35"/>
        </w:numPr>
        <w:rPr>
          <w:color w:val="1F497D"/>
          <w:sz w:val="24"/>
          <w:szCs w:val="24"/>
        </w:rPr>
      </w:pPr>
      <w:r>
        <w:rPr>
          <w:sz w:val="24"/>
          <w:szCs w:val="24"/>
        </w:rPr>
        <w:t xml:space="preserve"> </w:t>
      </w:r>
      <w:r w:rsidR="00A97FBA" w:rsidRPr="00A97FBA">
        <w:rPr>
          <w:sz w:val="24"/>
          <w:szCs w:val="24"/>
        </w:rPr>
        <w:t xml:space="preserve">Pay.gov was developed to meet the commitment of the United States federal government and the U.S. Department of the Treasury's Financial Management Service to process collections electronically using Internet technologies. Pay.gov satisfies the demands of agencies and consumers for electronic alternatives by providing the ability to complete forms, make payments, and submit queries 24 hours a day electronically. </w:t>
      </w:r>
      <w:r w:rsidRPr="0060462E">
        <w:rPr>
          <w:sz w:val="24"/>
          <w:szCs w:val="24"/>
        </w:rPr>
        <w:t xml:space="preserve">This modification of the existing process was made in response to the Department of the Treasury’s mandate for all agencies to switch from their current lockbox services to Treasury’s Pay.gov collection service.  </w:t>
      </w:r>
    </w:p>
    <w:p w:rsidR="0060462E" w:rsidRDefault="0060462E" w:rsidP="0060462E">
      <w:pPr>
        <w:pStyle w:val="ListParagraph"/>
        <w:rPr>
          <w:color w:val="1F497D"/>
          <w:sz w:val="24"/>
          <w:szCs w:val="24"/>
        </w:rPr>
      </w:pPr>
    </w:p>
    <w:p w:rsidR="00D26527" w:rsidRPr="00A97FBA" w:rsidRDefault="00D26527">
      <w:pPr>
        <w:pStyle w:val="BodyTextIndent"/>
        <w:keepLines w:val="0"/>
        <w:numPr>
          <w:ilvl w:val="1"/>
          <w:numId w:val="35"/>
        </w:numPr>
        <w:tabs>
          <w:tab w:val="left" w:pos="-720"/>
          <w:tab w:val="left" w:pos="0"/>
        </w:tabs>
        <w:suppressAutoHyphens/>
        <w:spacing w:after="0"/>
        <w:rPr>
          <w:sz w:val="24"/>
          <w:szCs w:val="24"/>
        </w:rPr>
      </w:pPr>
      <w:r w:rsidRPr="00A97FBA">
        <w:rPr>
          <w:sz w:val="24"/>
          <w:szCs w:val="24"/>
        </w:rPr>
        <w:t xml:space="preserve">The number of respondents is </w:t>
      </w:r>
      <w:r w:rsidR="00F535CE" w:rsidRPr="00A97FBA">
        <w:rPr>
          <w:sz w:val="24"/>
          <w:szCs w:val="24"/>
        </w:rPr>
        <w:t xml:space="preserve">4,016 </w:t>
      </w:r>
      <w:r w:rsidR="003B734A" w:rsidRPr="00A97FBA">
        <w:rPr>
          <w:sz w:val="24"/>
          <w:szCs w:val="24"/>
        </w:rPr>
        <w:t>(</w:t>
      </w:r>
      <w:r w:rsidRPr="00A97FBA">
        <w:rPr>
          <w:sz w:val="24"/>
          <w:szCs w:val="24"/>
        </w:rPr>
        <w:t>lenders sign up and use the ACH applications</w:t>
      </w:r>
      <w:r w:rsidR="003B734A" w:rsidRPr="00A97FBA">
        <w:rPr>
          <w:sz w:val="24"/>
          <w:szCs w:val="24"/>
        </w:rPr>
        <w:t>)</w:t>
      </w:r>
      <w:r w:rsidRPr="00A97FBA">
        <w:rPr>
          <w:sz w:val="24"/>
          <w:szCs w:val="24"/>
        </w:rPr>
        <w:t xml:space="preserve"> and the frequency of response is on occasion, at the mortgage closing.  Since remittances are made through ACH the upfront remittance is submitted electronically and there is no paperwork to complete and mail-in.  There are approximately </w:t>
      </w:r>
      <w:r w:rsidR="003B734A" w:rsidRPr="00A97FBA">
        <w:rPr>
          <w:sz w:val="24"/>
          <w:szCs w:val="24"/>
        </w:rPr>
        <w:t>48,192</w:t>
      </w:r>
      <w:r w:rsidRPr="00A97FBA">
        <w:rPr>
          <w:sz w:val="24"/>
          <w:szCs w:val="24"/>
        </w:rPr>
        <w:t xml:space="preserve"> responses per year. </w:t>
      </w:r>
      <w:r w:rsidR="00A46E88" w:rsidRPr="00A46E88">
        <w:rPr>
          <w:sz w:val="24"/>
        </w:rPr>
        <w:t>There is a</w:t>
      </w:r>
      <w:r w:rsidR="00692860">
        <w:rPr>
          <w:sz w:val="24"/>
        </w:rPr>
        <w:t xml:space="preserve"> decrease</w:t>
      </w:r>
      <w:r w:rsidR="00A46E88" w:rsidRPr="00A46E88">
        <w:rPr>
          <w:sz w:val="24"/>
        </w:rPr>
        <w:t xml:space="preserve"> in the number of lenders </w:t>
      </w:r>
      <w:r w:rsidR="00692860">
        <w:rPr>
          <w:sz w:val="24"/>
        </w:rPr>
        <w:t xml:space="preserve">responding due to the </w:t>
      </w:r>
      <w:r w:rsidR="00692860" w:rsidRPr="00692860">
        <w:rPr>
          <w:sz w:val="24"/>
          <w:szCs w:val="24"/>
        </w:rPr>
        <w:t xml:space="preserve">recent down turn in the mortgage banking industry </w:t>
      </w:r>
      <w:r w:rsidR="000E5657">
        <w:rPr>
          <w:sz w:val="24"/>
          <w:szCs w:val="24"/>
        </w:rPr>
        <w:t xml:space="preserve">because of </w:t>
      </w:r>
      <w:r w:rsidR="00692860" w:rsidRPr="00692860">
        <w:rPr>
          <w:sz w:val="24"/>
          <w:szCs w:val="24"/>
        </w:rPr>
        <w:t>excessive foreclosures as a result of high interest rates and unemployment</w:t>
      </w:r>
      <w:r w:rsidR="000E5657">
        <w:rPr>
          <w:sz w:val="24"/>
          <w:szCs w:val="24"/>
        </w:rPr>
        <w:t xml:space="preserve">. </w:t>
      </w:r>
      <w:r w:rsidR="00692860" w:rsidRPr="00F43104">
        <w:t xml:space="preserve"> </w:t>
      </w:r>
      <w:r w:rsidR="000E5657" w:rsidRPr="000E5657">
        <w:rPr>
          <w:sz w:val="22"/>
          <w:szCs w:val="22"/>
        </w:rPr>
        <w:t>However</w:t>
      </w:r>
      <w:r w:rsidR="000E5657">
        <w:t xml:space="preserve">, </w:t>
      </w:r>
      <w:r w:rsidR="00A46E88" w:rsidRPr="00A46E88">
        <w:rPr>
          <w:sz w:val="24"/>
        </w:rPr>
        <w:t>there has been growth in the number of refinance loans due to the lower interest rates</w:t>
      </w:r>
      <w:r w:rsidR="000E5657">
        <w:rPr>
          <w:sz w:val="24"/>
        </w:rPr>
        <w:t xml:space="preserve"> and the current homeowner incentive programs</w:t>
      </w:r>
      <w:r w:rsidR="00A46E88" w:rsidRPr="00A46E88">
        <w:rPr>
          <w:sz w:val="24"/>
        </w:rPr>
        <w:t xml:space="preserve">.  HUD has decreased its estimate of burden hours per response because the transactions are all electronic.  </w:t>
      </w:r>
    </w:p>
    <w:p w:rsidR="00D26527" w:rsidRDefault="00D26527">
      <w:pPr>
        <w:tabs>
          <w:tab w:val="left" w:pos="360"/>
        </w:tabs>
        <w:rPr>
          <w:sz w:val="19"/>
          <w:szCs w:val="19"/>
        </w:rPr>
      </w:pPr>
    </w:p>
    <w:p w:rsidR="00D26527" w:rsidRDefault="00D26527">
      <w:pPr>
        <w:numPr>
          <w:ilvl w:val="1"/>
          <w:numId w:val="35"/>
        </w:numPr>
        <w:tabs>
          <w:tab w:val="left" w:pos="-720"/>
          <w:tab w:val="left" w:pos="0"/>
        </w:tabs>
        <w:suppressAutoHyphens/>
        <w:rPr>
          <w:sz w:val="24"/>
          <w:szCs w:val="19"/>
        </w:rPr>
      </w:pPr>
      <w:r>
        <w:rPr>
          <w:sz w:val="24"/>
          <w:szCs w:val="19"/>
        </w:rPr>
        <w:t>No duplicate data exits.  The data is not available from other sources.</w:t>
      </w:r>
    </w:p>
    <w:p w:rsidR="00D26527" w:rsidRDefault="00D26527">
      <w:pPr>
        <w:tabs>
          <w:tab w:val="left" w:pos="360"/>
        </w:tabs>
        <w:rPr>
          <w:sz w:val="19"/>
          <w:szCs w:val="19"/>
        </w:rPr>
      </w:pPr>
    </w:p>
    <w:p w:rsidR="00D26527" w:rsidRDefault="00D26527">
      <w:pPr>
        <w:numPr>
          <w:ilvl w:val="1"/>
          <w:numId w:val="35"/>
        </w:numPr>
        <w:tabs>
          <w:tab w:val="left" w:pos="720"/>
        </w:tabs>
        <w:rPr>
          <w:sz w:val="24"/>
          <w:szCs w:val="19"/>
        </w:rPr>
      </w:pPr>
      <w:r>
        <w:rPr>
          <w:sz w:val="24"/>
          <w:szCs w:val="19"/>
        </w:rPr>
        <w:t>There is no impact on small businesses or other small entities.</w:t>
      </w:r>
    </w:p>
    <w:p w:rsidR="00D26527" w:rsidRDefault="00D26527">
      <w:pPr>
        <w:tabs>
          <w:tab w:val="left" w:pos="360"/>
        </w:tabs>
        <w:ind w:left="360"/>
        <w:rPr>
          <w:sz w:val="24"/>
          <w:szCs w:val="19"/>
        </w:rPr>
      </w:pPr>
    </w:p>
    <w:p w:rsidR="00D26527" w:rsidRDefault="00D26527">
      <w:pPr>
        <w:numPr>
          <w:ilvl w:val="1"/>
          <w:numId w:val="35"/>
        </w:numPr>
        <w:tabs>
          <w:tab w:val="left" w:pos="-720"/>
          <w:tab w:val="left" w:pos="0"/>
        </w:tabs>
        <w:suppressAutoHyphens/>
        <w:rPr>
          <w:b/>
          <w:bCs/>
          <w:sz w:val="24"/>
          <w:szCs w:val="19"/>
        </w:rPr>
      </w:pPr>
      <w:r>
        <w:rPr>
          <w:sz w:val="24"/>
          <w:szCs w:val="19"/>
        </w:rPr>
        <w:t>The information collection is required of the remitting mortgagee and shall accompany all upfront payments sent to HUD through ACH and collected and reported by SFPCS-U.  If this information collection is not conducted or is conducted less frequently, the consequence to the single-family mortgage insurance program is that incomplete and/or inaccurate data may delay endorsement of the FHA case involved.</w:t>
      </w:r>
      <w:r>
        <w:rPr>
          <w:b/>
          <w:bCs/>
          <w:sz w:val="24"/>
          <w:szCs w:val="19"/>
        </w:rPr>
        <w:t xml:space="preserve"> </w:t>
      </w:r>
    </w:p>
    <w:p w:rsidR="00D26527" w:rsidRDefault="00D26527">
      <w:pPr>
        <w:tabs>
          <w:tab w:val="left" w:pos="-720"/>
          <w:tab w:val="left" w:pos="0"/>
        </w:tabs>
        <w:suppressAutoHyphens/>
        <w:rPr>
          <w:b/>
          <w:bCs/>
          <w:sz w:val="19"/>
          <w:szCs w:val="19"/>
        </w:rPr>
      </w:pPr>
    </w:p>
    <w:p w:rsidR="00D26527" w:rsidRDefault="00D26527">
      <w:pPr>
        <w:numPr>
          <w:ilvl w:val="1"/>
          <w:numId w:val="35"/>
        </w:numPr>
        <w:tabs>
          <w:tab w:val="left" w:pos="-720"/>
          <w:tab w:val="left" w:pos="0"/>
        </w:tabs>
        <w:suppressAutoHyphens/>
        <w:rPr>
          <w:sz w:val="24"/>
          <w:szCs w:val="19"/>
        </w:rPr>
      </w:pPr>
      <w:r>
        <w:rPr>
          <w:sz w:val="24"/>
          <w:szCs w:val="19"/>
        </w:rPr>
        <w:t xml:space="preserve">Mortgagees are required by 24 CFR 203.280 to provide the required information when the upfront mortgage insurance premium is due to the Department, which is the time of settlement when the FHA mortgage closes.  </w:t>
      </w:r>
    </w:p>
    <w:p w:rsidR="00D26527" w:rsidRDefault="00D26527">
      <w:pPr>
        <w:tabs>
          <w:tab w:val="left" w:pos="360"/>
        </w:tabs>
        <w:ind w:left="360"/>
        <w:rPr>
          <w:sz w:val="24"/>
          <w:szCs w:val="19"/>
        </w:rPr>
      </w:pPr>
    </w:p>
    <w:p w:rsidR="00D26527" w:rsidRDefault="00D26527">
      <w:pPr>
        <w:numPr>
          <w:ilvl w:val="1"/>
          <w:numId w:val="35"/>
        </w:numPr>
        <w:tabs>
          <w:tab w:val="left" w:pos="-720"/>
          <w:tab w:val="left" w:pos="0"/>
        </w:tabs>
        <w:suppressAutoHyphens/>
        <w:rPr>
          <w:sz w:val="24"/>
          <w:szCs w:val="19"/>
        </w:rPr>
      </w:pPr>
      <w:r>
        <w:rPr>
          <w:sz w:val="24"/>
          <w:szCs w:val="19"/>
        </w:rPr>
        <w:lastRenderedPageBreak/>
        <w:t xml:space="preserve">In accordance with 5 C.F.R. 1320(8)(d), the agency’s notice soliciting public comments for the information collection was published in the </w:t>
      </w:r>
      <w:r>
        <w:rPr>
          <w:sz w:val="24"/>
          <w:szCs w:val="19"/>
          <w:u w:val="single"/>
        </w:rPr>
        <w:t>Federal Register</w:t>
      </w:r>
      <w:r>
        <w:rPr>
          <w:sz w:val="24"/>
          <w:szCs w:val="19"/>
        </w:rPr>
        <w:t xml:space="preserve"> on December 27, 2006 (Vo1 71, No. 248, page 77776).  No comments were received.  </w:t>
      </w:r>
    </w:p>
    <w:p w:rsidR="00D26527" w:rsidRDefault="00D26527">
      <w:pPr>
        <w:tabs>
          <w:tab w:val="left" w:pos="-720"/>
          <w:tab w:val="left" w:pos="0"/>
        </w:tabs>
        <w:suppressAutoHyphens/>
        <w:ind w:left="720"/>
        <w:rPr>
          <w:sz w:val="24"/>
          <w:szCs w:val="19"/>
        </w:rPr>
      </w:pPr>
    </w:p>
    <w:p w:rsidR="00D26527" w:rsidRDefault="00D26527">
      <w:pPr>
        <w:numPr>
          <w:ilvl w:val="1"/>
          <w:numId w:val="35"/>
        </w:numPr>
        <w:tabs>
          <w:tab w:val="left" w:pos="720"/>
        </w:tabs>
        <w:rPr>
          <w:sz w:val="24"/>
          <w:szCs w:val="19"/>
        </w:rPr>
      </w:pPr>
      <w:r>
        <w:rPr>
          <w:sz w:val="24"/>
          <w:szCs w:val="19"/>
        </w:rPr>
        <w:t>No gift or payment is provided to respondents.</w:t>
      </w:r>
    </w:p>
    <w:p w:rsidR="00D26527" w:rsidRDefault="00D26527">
      <w:pPr>
        <w:tabs>
          <w:tab w:val="left" w:pos="360"/>
        </w:tabs>
        <w:rPr>
          <w:sz w:val="24"/>
          <w:szCs w:val="19"/>
        </w:rPr>
      </w:pPr>
    </w:p>
    <w:p w:rsidR="00D26527" w:rsidRDefault="00D26527">
      <w:pPr>
        <w:numPr>
          <w:ilvl w:val="1"/>
          <w:numId w:val="35"/>
        </w:numPr>
        <w:tabs>
          <w:tab w:val="left" w:pos="-720"/>
          <w:tab w:val="left" w:pos="0"/>
        </w:tabs>
        <w:suppressAutoHyphens/>
        <w:jc w:val="both"/>
        <w:rPr>
          <w:sz w:val="24"/>
          <w:szCs w:val="19"/>
        </w:rPr>
      </w:pPr>
      <w:r>
        <w:rPr>
          <w:sz w:val="24"/>
          <w:szCs w:val="19"/>
        </w:rPr>
        <w:t>Confidentiality is not an issue for the data involved.</w:t>
      </w:r>
    </w:p>
    <w:p w:rsidR="00D26527" w:rsidRDefault="00D26527">
      <w:pPr>
        <w:tabs>
          <w:tab w:val="left" w:pos="360"/>
        </w:tabs>
        <w:rPr>
          <w:sz w:val="24"/>
          <w:szCs w:val="19"/>
        </w:rPr>
      </w:pPr>
    </w:p>
    <w:p w:rsidR="00D26527" w:rsidRPr="00A16CB0" w:rsidRDefault="00D26527">
      <w:pPr>
        <w:numPr>
          <w:ilvl w:val="1"/>
          <w:numId w:val="35"/>
        </w:numPr>
        <w:tabs>
          <w:tab w:val="left" w:pos="720"/>
        </w:tabs>
        <w:rPr>
          <w:sz w:val="19"/>
          <w:szCs w:val="19"/>
        </w:rPr>
      </w:pPr>
      <w:r>
        <w:rPr>
          <w:sz w:val="24"/>
          <w:szCs w:val="19"/>
        </w:rPr>
        <w:t>No questions of a sensitive nature are involved.</w:t>
      </w:r>
    </w:p>
    <w:p w:rsidR="00A16CB0" w:rsidRDefault="00A16CB0" w:rsidP="00A16CB0">
      <w:pPr>
        <w:pStyle w:val="ListParagraph"/>
        <w:rPr>
          <w:sz w:val="19"/>
          <w:szCs w:val="19"/>
        </w:rPr>
      </w:pPr>
    </w:p>
    <w:p w:rsidR="00A16CB0" w:rsidRDefault="00A16CB0" w:rsidP="00A16CB0">
      <w:pPr>
        <w:tabs>
          <w:tab w:val="left" w:pos="720"/>
        </w:tabs>
        <w:rPr>
          <w:sz w:val="19"/>
          <w:szCs w:val="19"/>
        </w:rPr>
      </w:pPr>
    </w:p>
    <w:p w:rsidR="00D26527" w:rsidRDefault="00D26527">
      <w:pPr>
        <w:tabs>
          <w:tab w:val="left" w:pos="360"/>
        </w:tabs>
        <w:rPr>
          <w:sz w:val="19"/>
          <w:szCs w:val="19"/>
        </w:rPr>
      </w:pPr>
    </w:p>
    <w:p w:rsidR="00D168B0" w:rsidRDefault="00D26527">
      <w:pPr>
        <w:keepNext/>
        <w:numPr>
          <w:ilvl w:val="1"/>
          <w:numId w:val="35"/>
        </w:numPr>
        <w:tabs>
          <w:tab w:val="left" w:pos="-720"/>
          <w:tab w:val="left" w:pos="0"/>
        </w:tabs>
        <w:suppressAutoHyphens/>
        <w:rPr>
          <w:sz w:val="24"/>
          <w:szCs w:val="19"/>
        </w:rPr>
      </w:pPr>
      <w:r>
        <w:rPr>
          <w:sz w:val="24"/>
        </w:rPr>
        <w:t>Estimate of public burden:</w:t>
      </w:r>
      <w:r>
        <w:rPr>
          <w:sz w:val="24"/>
          <w:szCs w:val="19"/>
        </w:rPr>
        <w:t xml:space="preserve">  </w:t>
      </w:r>
    </w:p>
    <w:tbl>
      <w:tblPr>
        <w:tblW w:w="1054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8"/>
        <w:gridCol w:w="1509"/>
        <w:gridCol w:w="1348"/>
        <w:gridCol w:w="1344"/>
        <w:gridCol w:w="1248"/>
        <w:gridCol w:w="1358"/>
        <w:gridCol w:w="1430"/>
        <w:gridCol w:w="1188"/>
      </w:tblGrid>
      <w:tr w:rsidR="00D168B0" w:rsidTr="00D168B0">
        <w:tc>
          <w:tcPr>
            <w:tcW w:w="1118"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Information Collection</w:t>
            </w:r>
          </w:p>
        </w:tc>
        <w:tc>
          <w:tcPr>
            <w:tcW w:w="1509"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Number of Respondents</w:t>
            </w:r>
          </w:p>
        </w:tc>
        <w:tc>
          <w:tcPr>
            <w:tcW w:w="1348"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Frequency of Response</w:t>
            </w:r>
          </w:p>
        </w:tc>
        <w:tc>
          <w:tcPr>
            <w:tcW w:w="1344"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Responses Per Annum</w:t>
            </w:r>
          </w:p>
        </w:tc>
        <w:tc>
          <w:tcPr>
            <w:tcW w:w="1248" w:type="dxa"/>
            <w:tcBorders>
              <w:top w:val="single" w:sz="4" w:space="0" w:color="auto"/>
              <w:left w:val="single" w:sz="4" w:space="0" w:color="auto"/>
              <w:bottom w:val="single" w:sz="4" w:space="0" w:color="auto"/>
              <w:right w:val="single" w:sz="4" w:space="0" w:color="auto"/>
            </w:tcBorders>
            <w:vAlign w:val="center"/>
            <w:hideMark/>
          </w:tcPr>
          <w:p w:rsidR="00D168B0" w:rsidRDefault="00D168B0">
            <w:pPr>
              <w:spacing w:after="60"/>
              <w:jc w:val="center"/>
              <w:rPr>
                <w:rFonts w:ascii="Arial" w:hAnsi="Arial" w:cs="Arial"/>
                <w:sz w:val="18"/>
              </w:rPr>
            </w:pPr>
            <w:r>
              <w:rPr>
                <w:rFonts w:ascii="Arial" w:hAnsi="Arial" w:cs="Arial"/>
                <w:sz w:val="18"/>
              </w:rPr>
              <w:t>Burden Per Response</w:t>
            </w:r>
          </w:p>
        </w:tc>
        <w:tc>
          <w:tcPr>
            <w:tcW w:w="1358"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Annual Burden Hours</w:t>
            </w:r>
          </w:p>
        </w:tc>
        <w:tc>
          <w:tcPr>
            <w:tcW w:w="1430"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Hourly Cost Per Response</w:t>
            </w:r>
          </w:p>
        </w:tc>
        <w:tc>
          <w:tcPr>
            <w:tcW w:w="1188" w:type="dxa"/>
            <w:tcBorders>
              <w:top w:val="single" w:sz="4" w:space="0" w:color="auto"/>
              <w:left w:val="single" w:sz="4" w:space="0" w:color="auto"/>
              <w:bottom w:val="single" w:sz="4" w:space="0" w:color="auto"/>
              <w:right w:val="single" w:sz="4" w:space="0" w:color="auto"/>
            </w:tcBorders>
            <w:vAlign w:val="center"/>
            <w:hideMark/>
          </w:tcPr>
          <w:p w:rsidR="00D168B0" w:rsidRDefault="00D168B0">
            <w:pPr>
              <w:jc w:val="center"/>
              <w:rPr>
                <w:rFonts w:ascii="Arial" w:hAnsi="Arial" w:cs="Arial"/>
                <w:sz w:val="18"/>
              </w:rPr>
            </w:pPr>
            <w:r>
              <w:rPr>
                <w:rFonts w:ascii="Arial" w:hAnsi="Arial" w:cs="Arial"/>
                <w:sz w:val="18"/>
              </w:rPr>
              <w:t>Annual Cost</w:t>
            </w:r>
          </w:p>
        </w:tc>
      </w:tr>
      <w:tr w:rsidR="00D168B0" w:rsidTr="00D168B0">
        <w:tc>
          <w:tcPr>
            <w:tcW w:w="1118"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rPr>
                <w:rFonts w:ascii="Arial" w:hAnsi="Arial" w:cs="Arial"/>
                <w:sz w:val="18"/>
              </w:rPr>
            </w:pPr>
            <w:r>
              <w:rPr>
                <w:rFonts w:ascii="Arial" w:hAnsi="Arial" w:cs="Arial"/>
                <w:sz w:val="18"/>
              </w:rPr>
              <w:t>MIP’s</w:t>
            </w:r>
          </w:p>
        </w:tc>
        <w:tc>
          <w:tcPr>
            <w:tcW w:w="1509"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4,016</w:t>
            </w:r>
          </w:p>
        </w:tc>
        <w:tc>
          <w:tcPr>
            <w:tcW w:w="1348"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12</w:t>
            </w:r>
          </w:p>
        </w:tc>
        <w:tc>
          <w:tcPr>
            <w:tcW w:w="1344"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48,192</w:t>
            </w:r>
          </w:p>
        </w:tc>
        <w:tc>
          <w:tcPr>
            <w:tcW w:w="1248"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.15</w:t>
            </w:r>
          </w:p>
        </w:tc>
        <w:tc>
          <w:tcPr>
            <w:tcW w:w="1358"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7,229</w:t>
            </w:r>
          </w:p>
        </w:tc>
        <w:tc>
          <w:tcPr>
            <w:tcW w:w="1430"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16.00</w:t>
            </w:r>
          </w:p>
        </w:tc>
        <w:tc>
          <w:tcPr>
            <w:tcW w:w="1188" w:type="dxa"/>
            <w:tcBorders>
              <w:top w:val="single" w:sz="4" w:space="0" w:color="auto"/>
              <w:left w:val="single" w:sz="4" w:space="0" w:color="auto"/>
              <w:bottom w:val="single" w:sz="4" w:space="0" w:color="auto"/>
              <w:right w:val="single" w:sz="4" w:space="0" w:color="auto"/>
            </w:tcBorders>
            <w:hideMark/>
          </w:tcPr>
          <w:p w:rsidR="00D168B0" w:rsidRDefault="00D168B0">
            <w:pPr>
              <w:spacing w:line="240" w:lineRule="exact"/>
              <w:jc w:val="center"/>
              <w:rPr>
                <w:rFonts w:ascii="Arial" w:hAnsi="Arial" w:cs="Arial"/>
                <w:sz w:val="18"/>
              </w:rPr>
            </w:pPr>
            <w:r>
              <w:rPr>
                <w:rFonts w:ascii="Arial" w:hAnsi="Arial" w:cs="Arial"/>
                <w:sz w:val="18"/>
              </w:rPr>
              <w:t>115,664.00</w:t>
            </w:r>
          </w:p>
        </w:tc>
      </w:tr>
      <w:tr w:rsidR="003B734A" w:rsidTr="00D168B0">
        <w:tc>
          <w:tcPr>
            <w:tcW w:w="1118"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rPr>
                <w:rFonts w:ascii="Arial" w:hAnsi="Arial" w:cs="Arial"/>
                <w:sz w:val="18"/>
              </w:rPr>
            </w:pPr>
          </w:p>
        </w:tc>
        <w:tc>
          <w:tcPr>
            <w:tcW w:w="1509"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348"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344"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248"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358"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430"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c>
          <w:tcPr>
            <w:tcW w:w="1188" w:type="dxa"/>
            <w:tcBorders>
              <w:top w:val="single" w:sz="4" w:space="0" w:color="auto"/>
              <w:left w:val="single" w:sz="4" w:space="0" w:color="auto"/>
              <w:bottom w:val="single" w:sz="4" w:space="0" w:color="auto"/>
              <w:right w:val="single" w:sz="4" w:space="0" w:color="auto"/>
            </w:tcBorders>
            <w:hideMark/>
          </w:tcPr>
          <w:p w:rsidR="003B734A" w:rsidRDefault="003B734A">
            <w:pPr>
              <w:spacing w:line="240" w:lineRule="exact"/>
              <w:jc w:val="center"/>
              <w:rPr>
                <w:rFonts w:ascii="Arial" w:hAnsi="Arial" w:cs="Arial"/>
                <w:sz w:val="18"/>
              </w:rPr>
            </w:pPr>
          </w:p>
        </w:tc>
      </w:tr>
    </w:tbl>
    <w:p w:rsidR="00D26527" w:rsidRDefault="00212EB4">
      <w:pPr>
        <w:tabs>
          <w:tab w:val="left" w:pos="-720"/>
          <w:tab w:val="left" w:pos="0"/>
        </w:tabs>
        <w:suppressAutoHyphens/>
        <w:ind w:left="360"/>
        <w:rPr>
          <w:sz w:val="19"/>
          <w:szCs w:val="19"/>
        </w:rPr>
      </w:pPr>
      <w:r>
        <w:rPr>
          <w:sz w:val="19"/>
          <w:szCs w:val="19"/>
        </w:rPr>
        <w:t>Hourly rate is based on an estimate of the annual salary of the lender’s clerical staff at $33,280.00.</w:t>
      </w:r>
    </w:p>
    <w:p w:rsidR="00212EB4" w:rsidRDefault="00212EB4">
      <w:pPr>
        <w:tabs>
          <w:tab w:val="left" w:pos="-720"/>
          <w:tab w:val="left" w:pos="0"/>
        </w:tabs>
        <w:suppressAutoHyphens/>
        <w:ind w:left="360"/>
        <w:rPr>
          <w:sz w:val="19"/>
          <w:szCs w:val="19"/>
        </w:rPr>
      </w:pPr>
    </w:p>
    <w:p w:rsidR="00A16CB0" w:rsidRPr="00A16CB0" w:rsidRDefault="00D26527" w:rsidP="00D168B0">
      <w:pPr>
        <w:numPr>
          <w:ilvl w:val="1"/>
          <w:numId w:val="35"/>
        </w:numPr>
        <w:tabs>
          <w:tab w:val="left" w:pos="360"/>
        </w:tabs>
        <w:suppressAutoHyphens/>
        <w:rPr>
          <w:caps/>
          <w:sz w:val="19"/>
          <w:szCs w:val="19"/>
        </w:rPr>
      </w:pPr>
      <w:r w:rsidRPr="00A16CB0">
        <w:rPr>
          <w:sz w:val="24"/>
          <w:szCs w:val="19"/>
        </w:rPr>
        <w:t>There are no additional costs to the respondents.</w:t>
      </w:r>
      <w:r w:rsidR="00A16CB0">
        <w:rPr>
          <w:sz w:val="24"/>
          <w:szCs w:val="19"/>
        </w:rPr>
        <w:t xml:space="preserve">  </w:t>
      </w:r>
    </w:p>
    <w:p w:rsidR="00A16CB0" w:rsidRPr="00A16CB0" w:rsidRDefault="00A16CB0" w:rsidP="00A16CB0">
      <w:pPr>
        <w:suppressAutoHyphens/>
        <w:rPr>
          <w:caps/>
          <w:sz w:val="19"/>
          <w:szCs w:val="19"/>
        </w:rPr>
      </w:pPr>
    </w:p>
    <w:p w:rsidR="00D168B0" w:rsidRPr="00A16CB0" w:rsidRDefault="00D168B0" w:rsidP="00D168B0">
      <w:pPr>
        <w:numPr>
          <w:ilvl w:val="1"/>
          <w:numId w:val="35"/>
        </w:numPr>
        <w:tabs>
          <w:tab w:val="left" w:pos="360"/>
        </w:tabs>
        <w:suppressAutoHyphens/>
        <w:rPr>
          <w:caps/>
          <w:sz w:val="24"/>
          <w:szCs w:val="24"/>
        </w:rPr>
      </w:pPr>
      <w:r w:rsidRPr="00A16CB0">
        <w:rPr>
          <w:sz w:val="24"/>
          <w:szCs w:val="24"/>
        </w:rPr>
        <w:t xml:space="preserve">Federal Government Costs:  None.  </w:t>
      </w:r>
      <w:r w:rsidRPr="00A16CB0">
        <w:rPr>
          <w:caps/>
          <w:sz w:val="24"/>
          <w:szCs w:val="24"/>
        </w:rPr>
        <w:t>tREASURY ESTIMATED WE SAVED THEM $4 MILLION ANNUALLY.</w:t>
      </w:r>
    </w:p>
    <w:p w:rsidR="00D168B0" w:rsidRDefault="00D168B0">
      <w:pPr>
        <w:tabs>
          <w:tab w:val="left" w:pos="360"/>
        </w:tabs>
        <w:rPr>
          <w:sz w:val="19"/>
          <w:szCs w:val="19"/>
        </w:rPr>
      </w:pPr>
    </w:p>
    <w:p w:rsidR="00E72438" w:rsidRPr="00E72438" w:rsidRDefault="005777BE" w:rsidP="00E72438">
      <w:pPr>
        <w:numPr>
          <w:ilvl w:val="1"/>
          <w:numId w:val="35"/>
        </w:numPr>
        <w:tabs>
          <w:tab w:val="left" w:pos="-720"/>
          <w:tab w:val="left" w:pos="360"/>
        </w:tabs>
        <w:suppressAutoHyphens/>
        <w:rPr>
          <w:sz w:val="19"/>
          <w:szCs w:val="19"/>
        </w:rPr>
      </w:pPr>
      <w:r>
        <w:rPr>
          <w:sz w:val="24"/>
          <w:szCs w:val="19"/>
        </w:rPr>
        <w:t xml:space="preserve">This is a revision </w:t>
      </w:r>
      <w:r w:rsidR="00D26527" w:rsidRPr="00E72438">
        <w:rPr>
          <w:sz w:val="24"/>
          <w:szCs w:val="19"/>
        </w:rPr>
        <w:t xml:space="preserve">of a currently approved collection.  There is an increase in the number of lenders to account for all FHA-approved lenders.  Additionally, there has been growth in the number of refinance loans due to the lower interest rates.  HUD has decreased its estimate of burden hours per response because the transactions are all electronic.  </w:t>
      </w:r>
    </w:p>
    <w:p w:rsidR="00E72438" w:rsidRDefault="00E72438" w:rsidP="00E72438">
      <w:pPr>
        <w:tabs>
          <w:tab w:val="left" w:pos="-720"/>
          <w:tab w:val="left" w:pos="0"/>
        </w:tabs>
        <w:suppressAutoHyphens/>
        <w:rPr>
          <w:sz w:val="24"/>
          <w:szCs w:val="19"/>
        </w:rPr>
      </w:pPr>
    </w:p>
    <w:p w:rsidR="00D26527" w:rsidRDefault="00D26527">
      <w:pPr>
        <w:numPr>
          <w:ilvl w:val="1"/>
          <w:numId w:val="35"/>
        </w:numPr>
        <w:tabs>
          <w:tab w:val="left" w:pos="-720"/>
          <w:tab w:val="left" w:pos="0"/>
        </w:tabs>
        <w:suppressAutoHyphens/>
        <w:rPr>
          <w:sz w:val="24"/>
          <w:szCs w:val="19"/>
        </w:rPr>
      </w:pPr>
      <w:r>
        <w:rPr>
          <w:sz w:val="24"/>
          <w:szCs w:val="19"/>
        </w:rPr>
        <w:t>The results of the information collection will not be published.</w:t>
      </w:r>
    </w:p>
    <w:p w:rsidR="00D26527" w:rsidRDefault="00D26527">
      <w:pPr>
        <w:tabs>
          <w:tab w:val="left" w:pos="360"/>
          <w:tab w:val="left" w:pos="720"/>
        </w:tabs>
        <w:rPr>
          <w:sz w:val="19"/>
          <w:szCs w:val="19"/>
        </w:rPr>
      </w:pPr>
    </w:p>
    <w:p w:rsidR="00D26527" w:rsidRDefault="00D26527">
      <w:pPr>
        <w:numPr>
          <w:ilvl w:val="1"/>
          <w:numId w:val="35"/>
        </w:numPr>
        <w:tabs>
          <w:tab w:val="left" w:pos="-720"/>
          <w:tab w:val="left" w:pos="0"/>
        </w:tabs>
        <w:suppressAutoHyphens/>
        <w:rPr>
          <w:sz w:val="24"/>
          <w:szCs w:val="19"/>
        </w:rPr>
      </w:pPr>
      <w:r>
        <w:rPr>
          <w:sz w:val="24"/>
          <w:szCs w:val="19"/>
        </w:rPr>
        <w:t>We are not seeking approval to avoid displaying the expiration date.</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19"/>
        </w:rPr>
      </w:pPr>
    </w:p>
    <w:p w:rsidR="00D26527" w:rsidRDefault="00D26527">
      <w:pPr>
        <w:numPr>
          <w:ilvl w:val="1"/>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19"/>
        </w:rPr>
      </w:pPr>
      <w:r>
        <w:rPr>
          <w:sz w:val="24"/>
          <w:szCs w:val="19"/>
        </w:rPr>
        <w:t>There are no exceptions to the certification statement identified in item 19.</w:t>
      </w:r>
    </w:p>
    <w:p w:rsidR="00D26527" w:rsidRDefault="00D2652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24"/>
          <w:szCs w:val="19"/>
        </w:rPr>
      </w:pPr>
    </w:p>
    <w:p w:rsidR="00D26527" w:rsidRDefault="00D26527">
      <w:pPr>
        <w:pStyle w:val="Heading2"/>
        <w:numPr>
          <w:ilvl w:val="0"/>
          <w:numId w:val="35"/>
        </w:numPr>
        <w:rPr>
          <w:rFonts w:ascii="Helvetica" w:hAnsi="Helvetica"/>
          <w:sz w:val="24"/>
        </w:rPr>
      </w:pPr>
      <w:r>
        <w:rPr>
          <w:rFonts w:ascii="Helvetica" w:hAnsi="Helvetica"/>
          <w:sz w:val="24"/>
        </w:rPr>
        <w:t>Collections of Information Employing Statistical Methods</w:t>
      </w:r>
    </w:p>
    <w:p w:rsidR="00D26527" w:rsidRDefault="00D26527">
      <w:pPr>
        <w:rPr>
          <w:sz w:val="24"/>
        </w:rPr>
      </w:pPr>
    </w:p>
    <w:p w:rsidR="00D26527" w:rsidRDefault="00D26527">
      <w:pPr>
        <w:ind w:left="720"/>
        <w:rPr>
          <w:sz w:val="24"/>
        </w:rPr>
      </w:pPr>
      <w:r>
        <w:rPr>
          <w:sz w:val="24"/>
        </w:rPr>
        <w:t>This information collection does not employ statistical methods.</w:t>
      </w:r>
    </w:p>
    <w:p w:rsidR="00E01C5A" w:rsidRDefault="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Pr="00E01C5A" w:rsidRDefault="00E01C5A" w:rsidP="00E01C5A">
      <w:pPr>
        <w:rPr>
          <w:sz w:val="24"/>
        </w:rPr>
      </w:pPr>
    </w:p>
    <w:p w:rsidR="00E01C5A" w:rsidRDefault="00E01C5A" w:rsidP="00E01C5A">
      <w:pPr>
        <w:rPr>
          <w:sz w:val="24"/>
        </w:rPr>
      </w:pPr>
    </w:p>
    <w:p w:rsidR="00E01C5A" w:rsidRDefault="00E01C5A" w:rsidP="00E01C5A">
      <w:pPr>
        <w:rPr>
          <w:sz w:val="24"/>
        </w:rPr>
      </w:pPr>
    </w:p>
    <w:p w:rsidR="00D26527" w:rsidRPr="00E01C5A" w:rsidRDefault="00D26527" w:rsidP="00E01C5A">
      <w:pPr>
        <w:tabs>
          <w:tab w:val="left" w:pos="1290"/>
        </w:tabs>
        <w:rPr>
          <w:sz w:val="24"/>
        </w:rPr>
      </w:pPr>
    </w:p>
    <w:sectPr w:rsidR="00D26527" w:rsidRPr="00E01C5A" w:rsidSect="00F91A9D">
      <w:footerReference w:type="default" r:id="rId7"/>
      <w:pgSz w:w="12240" w:h="15840"/>
      <w:pgMar w:top="475" w:right="720" w:bottom="475" w:left="605" w:header="475" w:footer="475" w:gutter="0"/>
      <w:cols w:space="480" w:equalWidth="0">
        <w:col w:w="10795"/>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DB0" w:rsidRDefault="00BA3DB0">
      <w:r>
        <w:separator/>
      </w:r>
    </w:p>
  </w:endnote>
  <w:endnote w:type="continuationSeparator" w:id="0">
    <w:p w:rsidR="00BA3DB0" w:rsidRDefault="00BA3D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60" w:rsidRDefault="00395504">
    <w:pPr>
      <w:pStyle w:val="Footer"/>
      <w:framePr w:wrap="around" w:vAnchor="text" w:hAnchor="margin" w:xAlign="center" w:y="1"/>
      <w:rPr>
        <w:rStyle w:val="PageNumber"/>
      </w:rPr>
    </w:pPr>
    <w:r>
      <w:rPr>
        <w:rStyle w:val="PageNumber"/>
      </w:rPr>
      <w:fldChar w:fldCharType="begin"/>
    </w:r>
    <w:r w:rsidR="00692860">
      <w:rPr>
        <w:rStyle w:val="PageNumber"/>
      </w:rPr>
      <w:instrText xml:space="preserve">PAGE  </w:instrText>
    </w:r>
    <w:r>
      <w:rPr>
        <w:rStyle w:val="PageNumber"/>
      </w:rPr>
      <w:fldChar w:fldCharType="separate"/>
    </w:r>
    <w:r w:rsidR="005777BE">
      <w:rPr>
        <w:rStyle w:val="PageNumber"/>
        <w:noProof/>
      </w:rPr>
      <w:t>2</w:t>
    </w:r>
    <w:r>
      <w:rPr>
        <w:rStyle w:val="PageNumber"/>
      </w:rPr>
      <w:fldChar w:fldCharType="end"/>
    </w:r>
  </w:p>
  <w:p w:rsidR="00692860" w:rsidRDefault="0069286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DB0" w:rsidRDefault="00BA3DB0">
      <w:r>
        <w:separator/>
      </w:r>
    </w:p>
  </w:footnote>
  <w:footnote w:type="continuationSeparator" w:id="0">
    <w:p w:rsidR="00BA3DB0" w:rsidRDefault="00BA3D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2FE6F69"/>
    <w:multiLevelType w:val="hybridMultilevel"/>
    <w:tmpl w:val="CDF60604"/>
    <w:lvl w:ilvl="0" w:tplc="B26EA4E0">
      <w:start w:val="1"/>
      <w:numFmt w:val="bullet"/>
      <w:lvlText w:val=""/>
      <w:legacy w:legacy="1" w:legacySpace="0" w:legacyIndent="144"/>
      <w:lvlJc w:val="left"/>
      <w:pPr>
        <w:ind w:left="504" w:hanging="144"/>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410276"/>
    <w:multiLevelType w:val="singleLevel"/>
    <w:tmpl w:val="0E4E3FFE"/>
    <w:lvl w:ilvl="0">
      <w:start w:val="9"/>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F8A64E4"/>
    <w:multiLevelType w:val="hybridMultilevel"/>
    <w:tmpl w:val="AA3E9708"/>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5">
    <w:nsid w:val="10D02687"/>
    <w:multiLevelType w:val="hybridMultilevel"/>
    <w:tmpl w:val="9408A5F6"/>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2FE4205"/>
    <w:multiLevelType w:val="hybridMultilevel"/>
    <w:tmpl w:val="D6841B9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nsid w:val="16BF4B43"/>
    <w:multiLevelType w:val="singleLevel"/>
    <w:tmpl w:val="2EB2EEF8"/>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17AA7935"/>
    <w:multiLevelType w:val="hybridMultilevel"/>
    <w:tmpl w:val="664C1184"/>
    <w:lvl w:ilvl="0" w:tplc="04090015">
      <w:start w:val="1"/>
      <w:numFmt w:val="upperLetter"/>
      <w:lvlText w:val="%1."/>
      <w:lvlJc w:val="left"/>
      <w:pPr>
        <w:tabs>
          <w:tab w:val="num" w:pos="360"/>
        </w:tabs>
        <w:ind w:left="360" w:hanging="360"/>
      </w:pPr>
      <w:rPr>
        <w:rFonts w:hint="default"/>
        <w:color w:val="auto"/>
      </w:rPr>
    </w:lvl>
    <w:lvl w:ilvl="1" w:tplc="158AD27A">
      <w:start w:val="1"/>
      <w:numFmt w:val="decimal"/>
      <w:lvlText w:val="%2."/>
      <w:lvlJc w:val="left"/>
      <w:pPr>
        <w:tabs>
          <w:tab w:val="num" w:pos="360"/>
        </w:tabs>
        <w:ind w:left="360" w:hanging="360"/>
      </w:pPr>
      <w:rPr>
        <w:rFonts w:ascii="Times New Roman" w:hAnsi="Times New Roman" w:hint="default"/>
        <w:b w:val="0"/>
        <w:i w:val="0"/>
        <w:sz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0FE6A99"/>
    <w:multiLevelType w:val="hybridMultilevel"/>
    <w:tmpl w:val="58EE0A36"/>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18D64D6"/>
    <w:multiLevelType w:val="hybridMultilevel"/>
    <w:tmpl w:val="4BAEB9E4"/>
    <w:lvl w:ilvl="0" w:tplc="B26EA4E0">
      <w:start w:val="1"/>
      <w:numFmt w:val="bullet"/>
      <w:lvlText w:val=""/>
      <w:legacy w:legacy="1" w:legacySpace="0" w:legacyIndent="144"/>
      <w:lvlJc w:val="left"/>
      <w:pPr>
        <w:ind w:left="1224" w:hanging="144"/>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90F45A6"/>
    <w:multiLevelType w:val="hybridMultilevel"/>
    <w:tmpl w:val="AB9E716C"/>
    <w:lvl w:ilvl="0" w:tplc="CD5027DC">
      <w:start w:val="10"/>
      <w:numFmt w:val="decimal"/>
      <w:lvlText w:val="%1."/>
      <w:lvlJc w:val="left"/>
      <w:pPr>
        <w:tabs>
          <w:tab w:val="num" w:pos="780"/>
        </w:tabs>
        <w:ind w:left="780" w:hanging="420"/>
      </w:pPr>
      <w:rPr>
        <w:rFonts w:hint="default"/>
      </w:rPr>
    </w:lvl>
    <w:lvl w:ilvl="1" w:tplc="B26EA4E0">
      <w:start w:val="1"/>
      <w:numFmt w:val="bullet"/>
      <w:lvlText w:val=""/>
      <w:legacy w:legacy="1" w:legacySpace="0" w:legacyIndent="144"/>
      <w:lvlJc w:val="left"/>
      <w:pPr>
        <w:ind w:left="1224" w:hanging="144"/>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B50083"/>
    <w:multiLevelType w:val="hybridMultilevel"/>
    <w:tmpl w:val="219A8C58"/>
    <w:lvl w:ilvl="0" w:tplc="FC90CCA2">
      <w:start w:val="1"/>
      <w:numFmt w:val="decimal"/>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BB464A"/>
    <w:multiLevelType w:val="hybridMultilevel"/>
    <w:tmpl w:val="84B0B5D4"/>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5">
    <w:nsid w:val="3C79257E"/>
    <w:multiLevelType w:val="hybridMultilevel"/>
    <w:tmpl w:val="0CA46CDC"/>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6">
    <w:nsid w:val="48A658BC"/>
    <w:multiLevelType w:val="hybridMultilevel"/>
    <w:tmpl w:val="DF50B99A"/>
    <w:lvl w:ilvl="0" w:tplc="B26EA4E0">
      <w:start w:val="1"/>
      <w:numFmt w:val="bullet"/>
      <w:lvlText w:val=""/>
      <w:legacy w:legacy="1" w:legacySpace="0" w:legacyIndent="144"/>
      <w:lvlJc w:val="left"/>
      <w:pPr>
        <w:ind w:left="924" w:hanging="144"/>
      </w:pPr>
      <w:rPr>
        <w:rFonts w:ascii="Symbol" w:hAnsi="Symbol" w:hint="default"/>
        <w:sz w:val="16"/>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8">
    <w:nsid w:val="53813677"/>
    <w:multiLevelType w:val="hybridMultilevel"/>
    <w:tmpl w:val="8FA2AB90"/>
    <w:lvl w:ilvl="0" w:tplc="4A32F5E2">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94665D"/>
    <w:multiLevelType w:val="hybridMultilevel"/>
    <w:tmpl w:val="CDF60604"/>
    <w:lvl w:ilvl="0" w:tplc="DD6274EA">
      <w:start w:val="2"/>
      <w:numFmt w:val="decimal"/>
      <w:lvlText w:val="%1."/>
      <w:lvlJc w:val="left"/>
      <w:pPr>
        <w:tabs>
          <w:tab w:val="num" w:pos="720"/>
        </w:tabs>
        <w:ind w:left="720" w:hanging="360"/>
      </w:pPr>
      <w:rPr>
        <w:rFonts w:hint="default"/>
        <w:color w:val="auto"/>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7C668C"/>
    <w:multiLevelType w:val="hybridMultilevel"/>
    <w:tmpl w:val="B43E54F8"/>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1ED1C35"/>
    <w:multiLevelType w:val="hybridMultilevel"/>
    <w:tmpl w:val="C8108ABE"/>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50F482C"/>
    <w:multiLevelType w:val="hybridMultilevel"/>
    <w:tmpl w:val="607AB83C"/>
    <w:lvl w:ilvl="0" w:tplc="D9868414">
      <w:start w:val="4"/>
      <w:numFmt w:val="decimal"/>
      <w:lvlText w:val="%1."/>
      <w:lvlJc w:val="left"/>
      <w:pPr>
        <w:tabs>
          <w:tab w:val="num" w:pos="720"/>
        </w:tabs>
        <w:ind w:left="720" w:hanging="360"/>
      </w:pPr>
      <w:rPr>
        <w:rFonts w:hint="default"/>
        <w:color w:val="auto"/>
      </w:rPr>
    </w:lvl>
    <w:lvl w:ilvl="1" w:tplc="B26EA4E0">
      <w:start w:val="1"/>
      <w:numFmt w:val="bullet"/>
      <w:lvlText w:val=""/>
      <w:legacy w:legacy="1" w:legacySpace="0" w:legacyIndent="144"/>
      <w:lvlJc w:val="left"/>
      <w:pPr>
        <w:ind w:left="1224" w:hanging="144"/>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AD3D25"/>
    <w:multiLevelType w:val="hybridMultilevel"/>
    <w:tmpl w:val="0548FF02"/>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F9F026A"/>
    <w:multiLevelType w:val="hybridMultilevel"/>
    <w:tmpl w:val="AB86A2D4"/>
    <w:lvl w:ilvl="0" w:tplc="B26EA4E0">
      <w:start w:val="1"/>
      <w:numFmt w:val="bullet"/>
      <w:lvlText w:val=""/>
      <w:legacy w:legacy="1" w:legacySpace="0" w:legacyIndent="144"/>
      <w:lvlJc w:val="left"/>
      <w:pPr>
        <w:ind w:left="864" w:hanging="144"/>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9">
    <w:nsid w:val="7E1656F8"/>
    <w:multiLevelType w:val="hybridMultilevel"/>
    <w:tmpl w:val="7C80A7E6"/>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6"/>
  </w:num>
  <w:num w:numId="2">
    <w:abstractNumId w:val="28"/>
  </w:num>
  <w:num w:numId="3">
    <w:abstractNumId w:val="3"/>
  </w:num>
  <w:num w:numId="4">
    <w:abstractNumId w:val="27"/>
  </w:num>
  <w:num w:numId="5">
    <w:abstractNumId w:val="26"/>
  </w:num>
  <w:num w:numId="6">
    <w:abstractNumId w:val="2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9"/>
  </w:num>
  <w:num w:numId="10">
    <w:abstractNumId w:val="8"/>
  </w:num>
  <w:num w:numId="11">
    <w:abstractNumId w:val="2"/>
  </w:num>
  <w:num w:numId="12">
    <w:abstractNumId w:val="8"/>
    <w:lvlOverride w:ilvl="0">
      <w:startOverride w:val="7"/>
    </w:lvlOverride>
  </w:num>
  <w:num w:numId="13">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14">
    <w:abstractNumId w:val="2"/>
    <w:lvlOverride w:ilvl="0">
      <w:startOverride w:val="9"/>
    </w:lvlOverride>
  </w:num>
  <w:num w:numId="15">
    <w:abstractNumId w:val="20"/>
  </w:num>
  <w:num w:numId="16">
    <w:abstractNumId w:val="1"/>
  </w:num>
  <w:num w:numId="17">
    <w:abstractNumId w:val="25"/>
  </w:num>
  <w:num w:numId="18">
    <w:abstractNumId w:val="11"/>
  </w:num>
  <w:num w:numId="1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0">
    <w:abstractNumId w:val="7"/>
  </w:num>
  <w:num w:numId="21">
    <w:abstractNumId w:val="23"/>
  </w:num>
  <w:num w:numId="22">
    <w:abstractNumId w:val="15"/>
  </w:num>
  <w:num w:numId="23">
    <w:abstractNumId w:val="18"/>
  </w:num>
  <w:num w:numId="24">
    <w:abstractNumId w:val="4"/>
  </w:num>
  <w:num w:numId="25">
    <w:abstractNumId w:val="13"/>
  </w:num>
  <w:num w:numId="26">
    <w:abstractNumId w:val="14"/>
  </w:num>
  <w:num w:numId="27">
    <w:abstractNumId w:val="29"/>
  </w:num>
  <w:num w:numId="28">
    <w:abstractNumId w:val="21"/>
  </w:num>
  <w:num w:numId="29">
    <w:abstractNumId w:val="10"/>
  </w:num>
  <w:num w:numId="30">
    <w:abstractNumId w:val="5"/>
  </w:num>
  <w:num w:numId="31">
    <w:abstractNumId w:val="12"/>
  </w:num>
  <w:num w:numId="32">
    <w:abstractNumId w:val="24"/>
  </w:num>
  <w:num w:numId="33">
    <w:abstractNumId w:val="16"/>
  </w:num>
  <w:num w:numId="34">
    <w:abstractNumId w:val="22"/>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FC78B5"/>
    <w:rsid w:val="000E5657"/>
    <w:rsid w:val="00100043"/>
    <w:rsid w:val="00185E64"/>
    <w:rsid w:val="00212EB4"/>
    <w:rsid w:val="00395504"/>
    <w:rsid w:val="003B734A"/>
    <w:rsid w:val="003E542F"/>
    <w:rsid w:val="00410409"/>
    <w:rsid w:val="00413D11"/>
    <w:rsid w:val="005777BE"/>
    <w:rsid w:val="005A7212"/>
    <w:rsid w:val="0060462E"/>
    <w:rsid w:val="006834FC"/>
    <w:rsid w:val="00692860"/>
    <w:rsid w:val="006C3E52"/>
    <w:rsid w:val="007648CB"/>
    <w:rsid w:val="0079123F"/>
    <w:rsid w:val="009A4E95"/>
    <w:rsid w:val="00A16CB0"/>
    <w:rsid w:val="00A46E88"/>
    <w:rsid w:val="00A97FBA"/>
    <w:rsid w:val="00BA3DB0"/>
    <w:rsid w:val="00C55027"/>
    <w:rsid w:val="00D168B0"/>
    <w:rsid w:val="00D26527"/>
    <w:rsid w:val="00D560D2"/>
    <w:rsid w:val="00D7460A"/>
    <w:rsid w:val="00E01C5A"/>
    <w:rsid w:val="00E72438"/>
    <w:rsid w:val="00F535CE"/>
    <w:rsid w:val="00F61B57"/>
    <w:rsid w:val="00F91A9D"/>
    <w:rsid w:val="00FC7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9D"/>
    <w:pPr>
      <w:overflowPunct w:val="0"/>
      <w:autoSpaceDE w:val="0"/>
      <w:autoSpaceDN w:val="0"/>
      <w:adjustRightInd w:val="0"/>
      <w:textAlignment w:val="baseline"/>
    </w:pPr>
  </w:style>
  <w:style w:type="paragraph" w:styleId="Heading1">
    <w:name w:val="heading 1"/>
    <w:basedOn w:val="Normal"/>
    <w:next w:val="Normal"/>
    <w:qFormat/>
    <w:rsid w:val="00F91A9D"/>
    <w:pPr>
      <w:keepNext/>
      <w:tabs>
        <w:tab w:val="left" w:pos="240"/>
      </w:tabs>
      <w:spacing w:after="40"/>
      <w:ind w:left="120" w:right="-120"/>
      <w:outlineLvl w:val="0"/>
    </w:pPr>
    <w:rPr>
      <w:rFonts w:ascii="Helvetica" w:hAnsi="Helvetica"/>
      <w:b/>
      <w:sz w:val="18"/>
    </w:rPr>
  </w:style>
  <w:style w:type="paragraph" w:styleId="Heading2">
    <w:name w:val="heading 2"/>
    <w:basedOn w:val="Normal"/>
    <w:next w:val="Normal"/>
    <w:qFormat/>
    <w:rsid w:val="00F91A9D"/>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1"/>
    </w:pPr>
    <w:rPr>
      <w:b/>
      <w:sz w:val="19"/>
      <w:szCs w:val="19"/>
    </w:rPr>
  </w:style>
  <w:style w:type="paragraph" w:styleId="Heading3">
    <w:name w:val="heading 3"/>
    <w:basedOn w:val="Normal"/>
    <w:next w:val="Normal"/>
    <w:qFormat/>
    <w:rsid w:val="00F91A9D"/>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91A9D"/>
    <w:pPr>
      <w:tabs>
        <w:tab w:val="center" w:pos="4320"/>
        <w:tab w:val="right" w:pos="8640"/>
      </w:tabs>
    </w:pPr>
  </w:style>
  <w:style w:type="paragraph" w:styleId="Footer">
    <w:name w:val="footer"/>
    <w:basedOn w:val="Normal"/>
    <w:semiHidden/>
    <w:rsid w:val="00F91A9D"/>
    <w:pPr>
      <w:tabs>
        <w:tab w:val="center" w:pos="4320"/>
        <w:tab w:val="right" w:pos="8640"/>
      </w:tabs>
    </w:pPr>
  </w:style>
  <w:style w:type="character" w:styleId="PageNumber">
    <w:name w:val="page number"/>
    <w:basedOn w:val="DefaultParagraphFont"/>
    <w:semiHidden/>
    <w:rsid w:val="00F91A9D"/>
  </w:style>
  <w:style w:type="paragraph" w:styleId="Title">
    <w:name w:val="Title"/>
    <w:basedOn w:val="Normal"/>
    <w:qFormat/>
    <w:rsid w:val="00F91A9D"/>
    <w:pPr>
      <w:jc w:val="center"/>
    </w:pPr>
    <w:rPr>
      <w:rFonts w:ascii="Helvetica" w:hAnsi="Helvetica"/>
      <w:b/>
      <w:sz w:val="28"/>
    </w:rPr>
  </w:style>
  <w:style w:type="paragraph" w:styleId="BodyText">
    <w:name w:val="Body Text"/>
    <w:basedOn w:val="Normal"/>
    <w:semiHidden/>
    <w:rsid w:val="00F91A9D"/>
    <w:pPr>
      <w:pBdr>
        <w:top w:val="single" w:sz="6" w:space="0" w:color="auto"/>
      </w:pBdr>
      <w:tabs>
        <w:tab w:val="left" w:pos="240"/>
      </w:tabs>
      <w:ind w:right="-120"/>
    </w:pPr>
    <w:rPr>
      <w:rFonts w:ascii="Helvetica" w:hAnsi="Helvetica"/>
      <w:b/>
      <w:bCs/>
    </w:rPr>
  </w:style>
  <w:style w:type="paragraph" w:styleId="BodyTextIndent">
    <w:name w:val="Body Text Indent"/>
    <w:basedOn w:val="Normal"/>
    <w:semiHidden/>
    <w:rsid w:val="00F91A9D"/>
    <w:pPr>
      <w:keepLines/>
      <w:tabs>
        <w:tab w:val="left" w:pos="360"/>
      </w:tabs>
      <w:spacing w:after="80"/>
      <w:ind w:left="360"/>
    </w:pPr>
    <w:rPr>
      <w:sz w:val="19"/>
      <w:szCs w:val="19"/>
    </w:rPr>
  </w:style>
  <w:style w:type="paragraph" w:styleId="BodyTextIndent2">
    <w:name w:val="Body Text Indent 2"/>
    <w:basedOn w:val="Normal"/>
    <w:semiHidden/>
    <w:rsid w:val="00F91A9D"/>
    <w:pPr>
      <w:tabs>
        <w:tab w:val="left" w:pos="-720"/>
        <w:tab w:val="left" w:pos="0"/>
      </w:tabs>
      <w:suppressAutoHyphens/>
      <w:ind w:left="360"/>
    </w:pPr>
    <w:rPr>
      <w:sz w:val="24"/>
      <w:szCs w:val="19"/>
    </w:rPr>
  </w:style>
  <w:style w:type="paragraph" w:styleId="BodyTextIndent3">
    <w:name w:val="Body Text Indent 3"/>
    <w:basedOn w:val="Normal"/>
    <w:semiHidden/>
    <w:rsid w:val="00F91A9D"/>
    <w:pPr>
      <w:tabs>
        <w:tab w:val="left" w:pos="-720"/>
        <w:tab w:val="left" w:pos="0"/>
      </w:tabs>
      <w:suppressAutoHyphens/>
      <w:ind w:left="780"/>
    </w:pPr>
    <w:rPr>
      <w:sz w:val="24"/>
      <w:szCs w:val="19"/>
    </w:rPr>
  </w:style>
  <w:style w:type="paragraph" w:styleId="DocumentMap">
    <w:name w:val="Document Map"/>
    <w:basedOn w:val="Normal"/>
    <w:semiHidden/>
    <w:rsid w:val="00F91A9D"/>
    <w:pPr>
      <w:shd w:val="clear" w:color="auto" w:fill="000080"/>
    </w:pPr>
    <w:rPr>
      <w:rFonts w:ascii="Tahoma" w:hAnsi="Tahoma" w:cs="Tahoma"/>
    </w:rPr>
  </w:style>
  <w:style w:type="paragraph" w:styleId="ListParagraph">
    <w:name w:val="List Paragraph"/>
    <w:basedOn w:val="Normal"/>
    <w:uiPriority w:val="34"/>
    <w:qFormat/>
    <w:rsid w:val="00A16CB0"/>
    <w:pPr>
      <w:ind w:left="720"/>
    </w:pPr>
  </w:style>
</w:styles>
</file>

<file path=word/webSettings.xml><?xml version="1.0" encoding="utf-8"?>
<w:webSettings xmlns:r="http://schemas.openxmlformats.org/officeDocument/2006/relationships" xmlns:w="http://schemas.openxmlformats.org/wordprocessingml/2006/main">
  <w:divs>
    <w:div w:id="167445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3</cp:revision>
  <cp:lastPrinted>2009-11-27T16:04:00Z</cp:lastPrinted>
  <dcterms:created xsi:type="dcterms:W3CDTF">2010-08-13T18:18:00Z</dcterms:created>
  <dcterms:modified xsi:type="dcterms:W3CDTF">2010-08-13T18:19:00Z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888770112</vt:i4>
  </property>
  <property fmtid="{D5CDD505-2E9C-101B-9397-08002B2CF9AE}" pid="3" name="_NewReviewCycle">
    <vt:lpwstr/>
  </property>
  <property fmtid="{D5CDD505-2E9C-101B-9397-08002B2CF9AE}" pid="4" name="_EmailSubject">
    <vt:lpwstr>Revised 2502-0423</vt:lpwstr>
  </property>
  <property fmtid="{D5CDD505-2E9C-101B-9397-08002B2CF9AE}" pid="5" name="_AuthorEmail">
    <vt:lpwstr>Keely.E.Stevenson@hud.gov</vt:lpwstr>
  </property>
  <property fmtid="{D5CDD505-2E9C-101B-9397-08002B2CF9AE}" pid="6" name="_AuthorEmailDisplayName">
    <vt:lpwstr>Stevenson, Keely E</vt:lpwstr>
  </property>
  <property fmtid="{D5CDD505-2E9C-101B-9397-08002B2CF9AE}" pid="7" name="_PreviousAdHocReviewCycleID">
    <vt:i4>-1008192956</vt:i4>
  </property>
  <property fmtid="{D5CDD505-2E9C-101B-9397-08002B2CF9AE}" pid="8" name="_ReviewingToolsShownOnce">
    <vt:lpwstr/>
  </property>
</Properties>
</file>