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25" w:rsidRDefault="00525425" w:rsidP="00525425">
      <w:pPr>
        <w:shd w:val="clear" w:color="auto" w:fill="FFFFFF"/>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Housing and Economic Recovery Act of 2008</w:t>
      </w:r>
    </w:p>
    <w:p w:rsidR="00525425" w:rsidRPr="00525425" w:rsidRDefault="00525425" w:rsidP="00525425">
      <w:pPr>
        <w:shd w:val="clear" w:color="auto" w:fill="FFFFFF"/>
        <w:spacing w:after="0" w:line="240" w:lineRule="auto"/>
        <w:rPr>
          <w:rFonts w:ascii="Times New Roman" w:eastAsia="Times New Roman" w:hAnsi="Times New Roman" w:cs="Times New Roman"/>
          <w:color w:val="000000"/>
          <w:sz w:val="20"/>
          <w:szCs w:val="20"/>
        </w:rPr>
      </w:pPr>
    </w:p>
    <w:p w:rsidR="00525425" w:rsidRDefault="00525425" w:rsidP="00525425">
      <w:pPr>
        <w:shd w:val="clear" w:color="auto" w:fill="FFFFFF"/>
        <w:spacing w:after="120" w:line="240" w:lineRule="auto"/>
        <w:rPr>
          <w:rFonts w:ascii="Garamond" w:eastAsia="Times New Roman" w:hAnsi="Garamond" w:cs="Times New Roman"/>
          <w:color w:val="000000"/>
          <w:sz w:val="20"/>
          <w:szCs w:val="20"/>
        </w:rPr>
      </w:pPr>
      <w:r>
        <w:rPr>
          <w:rFonts w:ascii="Garamond" w:eastAsia="Times New Roman" w:hAnsi="Garamond" w:cs="Times New Roman"/>
          <w:color w:val="000000"/>
          <w:sz w:val="20"/>
          <w:szCs w:val="20"/>
        </w:rPr>
        <w:t xml:space="preserve">Section 2835 </w:t>
      </w:r>
    </w:p>
    <w:p w:rsidR="00525425" w:rsidRPr="00525425" w:rsidRDefault="00525425" w:rsidP="00525425">
      <w:pPr>
        <w:shd w:val="clear" w:color="auto" w:fill="FFFFFF"/>
        <w:spacing w:after="120" w:line="240" w:lineRule="auto"/>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(b) Section 202 Housing for Elderly Persons- Subsection (f) of section 202 of the Housing Act of 1959 () is amended--</w:t>
      </w:r>
    </w:p>
    <w:p w:rsidR="00525425" w:rsidRPr="00525425" w:rsidRDefault="00525425" w:rsidP="00525425">
      <w:pPr>
        <w:shd w:val="clear" w:color="auto" w:fill="FFFFFF"/>
        <w:spacing w:after="120" w:line="240" w:lineRule="auto"/>
        <w:ind w:left="72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(1) </w:t>
      </w:r>
      <w:proofErr w:type="gramStart"/>
      <w:r w:rsidRPr="00525425">
        <w:rPr>
          <w:rFonts w:ascii="Garamond" w:eastAsia="Times New Roman" w:hAnsi="Garamond" w:cs="Times New Roman"/>
          <w:color w:val="000000"/>
          <w:sz w:val="20"/>
          <w:szCs w:val="20"/>
        </w:rPr>
        <w:t>by</w:t>
      </w:r>
      <w:proofErr w:type="gramEnd"/>
      <w:r w:rsidRPr="00525425">
        <w:rPr>
          <w:rFonts w:ascii="Garamond" w:eastAsia="Times New Roman" w:hAnsi="Garamond" w:cs="Times New Roman"/>
          <w:color w:val="000000"/>
          <w:sz w:val="20"/>
          <w:szCs w:val="20"/>
        </w:rPr>
        <w:t xml:space="preserve"> striking ‘Selection Criteria- ’ and inserting ‘Initial Selection Criteria and Processing- (1) SELECTION CRITERIA- ’;</w:t>
      </w:r>
    </w:p>
    <w:p w:rsidR="00525425" w:rsidRPr="00525425" w:rsidRDefault="00525425" w:rsidP="00525425">
      <w:pPr>
        <w:shd w:val="clear" w:color="auto" w:fill="FFFFFF"/>
        <w:spacing w:after="120" w:line="240" w:lineRule="auto"/>
        <w:ind w:left="72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(2) </w:t>
      </w:r>
      <w:proofErr w:type="gramStart"/>
      <w:r w:rsidRPr="00525425">
        <w:rPr>
          <w:rFonts w:ascii="Garamond" w:eastAsia="Times New Roman" w:hAnsi="Garamond" w:cs="Times New Roman"/>
          <w:color w:val="000000"/>
          <w:sz w:val="20"/>
          <w:szCs w:val="20"/>
        </w:rPr>
        <w:t>by</w:t>
      </w:r>
      <w:proofErr w:type="gramEnd"/>
      <w:r w:rsidRPr="00525425">
        <w:rPr>
          <w:rFonts w:ascii="Garamond" w:eastAsia="Times New Roman" w:hAnsi="Garamond" w:cs="Times New Roman"/>
          <w:color w:val="000000"/>
          <w:sz w:val="20"/>
          <w:szCs w:val="20"/>
        </w:rPr>
        <w:t xml:space="preserve"> </w:t>
      </w:r>
      <w:proofErr w:type="spellStart"/>
      <w:r w:rsidRPr="00525425">
        <w:rPr>
          <w:rFonts w:ascii="Garamond" w:eastAsia="Times New Roman" w:hAnsi="Garamond" w:cs="Times New Roman"/>
          <w:color w:val="000000"/>
          <w:sz w:val="20"/>
          <w:szCs w:val="20"/>
        </w:rPr>
        <w:t>redesignating</w:t>
      </w:r>
      <w:proofErr w:type="spellEnd"/>
      <w:r w:rsidRPr="00525425">
        <w:rPr>
          <w:rFonts w:ascii="Garamond" w:eastAsia="Times New Roman" w:hAnsi="Garamond" w:cs="Times New Roman"/>
          <w:color w:val="000000"/>
          <w:sz w:val="20"/>
          <w:szCs w:val="20"/>
        </w:rPr>
        <w:t xml:space="preserve"> paragraphs (1) through (7) as subparagraphs (A) through (G), respectively; and</w:t>
      </w:r>
    </w:p>
    <w:p w:rsidR="00525425" w:rsidRPr="00525425" w:rsidRDefault="00525425" w:rsidP="00525425">
      <w:pPr>
        <w:shd w:val="clear" w:color="auto" w:fill="FFFFFF"/>
        <w:spacing w:after="120" w:line="240" w:lineRule="auto"/>
        <w:ind w:left="72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(3) </w:t>
      </w:r>
      <w:proofErr w:type="gramStart"/>
      <w:r w:rsidRPr="00525425">
        <w:rPr>
          <w:rFonts w:ascii="Garamond" w:eastAsia="Times New Roman" w:hAnsi="Garamond" w:cs="Times New Roman"/>
          <w:color w:val="000000"/>
          <w:sz w:val="20"/>
          <w:szCs w:val="20"/>
        </w:rPr>
        <w:t>by</w:t>
      </w:r>
      <w:proofErr w:type="gramEnd"/>
      <w:r w:rsidRPr="00525425">
        <w:rPr>
          <w:rFonts w:ascii="Garamond" w:eastAsia="Times New Roman" w:hAnsi="Garamond" w:cs="Times New Roman"/>
          <w:color w:val="000000"/>
          <w:sz w:val="20"/>
          <w:szCs w:val="20"/>
        </w:rPr>
        <w:t xml:space="preserve"> adding at the end the following new paragraph:</w:t>
      </w:r>
    </w:p>
    <w:p w:rsidR="00525425" w:rsidRPr="00525425" w:rsidRDefault="00525425" w:rsidP="00525425">
      <w:pPr>
        <w:shd w:val="clear" w:color="auto" w:fill="FFFFFF"/>
        <w:spacing w:after="120" w:line="240" w:lineRule="auto"/>
        <w:ind w:left="144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‘(2) DELEGATED PROCESSING-</w:t>
      </w:r>
    </w:p>
    <w:p w:rsidR="00525425" w:rsidRPr="00525425" w:rsidRDefault="00525425" w:rsidP="00525425">
      <w:pPr>
        <w:shd w:val="clear" w:color="auto" w:fill="FFFFFF"/>
        <w:spacing w:after="120" w:line="240" w:lineRule="auto"/>
        <w:ind w:left="216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‘(A) In issuing a capital advance under this subsection for any project for which financing for the purposes described in the last two sentences of subsection (b) is provided by a combination of a capital advance under subsection (c</w:t>
      </w:r>
      <w:proofErr w:type="gramStart"/>
      <w:r w:rsidRPr="00525425">
        <w:rPr>
          <w:rFonts w:ascii="Garamond" w:eastAsia="Times New Roman" w:hAnsi="Garamond" w:cs="Times New Roman"/>
          <w:color w:val="000000"/>
          <w:sz w:val="20"/>
          <w:szCs w:val="20"/>
        </w:rPr>
        <w:t>)(</w:t>
      </w:r>
      <w:proofErr w:type="gramEnd"/>
      <w:r w:rsidRPr="00525425">
        <w:rPr>
          <w:rFonts w:ascii="Garamond" w:eastAsia="Times New Roman" w:hAnsi="Garamond" w:cs="Times New Roman"/>
          <w:color w:val="000000"/>
          <w:sz w:val="20"/>
          <w:szCs w:val="20"/>
        </w:rPr>
        <w:t>1) and sources other than this section, within 30 days of award of the capital advance, the Secretary shall delegate review and processing of such projects to a State or local housing agency that--</w:t>
      </w:r>
    </w:p>
    <w:p w:rsidR="00525425" w:rsidRPr="00525425" w:rsidRDefault="00525425" w:rsidP="00525425">
      <w:pPr>
        <w:shd w:val="clear" w:color="auto" w:fill="FFFFFF"/>
        <w:spacing w:after="120" w:line="240" w:lineRule="auto"/>
        <w:ind w:left="288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w:t>
      </w:r>
      <w:proofErr w:type="spellStart"/>
      <w:proofErr w:type="gramStart"/>
      <w:r w:rsidRPr="00525425">
        <w:rPr>
          <w:rFonts w:ascii="Garamond" w:eastAsia="Times New Roman" w:hAnsi="Garamond" w:cs="Times New Roman"/>
          <w:color w:val="000000"/>
          <w:sz w:val="20"/>
          <w:szCs w:val="20"/>
        </w:rPr>
        <w:t>i</w:t>
      </w:r>
      <w:proofErr w:type="spellEnd"/>
      <w:proofErr w:type="gramEnd"/>
      <w:r w:rsidRPr="00525425">
        <w:rPr>
          <w:rFonts w:ascii="Garamond" w:eastAsia="Times New Roman" w:hAnsi="Garamond" w:cs="Times New Roman"/>
          <w:color w:val="000000"/>
          <w:sz w:val="20"/>
          <w:szCs w:val="20"/>
        </w:rPr>
        <w:t>) is in geographic proximity to the property;</w:t>
      </w:r>
    </w:p>
    <w:p w:rsidR="00525425" w:rsidRPr="00525425" w:rsidRDefault="00525425" w:rsidP="00525425">
      <w:pPr>
        <w:shd w:val="clear" w:color="auto" w:fill="FFFFFF"/>
        <w:spacing w:after="120" w:line="240" w:lineRule="auto"/>
        <w:ind w:left="288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‘(ii) </w:t>
      </w:r>
      <w:proofErr w:type="gramStart"/>
      <w:r w:rsidRPr="00525425">
        <w:rPr>
          <w:rFonts w:ascii="Garamond" w:eastAsia="Times New Roman" w:hAnsi="Garamond" w:cs="Times New Roman"/>
          <w:color w:val="000000"/>
          <w:sz w:val="20"/>
          <w:szCs w:val="20"/>
        </w:rPr>
        <w:t>has</w:t>
      </w:r>
      <w:proofErr w:type="gramEnd"/>
      <w:r w:rsidRPr="00525425">
        <w:rPr>
          <w:rFonts w:ascii="Garamond" w:eastAsia="Times New Roman" w:hAnsi="Garamond" w:cs="Times New Roman"/>
          <w:color w:val="000000"/>
          <w:sz w:val="20"/>
          <w:szCs w:val="20"/>
        </w:rPr>
        <w:t xml:space="preserve"> demonstrated experience in and capacity for underwriting multifamily housing loans that provide housing and supportive services;</w:t>
      </w:r>
    </w:p>
    <w:p w:rsidR="00525425" w:rsidRPr="00525425" w:rsidRDefault="00525425" w:rsidP="00525425">
      <w:pPr>
        <w:shd w:val="clear" w:color="auto" w:fill="FFFFFF"/>
        <w:spacing w:after="120" w:line="240" w:lineRule="auto"/>
        <w:ind w:left="288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‘(iii) </w:t>
      </w:r>
      <w:proofErr w:type="gramStart"/>
      <w:r w:rsidRPr="00525425">
        <w:rPr>
          <w:rFonts w:ascii="Garamond" w:eastAsia="Times New Roman" w:hAnsi="Garamond" w:cs="Times New Roman"/>
          <w:color w:val="000000"/>
          <w:sz w:val="20"/>
          <w:szCs w:val="20"/>
        </w:rPr>
        <w:t>may</w:t>
      </w:r>
      <w:proofErr w:type="gramEnd"/>
      <w:r w:rsidRPr="00525425">
        <w:rPr>
          <w:rFonts w:ascii="Garamond" w:eastAsia="Times New Roman" w:hAnsi="Garamond" w:cs="Times New Roman"/>
          <w:color w:val="000000"/>
          <w:sz w:val="20"/>
          <w:szCs w:val="20"/>
        </w:rPr>
        <w:t xml:space="preserve"> or may not be providing low-income housing tax credits in combination with the capital advance under this section, and</w:t>
      </w:r>
    </w:p>
    <w:p w:rsidR="00525425" w:rsidRPr="00525425" w:rsidRDefault="00525425" w:rsidP="00525425">
      <w:pPr>
        <w:shd w:val="clear" w:color="auto" w:fill="FFFFFF"/>
        <w:spacing w:after="120" w:line="240" w:lineRule="auto"/>
        <w:ind w:left="288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w:t>
      </w:r>
      <w:proofErr w:type="gramStart"/>
      <w:r w:rsidRPr="00525425">
        <w:rPr>
          <w:rFonts w:ascii="Garamond" w:eastAsia="Times New Roman" w:hAnsi="Garamond" w:cs="Times New Roman"/>
          <w:color w:val="000000"/>
          <w:sz w:val="20"/>
          <w:szCs w:val="20"/>
        </w:rPr>
        <w:t>iv</w:t>
      </w:r>
      <w:proofErr w:type="gramEnd"/>
      <w:r w:rsidRPr="00525425">
        <w:rPr>
          <w:rFonts w:ascii="Garamond" w:eastAsia="Times New Roman" w:hAnsi="Garamond" w:cs="Times New Roman"/>
          <w:color w:val="000000"/>
          <w:sz w:val="20"/>
          <w:szCs w:val="20"/>
        </w:rPr>
        <w:t>) agrees to issue a firm commitment within 12 months of delegation.</w:t>
      </w:r>
    </w:p>
    <w:p w:rsidR="00525425" w:rsidRPr="00525425" w:rsidRDefault="00525425" w:rsidP="00525425">
      <w:pPr>
        <w:shd w:val="clear" w:color="auto" w:fill="FFFFFF"/>
        <w:spacing w:after="120" w:line="240" w:lineRule="auto"/>
        <w:ind w:left="216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‘(B) The Secretary shall retain the authority to process capital advances in cases in which no State or local housing agency has applied to provide delegated processing pursuant to this paragraph or no such agency has entered into an agreement with the Secretary to serve as a delegated processing agency.</w:t>
      </w:r>
    </w:p>
    <w:p w:rsidR="00525425" w:rsidRPr="00525425" w:rsidRDefault="00525425" w:rsidP="00525425">
      <w:pPr>
        <w:shd w:val="clear" w:color="auto" w:fill="FFFFFF"/>
        <w:spacing w:after="120" w:line="240" w:lineRule="auto"/>
        <w:ind w:left="216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‘(C) An agency to which review and processing is delegated pursuant to subparagraph (A) may assess a reasonable fee which shall be included in the capital advance amounts and may recommend project rental assistance amounts in excess of those initially awarded by the Secretary. The Secretary shall develop a schedule for reasonable fees under this subparagraph to be paid to delegated processing agencies, which shall take into consideration any other fees to be paid to the agency for other funding provided to the project by the agency, including bonds, tax credits, and other gap funding.</w:t>
      </w:r>
    </w:p>
    <w:p w:rsidR="00525425" w:rsidRPr="00525425" w:rsidRDefault="00525425" w:rsidP="00525425">
      <w:pPr>
        <w:shd w:val="clear" w:color="auto" w:fill="FFFFFF"/>
        <w:spacing w:after="120" w:line="240" w:lineRule="auto"/>
        <w:ind w:left="216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‘(D) Under such delegated system, the Secretary shall retain the authority to approve rents and development costs and to execute a capital advance within 60 days of receipt of the commitment from the State or local agency. The Secretary shall provide to such agency and the project sponsor, in writing, the reasons for any reduction in capital advance amounts or project rental assistance and such reductions shall be subject to appeal.’.</w:t>
      </w:r>
    </w:p>
    <w:sectPr w:rsidR="00525425" w:rsidRPr="00525425" w:rsidSect="005C67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525425"/>
    <w:rsid w:val="003E6FB3"/>
    <w:rsid w:val="00525425"/>
    <w:rsid w:val="005C6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5229281">
      <w:bodyDiv w:val="1"/>
      <w:marLeft w:val="0"/>
      <w:marRight w:val="0"/>
      <w:marTop w:val="0"/>
      <w:marBottom w:val="0"/>
      <w:divBdr>
        <w:top w:val="none" w:sz="0" w:space="0" w:color="auto"/>
        <w:left w:val="none" w:sz="0" w:space="0" w:color="auto"/>
        <w:bottom w:val="none" w:sz="0" w:space="0" w:color="auto"/>
        <w:right w:val="none" w:sz="0" w:space="0" w:color="auto"/>
      </w:divBdr>
      <w:divsChild>
        <w:div w:id="1481263999">
          <w:marLeft w:val="0"/>
          <w:marRight w:val="0"/>
          <w:marTop w:val="0"/>
          <w:marBottom w:val="0"/>
          <w:divBdr>
            <w:top w:val="single" w:sz="4" w:space="3" w:color="000000"/>
            <w:left w:val="single" w:sz="4" w:space="3" w:color="000000"/>
            <w:bottom w:val="single" w:sz="4" w:space="3" w:color="000000"/>
            <w:right w:val="single" w:sz="4" w:space="3" w:color="000000"/>
          </w:divBdr>
          <w:divsChild>
            <w:div w:id="1301960090">
              <w:marLeft w:val="0"/>
              <w:marRight w:val="0"/>
              <w:marTop w:val="0"/>
              <w:marBottom w:val="240"/>
              <w:divBdr>
                <w:top w:val="none" w:sz="0" w:space="0" w:color="auto"/>
                <w:left w:val="none" w:sz="0" w:space="0" w:color="auto"/>
                <w:bottom w:val="none" w:sz="0" w:space="0" w:color="auto"/>
                <w:right w:val="none" w:sz="0" w:space="0" w:color="auto"/>
              </w:divBdr>
            </w:div>
            <w:div w:id="56824606">
              <w:marLeft w:val="0"/>
              <w:marRight w:val="0"/>
              <w:marTop w:val="0"/>
              <w:marBottom w:val="0"/>
              <w:divBdr>
                <w:top w:val="none" w:sz="0" w:space="0" w:color="auto"/>
                <w:left w:val="none" w:sz="0" w:space="0" w:color="auto"/>
                <w:bottom w:val="none" w:sz="0" w:space="0" w:color="auto"/>
                <w:right w:val="none" w:sz="0" w:space="0" w:color="auto"/>
              </w:divBdr>
              <w:divsChild>
                <w:div w:id="396362826">
                  <w:marLeft w:val="0"/>
                  <w:marRight w:val="0"/>
                  <w:marTop w:val="0"/>
                  <w:marBottom w:val="120"/>
                  <w:divBdr>
                    <w:top w:val="none" w:sz="0" w:space="0" w:color="auto"/>
                    <w:left w:val="none" w:sz="0" w:space="0" w:color="auto"/>
                    <w:bottom w:val="none" w:sz="0" w:space="0" w:color="auto"/>
                    <w:right w:val="none" w:sz="0" w:space="0" w:color="auto"/>
                  </w:divBdr>
                </w:div>
                <w:div w:id="969244069">
                  <w:marLeft w:val="0"/>
                  <w:marRight w:val="0"/>
                  <w:marTop w:val="0"/>
                  <w:marBottom w:val="120"/>
                  <w:divBdr>
                    <w:top w:val="none" w:sz="0" w:space="0" w:color="auto"/>
                    <w:left w:val="none" w:sz="0" w:space="0" w:color="auto"/>
                    <w:bottom w:val="none" w:sz="0" w:space="0" w:color="auto"/>
                    <w:right w:val="none" w:sz="0" w:space="0" w:color="auto"/>
                  </w:divBdr>
                </w:div>
                <w:div w:id="1590650708">
                  <w:marLeft w:val="0"/>
                  <w:marRight w:val="0"/>
                  <w:marTop w:val="0"/>
                  <w:marBottom w:val="120"/>
                  <w:divBdr>
                    <w:top w:val="none" w:sz="0" w:space="0" w:color="auto"/>
                    <w:left w:val="none" w:sz="0" w:space="0" w:color="auto"/>
                    <w:bottom w:val="none" w:sz="0" w:space="0" w:color="auto"/>
                    <w:right w:val="none" w:sz="0" w:space="0" w:color="auto"/>
                  </w:divBdr>
                </w:div>
                <w:div w:id="906232333">
                  <w:marLeft w:val="0"/>
                  <w:marRight w:val="0"/>
                  <w:marTop w:val="0"/>
                  <w:marBottom w:val="120"/>
                  <w:divBdr>
                    <w:top w:val="none" w:sz="0" w:space="0" w:color="auto"/>
                    <w:left w:val="none" w:sz="0" w:space="0" w:color="auto"/>
                    <w:bottom w:val="none" w:sz="0" w:space="0" w:color="auto"/>
                    <w:right w:val="none" w:sz="0" w:space="0" w:color="auto"/>
                  </w:divBdr>
                </w:div>
                <w:div w:id="1710644394">
                  <w:marLeft w:val="720"/>
                  <w:marRight w:val="0"/>
                  <w:marTop w:val="0"/>
                  <w:marBottom w:val="120"/>
                  <w:divBdr>
                    <w:top w:val="none" w:sz="0" w:space="0" w:color="auto"/>
                    <w:left w:val="single" w:sz="4" w:space="6" w:color="999999"/>
                    <w:bottom w:val="none" w:sz="0" w:space="0" w:color="auto"/>
                    <w:right w:val="none" w:sz="0" w:space="0" w:color="auto"/>
                  </w:divBdr>
                  <w:divsChild>
                    <w:div w:id="1036344504">
                      <w:marLeft w:val="0"/>
                      <w:marRight w:val="0"/>
                      <w:marTop w:val="0"/>
                      <w:marBottom w:val="120"/>
                      <w:divBdr>
                        <w:top w:val="none" w:sz="0" w:space="0" w:color="auto"/>
                        <w:left w:val="none" w:sz="0" w:space="0" w:color="auto"/>
                        <w:bottom w:val="none" w:sz="0" w:space="0" w:color="auto"/>
                        <w:right w:val="none" w:sz="0" w:space="0" w:color="auto"/>
                      </w:divBdr>
                    </w:div>
                    <w:div w:id="371658276">
                      <w:marLeft w:val="0"/>
                      <w:marRight w:val="0"/>
                      <w:marTop w:val="0"/>
                      <w:marBottom w:val="120"/>
                      <w:divBdr>
                        <w:top w:val="none" w:sz="0" w:space="0" w:color="auto"/>
                        <w:left w:val="none" w:sz="0" w:space="0" w:color="auto"/>
                        <w:bottom w:val="none" w:sz="0" w:space="0" w:color="auto"/>
                        <w:right w:val="none" w:sz="0" w:space="0" w:color="auto"/>
                      </w:divBdr>
                    </w:div>
                    <w:div w:id="413169563">
                      <w:marLeft w:val="0"/>
                      <w:marRight w:val="0"/>
                      <w:marTop w:val="0"/>
                      <w:marBottom w:val="120"/>
                      <w:divBdr>
                        <w:top w:val="none" w:sz="0" w:space="0" w:color="auto"/>
                        <w:left w:val="none" w:sz="0" w:space="0" w:color="auto"/>
                        <w:bottom w:val="none" w:sz="0" w:space="0" w:color="auto"/>
                        <w:right w:val="none" w:sz="0" w:space="0" w:color="auto"/>
                      </w:divBdr>
                    </w:div>
                    <w:div w:id="784662820">
                      <w:marLeft w:val="0"/>
                      <w:marRight w:val="0"/>
                      <w:marTop w:val="0"/>
                      <w:marBottom w:val="120"/>
                      <w:divBdr>
                        <w:top w:val="none" w:sz="0" w:space="0" w:color="auto"/>
                        <w:left w:val="none" w:sz="0" w:space="0" w:color="auto"/>
                        <w:bottom w:val="none" w:sz="0" w:space="0" w:color="auto"/>
                        <w:right w:val="none" w:sz="0" w:space="0" w:color="auto"/>
                      </w:divBdr>
                    </w:div>
                    <w:div w:id="1289823445">
                      <w:marLeft w:val="0"/>
                      <w:marRight w:val="0"/>
                      <w:marTop w:val="0"/>
                      <w:marBottom w:val="120"/>
                      <w:divBdr>
                        <w:top w:val="none" w:sz="0" w:space="0" w:color="auto"/>
                        <w:left w:val="none" w:sz="0" w:space="0" w:color="auto"/>
                        <w:bottom w:val="none" w:sz="0" w:space="0" w:color="auto"/>
                        <w:right w:val="none" w:sz="0" w:space="0" w:color="auto"/>
                      </w:divBdr>
                    </w:div>
                    <w:div w:id="570122807">
                      <w:marLeft w:val="0"/>
                      <w:marRight w:val="0"/>
                      <w:marTop w:val="0"/>
                      <w:marBottom w:val="120"/>
                      <w:divBdr>
                        <w:top w:val="none" w:sz="0" w:space="0" w:color="auto"/>
                        <w:left w:val="none" w:sz="0" w:space="0" w:color="auto"/>
                        <w:bottom w:val="none" w:sz="0" w:space="0" w:color="auto"/>
                        <w:right w:val="none" w:sz="0" w:space="0" w:color="auto"/>
                      </w:divBdr>
                    </w:div>
                    <w:div w:id="258757949">
                      <w:marLeft w:val="0"/>
                      <w:marRight w:val="0"/>
                      <w:marTop w:val="0"/>
                      <w:marBottom w:val="120"/>
                      <w:divBdr>
                        <w:top w:val="none" w:sz="0" w:space="0" w:color="auto"/>
                        <w:left w:val="none" w:sz="0" w:space="0" w:color="auto"/>
                        <w:bottom w:val="none" w:sz="0" w:space="0" w:color="auto"/>
                        <w:right w:val="none" w:sz="0" w:space="0" w:color="auto"/>
                      </w:divBdr>
                    </w:div>
                    <w:div w:id="702025348">
                      <w:marLeft w:val="0"/>
                      <w:marRight w:val="0"/>
                      <w:marTop w:val="0"/>
                      <w:marBottom w:val="120"/>
                      <w:divBdr>
                        <w:top w:val="none" w:sz="0" w:space="0" w:color="auto"/>
                        <w:left w:val="none" w:sz="0" w:space="0" w:color="auto"/>
                        <w:bottom w:val="none" w:sz="0" w:space="0" w:color="auto"/>
                        <w:right w:val="none" w:sz="0" w:space="0" w:color="auto"/>
                      </w:divBdr>
                    </w:div>
                    <w:div w:id="14824289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52714709">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769496471">
      <w:bodyDiv w:val="1"/>
      <w:marLeft w:val="0"/>
      <w:marRight w:val="0"/>
      <w:marTop w:val="0"/>
      <w:marBottom w:val="0"/>
      <w:divBdr>
        <w:top w:val="none" w:sz="0" w:space="0" w:color="auto"/>
        <w:left w:val="none" w:sz="0" w:space="0" w:color="auto"/>
        <w:bottom w:val="none" w:sz="0" w:space="0" w:color="auto"/>
        <w:right w:val="none" w:sz="0" w:space="0" w:color="auto"/>
      </w:divBdr>
      <w:divsChild>
        <w:div w:id="108863219">
          <w:marLeft w:val="0"/>
          <w:marRight w:val="0"/>
          <w:marTop w:val="0"/>
          <w:marBottom w:val="0"/>
          <w:divBdr>
            <w:top w:val="single" w:sz="4" w:space="3" w:color="000000"/>
            <w:left w:val="single" w:sz="4" w:space="3" w:color="000000"/>
            <w:bottom w:val="single" w:sz="4" w:space="3" w:color="000000"/>
            <w:right w:val="single" w:sz="4" w:space="3" w:color="000000"/>
          </w:divBdr>
          <w:divsChild>
            <w:div w:id="42756399">
              <w:marLeft w:val="0"/>
              <w:marRight w:val="0"/>
              <w:marTop w:val="0"/>
              <w:marBottom w:val="240"/>
              <w:divBdr>
                <w:top w:val="none" w:sz="0" w:space="0" w:color="auto"/>
                <w:left w:val="none" w:sz="0" w:space="0" w:color="auto"/>
                <w:bottom w:val="none" w:sz="0" w:space="0" w:color="auto"/>
                <w:right w:val="none" w:sz="0" w:space="0" w:color="auto"/>
              </w:divBdr>
            </w:div>
            <w:div w:id="10181729">
              <w:marLeft w:val="0"/>
              <w:marRight w:val="0"/>
              <w:marTop w:val="0"/>
              <w:marBottom w:val="0"/>
              <w:divBdr>
                <w:top w:val="none" w:sz="0" w:space="0" w:color="auto"/>
                <w:left w:val="none" w:sz="0" w:space="0" w:color="auto"/>
                <w:bottom w:val="none" w:sz="0" w:space="0" w:color="auto"/>
                <w:right w:val="none" w:sz="0" w:space="0" w:color="auto"/>
              </w:divBdr>
              <w:divsChild>
                <w:div w:id="1425035026">
                  <w:marLeft w:val="0"/>
                  <w:marRight w:val="0"/>
                  <w:marTop w:val="0"/>
                  <w:marBottom w:val="120"/>
                  <w:divBdr>
                    <w:top w:val="none" w:sz="0" w:space="0" w:color="auto"/>
                    <w:left w:val="none" w:sz="0" w:space="0" w:color="auto"/>
                    <w:bottom w:val="none" w:sz="0" w:space="0" w:color="auto"/>
                    <w:right w:val="none" w:sz="0" w:space="0" w:color="auto"/>
                  </w:divBdr>
                </w:div>
                <w:div w:id="787047655">
                  <w:marLeft w:val="0"/>
                  <w:marRight w:val="0"/>
                  <w:marTop w:val="0"/>
                  <w:marBottom w:val="120"/>
                  <w:divBdr>
                    <w:top w:val="none" w:sz="0" w:space="0" w:color="auto"/>
                    <w:left w:val="none" w:sz="0" w:space="0" w:color="auto"/>
                    <w:bottom w:val="none" w:sz="0" w:space="0" w:color="auto"/>
                    <w:right w:val="none" w:sz="0" w:space="0" w:color="auto"/>
                  </w:divBdr>
                </w:div>
                <w:div w:id="553002101">
                  <w:marLeft w:val="0"/>
                  <w:marRight w:val="0"/>
                  <w:marTop w:val="0"/>
                  <w:marBottom w:val="120"/>
                  <w:divBdr>
                    <w:top w:val="none" w:sz="0" w:space="0" w:color="auto"/>
                    <w:left w:val="none" w:sz="0" w:space="0" w:color="auto"/>
                    <w:bottom w:val="none" w:sz="0" w:space="0" w:color="auto"/>
                    <w:right w:val="none" w:sz="0" w:space="0" w:color="auto"/>
                  </w:divBdr>
                </w:div>
                <w:div w:id="724330052">
                  <w:marLeft w:val="0"/>
                  <w:marRight w:val="0"/>
                  <w:marTop w:val="0"/>
                  <w:marBottom w:val="120"/>
                  <w:divBdr>
                    <w:top w:val="none" w:sz="0" w:space="0" w:color="auto"/>
                    <w:left w:val="none" w:sz="0" w:space="0" w:color="auto"/>
                    <w:bottom w:val="none" w:sz="0" w:space="0" w:color="auto"/>
                    <w:right w:val="none" w:sz="0" w:space="0" w:color="auto"/>
                  </w:divBdr>
                </w:div>
                <w:div w:id="1575162768">
                  <w:marLeft w:val="0"/>
                  <w:marRight w:val="0"/>
                  <w:marTop w:val="0"/>
                  <w:marBottom w:val="120"/>
                  <w:divBdr>
                    <w:top w:val="none" w:sz="0" w:space="0" w:color="auto"/>
                    <w:left w:val="none" w:sz="0" w:space="0" w:color="auto"/>
                    <w:bottom w:val="none" w:sz="0" w:space="0" w:color="auto"/>
                    <w:right w:val="none" w:sz="0" w:space="0" w:color="auto"/>
                  </w:divBdr>
                </w:div>
                <w:div w:id="2086996604">
                  <w:marLeft w:val="0"/>
                  <w:marRight w:val="0"/>
                  <w:marTop w:val="0"/>
                  <w:marBottom w:val="120"/>
                  <w:divBdr>
                    <w:top w:val="none" w:sz="0" w:space="0" w:color="auto"/>
                    <w:left w:val="none" w:sz="0" w:space="0" w:color="auto"/>
                    <w:bottom w:val="none" w:sz="0" w:space="0" w:color="auto"/>
                    <w:right w:val="none" w:sz="0" w:space="0" w:color="auto"/>
                  </w:divBdr>
                </w:div>
                <w:div w:id="1130856028">
                  <w:marLeft w:val="0"/>
                  <w:marRight w:val="0"/>
                  <w:marTop w:val="0"/>
                  <w:marBottom w:val="120"/>
                  <w:divBdr>
                    <w:top w:val="none" w:sz="0" w:space="0" w:color="auto"/>
                    <w:left w:val="none" w:sz="0" w:space="0" w:color="auto"/>
                    <w:bottom w:val="none" w:sz="0" w:space="0" w:color="auto"/>
                    <w:right w:val="none" w:sz="0" w:space="0" w:color="auto"/>
                  </w:divBdr>
                </w:div>
                <w:div w:id="1039087471">
                  <w:marLeft w:val="0"/>
                  <w:marRight w:val="0"/>
                  <w:marTop w:val="0"/>
                  <w:marBottom w:val="120"/>
                  <w:divBdr>
                    <w:top w:val="none" w:sz="0" w:space="0" w:color="auto"/>
                    <w:left w:val="none" w:sz="0" w:space="0" w:color="auto"/>
                    <w:bottom w:val="none" w:sz="0" w:space="0" w:color="auto"/>
                    <w:right w:val="none" w:sz="0" w:space="0" w:color="auto"/>
                  </w:divBdr>
                </w:div>
                <w:div w:id="881213454">
                  <w:marLeft w:val="0"/>
                  <w:marRight w:val="0"/>
                  <w:marTop w:val="0"/>
                  <w:marBottom w:val="120"/>
                  <w:divBdr>
                    <w:top w:val="none" w:sz="0" w:space="0" w:color="auto"/>
                    <w:left w:val="none" w:sz="0" w:space="0" w:color="auto"/>
                    <w:bottom w:val="none" w:sz="0" w:space="0" w:color="auto"/>
                    <w:right w:val="none" w:sz="0" w:space="0" w:color="auto"/>
                  </w:divBdr>
                </w:div>
              </w:divsChild>
            </w:div>
            <w:div w:id="623968993">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R Houle</dc:creator>
  <cp:keywords/>
  <dc:description/>
  <cp:lastModifiedBy>Stanley R Houle</cp:lastModifiedBy>
  <cp:revision>1</cp:revision>
  <dcterms:created xsi:type="dcterms:W3CDTF">2009-07-15T14:55:00Z</dcterms:created>
  <dcterms:modified xsi:type="dcterms:W3CDTF">2009-07-15T15:11:00Z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-1849621628</vt:i4>
  </property>
  <property fmtid="{D5CDD505-2E9C-101B-9397-08002B2CF9AE}" pid="3" name="_NewReviewCycle">
    <vt:lpwstr/>
  </property>
  <property fmtid="{D5CDD505-2E9C-101B-9397-08002B2CF9AE}" pid="4" name="_EmailSubject">
    <vt:lpwstr>Departmental Review:   OMB Information Collection 2502-New-50 Delegated Processing</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-52691074</vt:i4>
  </property>
</Properties>
</file>