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2E5" w:rsidRDefault="007F32E5" w:rsidP="007F32E5">
      <w:r>
        <w:rPr>
          <w:lang w:val="en-CA"/>
        </w:rPr>
        <w:fldChar w:fldCharType="begin"/>
      </w:r>
      <w:r>
        <w:rPr>
          <w:lang w:val="en-CA"/>
        </w:rPr>
        <w:instrText xml:space="preserve"> SEQ CHAPTER \h \r 1</w:instrText>
      </w:r>
      <w:r>
        <w:rPr>
          <w:lang w:val="en-CA"/>
        </w:rPr>
        <w:fldChar w:fldCharType="end"/>
      </w:r>
    </w:p>
    <w:p w:rsidR="007F32E5" w:rsidRDefault="007F32E5" w:rsidP="007F32E5">
      <w:pPr>
        <w:sectPr w:rsidR="007F32E5" w:rsidSect="007F32E5">
          <w:pgSz w:w="12240" w:h="15840"/>
          <w:pgMar w:top="1440" w:right="1440" w:bottom="1440" w:left="1440" w:header="1440" w:footer="1440" w:gutter="0"/>
          <w:cols w:space="720"/>
        </w:sectPr>
      </w:pPr>
    </w:p>
    <w:p w:rsidR="007F32E5" w:rsidRDefault="007F32E5" w:rsidP="007F32E5">
      <w:proofErr w:type="gramStart"/>
      <w:r>
        <w:rPr>
          <w:b/>
          <w:bCs/>
        </w:rPr>
        <w:lastRenderedPageBreak/>
        <w:t>{35.150 Existing facilities.</w:t>
      </w:r>
      <w:proofErr w:type="gramEnd"/>
      <w:r>
        <w:t xml:space="preserve"> </w:t>
      </w:r>
    </w:p>
    <w:p w:rsidR="007F32E5" w:rsidRPr="007F32E5" w:rsidRDefault="007F32E5" w:rsidP="007F32E5">
      <w:pPr>
        <w:pStyle w:val="17"/>
        <w:spacing w:after="99"/>
      </w:pPr>
    </w:p>
    <w:p w:rsidR="007F32E5" w:rsidRDefault="007F32E5" w:rsidP="007F32E5">
      <w:pPr>
        <w:pStyle w:val="17"/>
        <w:numPr>
          <w:ilvl w:val="0"/>
          <w:numId w:val="1"/>
        </w:numPr>
        <w:spacing w:after="99"/>
      </w:pPr>
      <w:r>
        <w:rPr>
          <w:sz w:val="20"/>
          <w:szCs w:val="20"/>
        </w:rPr>
        <w:t xml:space="preserve"> </w:t>
      </w:r>
      <w:r>
        <w:t xml:space="preserve">Consistent with section 204(b) of the Act, this regulation adopts the program accessibility concept found in the section 504 regulations for federally conducted programs or activities (e.g., 28 CFR Part 39). The concept of "program accessibility" was first used in the section 504 regulation adopted by the Department of Health, Education, and Welfare for its federally assisted programs and activities in 1977. It allowed recipients to make their federally assisted programs and activities available to individuals with disabilities without extensive retrofitting of their existing buildings and facilities, by offering those programs through alternative methods. Program accessibility has proven to be a useful approach and was adopted in the regulations issued for programs and activities conducted by Federal Executive agencies. The Act provides that the concept of program access will continue to apply with respect to facilities now in existence, because the cost of retrofitting existing facilities is often prohibitive. </w:t>
      </w:r>
    </w:p>
    <w:p w:rsidR="007F32E5" w:rsidRDefault="007F32E5" w:rsidP="007F32E5">
      <w:pPr>
        <w:numPr>
          <w:ilvl w:val="12"/>
          <w:numId w:val="0"/>
        </w:numPr>
        <w:spacing w:before="99" w:after="99"/>
      </w:pPr>
      <w:r>
        <w:t>Section 35.150 requires that each service, program, or activity conducted by a public entity, when viewed in its entirety, be readily accessible to and usable by individuals with disabilities. The regulation makes clear, however, that a public entity is not required to make each of its existing facilities accessible ({35.150(a</w:t>
      </w:r>
      <w:proofErr w:type="gramStart"/>
      <w:r>
        <w:t>)(</w:t>
      </w:r>
      <w:proofErr w:type="gramEnd"/>
      <w:r>
        <w:t xml:space="preserve">1)). Unlike title III of the Act, which requires public accommodations to remove architectural barriers where such removal is "readily achievable," or to provide goods and services through alternative methods, where those methods are "readily achievable," title II requires a public entity to make its programs accessible in all cases, except where to do so would result in a fundamental alteration in the nature of the program or in undue financial and administrative burdens. Congress intended the "undue burden" standard in title II to be significantly higher than the "readily achievable" standard in title III. Thus, although title II may not require removal of barriers in some cases where removal would be required under title III, the program access requirement of title II should enable individuals with disabilities to participate in and benefit from the services, programs, or activities of public entities in all but the most unusual cases. </w:t>
      </w:r>
    </w:p>
    <w:p w:rsidR="007F32E5" w:rsidRDefault="007F32E5" w:rsidP="007F32E5">
      <w:pPr>
        <w:numPr>
          <w:ilvl w:val="12"/>
          <w:numId w:val="0"/>
        </w:numPr>
        <w:spacing w:before="99" w:after="99"/>
      </w:pPr>
      <w:r>
        <w:t>Paragraph (a</w:t>
      </w:r>
      <w:proofErr w:type="gramStart"/>
      <w:r>
        <w:t>)(</w:t>
      </w:r>
      <w:proofErr w:type="gramEnd"/>
      <w:r>
        <w:t xml:space="preserve">2), which establishes a special limitation on the obligation to ensure program accessibility in historic preservation programs, is discussed below in connection with paragraph (b). </w:t>
      </w:r>
    </w:p>
    <w:p w:rsidR="007F32E5" w:rsidRDefault="007F32E5" w:rsidP="007F32E5">
      <w:pPr>
        <w:numPr>
          <w:ilvl w:val="12"/>
          <w:numId w:val="0"/>
        </w:numPr>
        <w:spacing w:before="99" w:after="99"/>
      </w:pPr>
      <w:r>
        <w:t>Paragraph (a</w:t>
      </w:r>
      <w:proofErr w:type="gramStart"/>
      <w:r>
        <w:t>)(</w:t>
      </w:r>
      <w:proofErr w:type="gramEnd"/>
      <w:r>
        <w:t xml:space="preserve">3), which is taken from the section 504 regulations for federally conducted programs, generally codifies case law that defines the scope of the public entity's obligation to ensure program accessibility. This paragraph provides that, in meeting the program accessibility requirement, a public entity is not required to take any action that would result in a fundamental alteration in the nature of its service, program, or activity or in undue financial and administrative burdens. A similar limitation is provided in {35.164. </w:t>
      </w:r>
    </w:p>
    <w:p w:rsidR="007F32E5" w:rsidRDefault="007F32E5" w:rsidP="007F32E5">
      <w:pPr>
        <w:numPr>
          <w:ilvl w:val="12"/>
          <w:numId w:val="0"/>
        </w:numPr>
        <w:spacing w:before="99" w:after="99"/>
      </w:pPr>
      <w:r>
        <w:t xml:space="preserve">This paragraph does not establish an absolute defense; it does not relieve a public entity of all obligations to individuals with disabilities. Although a public entity is not required to take actions that would result in a fundamental alteration in the nature of a service, program, or activity or in undue financial and administrative burdens, it nevertheless must take any other steps necessary to ensure that individuals with disabilities receive the benefits or services provided by the public entity. </w:t>
      </w:r>
    </w:p>
    <w:p w:rsidR="007F32E5" w:rsidRDefault="007F32E5" w:rsidP="007F32E5">
      <w:pPr>
        <w:numPr>
          <w:ilvl w:val="12"/>
          <w:numId w:val="0"/>
        </w:numPr>
        <w:spacing w:before="99" w:after="99"/>
      </w:pPr>
      <w:r>
        <w:lastRenderedPageBreak/>
        <w:t xml:space="preserve">It is the Department's view that compliance with {35.150(a), like compliance with the corresponding provisions of the section 504 regulations for federally conducted programs, would in most cases not result in undue financial and administrative burdens on a public entity. In determining whether financial and administrative burdens are undue, all public entity resources available for use in the funding and operation of the service, program, or activity should be considered. The burden of proving that compliance with paragraph (a) of {35.150 would fundamentally alter the nature of a service, program, or activity or would result in undue financial and administrative burdens rests with the public entity. </w:t>
      </w:r>
    </w:p>
    <w:p w:rsidR="007F32E5" w:rsidRDefault="007F32E5" w:rsidP="007F32E5">
      <w:pPr>
        <w:numPr>
          <w:ilvl w:val="12"/>
          <w:numId w:val="0"/>
        </w:numPr>
        <w:spacing w:before="99" w:after="99"/>
      </w:pPr>
      <w:r>
        <w:t xml:space="preserve">The decision that compliance would result in such alteration or burdens must be made by the head of the public entity or his or her designee and must be accompanied by a written statement of the reasons for reaching that conclusion. The Department recognizes the difficulty of identifying the official responsible for this determination, given the variety of organizational forms that may be taken by public entities and their components. The intention of this paragraph is that the determination must be made by a high level official, no lower than a Department head, having budgetary authority and responsibility for making spending decisions. </w:t>
      </w:r>
    </w:p>
    <w:p w:rsidR="007F32E5" w:rsidRDefault="007F32E5" w:rsidP="007F32E5">
      <w:pPr>
        <w:numPr>
          <w:ilvl w:val="12"/>
          <w:numId w:val="0"/>
        </w:numPr>
        <w:spacing w:before="99" w:after="99"/>
      </w:pPr>
      <w:r>
        <w:t xml:space="preserve">Any person who believes that he or she or any specific class of persons has been injured by the public entity head's decision or failure to make a decision may file a complaint under the compliance procedures established in subpart F. </w:t>
      </w:r>
    </w:p>
    <w:p w:rsidR="007F32E5" w:rsidRDefault="007F32E5" w:rsidP="007F32E5">
      <w:pPr>
        <w:numPr>
          <w:ilvl w:val="12"/>
          <w:numId w:val="0"/>
        </w:numPr>
        <w:spacing w:before="99" w:after="99"/>
      </w:pPr>
      <w:r>
        <w:t xml:space="preserve">Paragraph (b)(1) sets forth a number of means by which program accessibility may be achieved, including redesign of equipment, reassignment of services to accessible buildings, and provision of aides. </w:t>
      </w:r>
    </w:p>
    <w:p w:rsidR="007F32E5" w:rsidRDefault="007F32E5" w:rsidP="007F32E5">
      <w:pPr>
        <w:numPr>
          <w:ilvl w:val="12"/>
          <w:numId w:val="0"/>
        </w:numPr>
        <w:spacing w:before="99" w:after="99"/>
      </w:pPr>
      <w:r>
        <w:t xml:space="preserve">The Department wishes to clarify that, consistent with longstanding interpretation of section 504, carrying an individual with a disability is considered an ineffective and therefore an unacceptable method for achieving program accessibility. </w:t>
      </w:r>
      <w:proofErr w:type="gramStart"/>
      <w:r>
        <w:t>Department of Health, Education, and Welfare, Office of Civil Rights, Policy Interpretation No. 4, 43 Fed.</w:t>
      </w:r>
      <w:proofErr w:type="gramEnd"/>
      <w:r>
        <w:t xml:space="preserve"> Reg. 36035 (August 14, 1978). Carrying will be permitted only in manifestly exceptional cases, and only if all personnel who are permitted to participate in carrying an individual with a disability are formally instructed on the safest and least humiliating means of carrying. "Manifestly exceptional" cases in which carrying would be permitted might include, for example, programs conducted in unique facilities, such as an oceanographic vessel, for which structural changes and devices necessary to adapt the facility for use by individuals with mobility impairments are unavailable or prohibitively expensive. Carrying is not permitted as an alternative to structural modifications such as installation of a ramp or a chairlift. </w:t>
      </w:r>
    </w:p>
    <w:p w:rsidR="007F32E5" w:rsidRDefault="007F32E5" w:rsidP="007F32E5">
      <w:pPr>
        <w:numPr>
          <w:ilvl w:val="12"/>
          <w:numId w:val="0"/>
        </w:numPr>
        <w:spacing w:before="99" w:after="99"/>
      </w:pPr>
      <w:r>
        <w:t xml:space="preserve">In choosing among methods, the public entity shall give priority consideration to those that will be consistent with provision of services in the most integrated setting appropriate to the needs of individuals with disabilities. Structural changes in existing facilities are required only when there is no other feasible way to make the public entity's program accessible. (It should be noted that "structural changes" include all physical changes to a facility; the term does not refer only to changes to structural features, such as removal of or alteration to a load-bearing structural member.) The requirements of {35.151 for alterations apply to structural changes undertaken to comply with this section. The public entity may comply with the program accessibility requirement by delivering services at alternate accessible sites or making home visits as appropriate. </w:t>
      </w:r>
    </w:p>
    <w:p w:rsidR="007F32E5" w:rsidRDefault="007F32E5" w:rsidP="007F32E5">
      <w:pPr>
        <w:numPr>
          <w:ilvl w:val="12"/>
          <w:numId w:val="0"/>
        </w:numPr>
        <w:spacing w:before="99" w:after="99"/>
      </w:pPr>
      <w:proofErr w:type="gramStart"/>
      <w:r>
        <w:lastRenderedPageBreak/>
        <w:t>Historic preservation programs.</w:t>
      </w:r>
      <w:proofErr w:type="gramEnd"/>
      <w:r>
        <w:t xml:space="preserve"> In order to avoid possible conflict between the congressional mandates to preserve historic properties, on the one hand, and to eliminate discrimination against individuals with disabilities on the other, paragraph (a</w:t>
      </w:r>
      <w:proofErr w:type="gramStart"/>
      <w:r>
        <w:t>)(</w:t>
      </w:r>
      <w:proofErr w:type="gramEnd"/>
      <w:r>
        <w:t>2) provides that a public entity is not required to take any action that would threaten or destroy the historic significance of an historic property. The special limitation on program accessibility set forth in paragraph (a</w:t>
      </w:r>
      <w:proofErr w:type="gramStart"/>
      <w:r>
        <w:t>)(</w:t>
      </w:r>
      <w:proofErr w:type="gramEnd"/>
      <w:r>
        <w:t xml:space="preserve">2) is applicable only to historic preservation programs, as defined in {35.104, that is, programs that have preservation of historic properties as a primary purpose. Narrow application of the special limitation is justified because of the inherent flexibility of the program accessibility requirement. Where historic preservation is not a primary purpose of the program, the public entity is not required to use a particular facility. It can relocate all or part of its program to an accessible facility, make home visits, or use other standard methods of achieving program accessibility without making structural alterations that might threaten or destroy significant historic features of the historic property. Thus, government programs located in historic properties, such as an historic State capitol, are not excused from the requirement for program access. </w:t>
      </w:r>
    </w:p>
    <w:p w:rsidR="007F32E5" w:rsidRDefault="007F32E5" w:rsidP="007F32E5">
      <w:pPr>
        <w:numPr>
          <w:ilvl w:val="12"/>
          <w:numId w:val="0"/>
        </w:numPr>
        <w:spacing w:before="99" w:after="99"/>
      </w:pPr>
      <w:r>
        <w:t>Paragraph (a</w:t>
      </w:r>
      <w:proofErr w:type="gramStart"/>
      <w:r>
        <w:t>)(</w:t>
      </w:r>
      <w:proofErr w:type="gramEnd"/>
      <w:r>
        <w:t>2), therefore, will apply only to those programs that uniquely concern the preservation and experience of the historic property itself. Because the primary benefit of an historic preservation program is the experience of the historic property, paragraph (b</w:t>
      </w:r>
      <w:proofErr w:type="gramStart"/>
      <w:r>
        <w:t>)(</w:t>
      </w:r>
      <w:proofErr w:type="gramEnd"/>
      <w:r>
        <w:t xml:space="preserve">2) requires the public entity to give priority to methods of providing program accessibility that permit individuals with disabilities to have physical access to the historic property. This priority on physical access may also be viewed as a specific application of the general requirement that the public entity administer programs in the most integrated setting appropriate to the needs of qualified individuals with disabilities ({35.130(d)). Only when providing physical access would threaten or destroy the historic significance of an historic property, or would result in a fundamental alteration in the nature of the program or in undue financial and administrative burdens, </w:t>
      </w:r>
      <w:proofErr w:type="gramStart"/>
      <w:r>
        <w:t>may</w:t>
      </w:r>
      <w:proofErr w:type="gramEnd"/>
      <w:r>
        <w:t xml:space="preserve"> the public entity adopt alternative methods for providing program accessibility that do not ensure physical access. Examples of some alternative methods are provided in paragraph (b</w:t>
      </w:r>
      <w:proofErr w:type="gramStart"/>
      <w:r>
        <w:t>)(</w:t>
      </w:r>
      <w:proofErr w:type="gramEnd"/>
      <w:r>
        <w:t xml:space="preserve">2). </w:t>
      </w:r>
    </w:p>
    <w:p w:rsidR="007F32E5" w:rsidRDefault="007F32E5" w:rsidP="007F32E5">
      <w:pPr>
        <w:numPr>
          <w:ilvl w:val="12"/>
          <w:numId w:val="0"/>
        </w:numPr>
        <w:spacing w:before="99" w:after="99"/>
      </w:pPr>
      <w:proofErr w:type="gramStart"/>
      <w:r>
        <w:t>Time periods.</w:t>
      </w:r>
      <w:proofErr w:type="gramEnd"/>
      <w:r>
        <w:t xml:space="preserve"> Paragraphs (c) and (d) establish time periods for complying with the program accessibility requirement. Like the regulations for federally assisted programs (e.g., 28 CFR 41.57(b)), paragraph (c) requires the public entity to make any necessary structural changes in facilities as soon as practicable, but in no event later than three years after the effective date of this regulation. </w:t>
      </w:r>
    </w:p>
    <w:p w:rsidR="007F32E5" w:rsidRDefault="007F32E5" w:rsidP="007F32E5">
      <w:pPr>
        <w:numPr>
          <w:ilvl w:val="12"/>
          <w:numId w:val="0"/>
        </w:numPr>
        <w:spacing w:before="99" w:after="99"/>
      </w:pPr>
      <w:r>
        <w:t xml:space="preserve">The proposed rule provided that, aside from structural changes, all other necessary steps to achieve compliance with this part must be taken within sixty days. The sixty day period was taken from regulations implementing section 504, which generally were effective no more than thirty days after publication. Because this regulation will not be effective until January 26, 1992, the Department has concluded that no additional transition period for non-structural changes is necessary, so the sixty day period has been omitted in the final rule. Of course, this section does not reduce or eliminate any obligations that are already applicable to a public entity under section 504. </w:t>
      </w:r>
    </w:p>
    <w:p w:rsidR="007F32E5" w:rsidRDefault="007F32E5" w:rsidP="007F32E5">
      <w:pPr>
        <w:numPr>
          <w:ilvl w:val="12"/>
          <w:numId w:val="0"/>
        </w:numPr>
        <w:spacing w:before="99" w:after="99"/>
      </w:pPr>
      <w:r>
        <w:t xml:space="preserve">Where structural modifications are required, paragraph (d) requires that a transition plan be developed by an entity that employs 50 or more persons, within six months of the effective date of this regulation. The legislative history of title II of the ADA makes it clear that, under title II, "local and state governments are required to provide curb cuts on public streets." Education and Labor report at 84. As the rationale for the provision of curb cuts, the House report explains, </w:t>
      </w:r>
      <w:r>
        <w:lastRenderedPageBreak/>
        <w:t>"The employment, transportation, and public accommodation sections of . . . [the ADA] would be meaningless if people who use wheelchairs were not afforded the opportunity to travel on and between the streets." Id. Section 35.151(e), which establishes accessibility requirements for new construction and alterations, requires that all newly constructed or altered streets, roads, or highways must contain curb ramps or other sloped areas at any intersection having curbs or other barriers to entry from a street level pedestrian walkway, and all newly constructed or altered street level pedestrian walkways must have curb ramps or other sloped areas at intersections to streets, roads, or highways. A new paragraph (d</w:t>
      </w:r>
      <w:proofErr w:type="gramStart"/>
      <w:r>
        <w:t>)(</w:t>
      </w:r>
      <w:proofErr w:type="gramEnd"/>
      <w:r>
        <w:t xml:space="preserve">2) has been added to the final rule to clarify the application of the general requirement for program accessibility to the provision of curb cuts at existing crosswalks. This paragraph requires that the transition plan include a schedule for providing curb ramps or other sloped areas at existing pedestrian walkways, giving priority to walkways serving entities covered by the Act, including State and local government offices and facilities, transportation, public accommodations, and employers, followed by walkways serving other areas. Pedestrian "walkways" include locations where access is required for use of public transportation, such as bus stops that are not located at intersections or crosswalks. </w:t>
      </w:r>
    </w:p>
    <w:p w:rsidR="007F32E5" w:rsidRDefault="007F32E5" w:rsidP="007F32E5">
      <w:pPr>
        <w:numPr>
          <w:ilvl w:val="12"/>
          <w:numId w:val="0"/>
        </w:numPr>
        <w:spacing w:before="99" w:after="99"/>
      </w:pPr>
      <w:r>
        <w:t xml:space="preserve">Similarly, a public entity should provide an adequate number of accessible parking spaces in existing parking lots or garages over which it has jurisdiction. </w:t>
      </w:r>
    </w:p>
    <w:p w:rsidR="007F32E5" w:rsidRDefault="007F32E5" w:rsidP="007F32E5">
      <w:pPr>
        <w:numPr>
          <w:ilvl w:val="12"/>
          <w:numId w:val="0"/>
        </w:numPr>
        <w:spacing w:before="99" w:after="99"/>
      </w:pPr>
      <w:r>
        <w:t xml:space="preserve">Paragraph (d)(3) provides that, if a public entity has already completed a transition plan required by a regulation implementing section 504, the transition plan required by this part will apply only to those policies and practices that were not covered by the previous transition plan. Some </w:t>
      </w:r>
      <w:proofErr w:type="spellStart"/>
      <w:r>
        <w:t>commenters</w:t>
      </w:r>
      <w:proofErr w:type="spellEnd"/>
      <w:r>
        <w:t xml:space="preserve"> suggested that the transition plan should include all aspects of the public entity's operations, including those that may have been covered by a previous transition plan under section 504. The Department believes that such a duplicative requirement would be inappropriate. Many public entities may find, however, that it will be simpler to include all of their operations in the transition plan than to attempt to identify and exclude specifically those that were addressed in a previous plan. Of course, entities covered under section 504 are not shielded from their obligations under that statute merely because they are included under the transition plan developed under this section.</w:t>
      </w:r>
    </w:p>
    <w:p w:rsidR="00AE1C03" w:rsidRDefault="007F32E5"/>
    <w:sectPr w:rsidR="00AE1C03" w:rsidSect="00C54FD8">
      <w:type w:val="continuous"/>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66BE4"/>
    <w:multiLevelType w:val="multilevel"/>
    <w:tmpl w:val="91A4EDD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32E5"/>
    <w:rsid w:val="000B6136"/>
    <w:rsid w:val="002B31C3"/>
    <w:rsid w:val="005C3ACB"/>
    <w:rsid w:val="007F32E5"/>
    <w:rsid w:val="00A72641"/>
    <w:rsid w:val="00CE323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7F32E5"/>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7F3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2090</Words>
  <Characters>11915</Characters>
  <Application>Microsoft Office Word</Application>
  <DocSecurity>0</DocSecurity>
  <Lines>99</Lines>
  <Paragraphs>27</Paragraphs>
  <ScaleCrop>false</ScaleCrop>
  <Company>CRT</Company>
  <LinksUpToDate>false</LinksUpToDate>
  <CharactersWithSpaces>13978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jhahm</cp:lastModifiedBy>
  <cp:revision>1</cp:revision>
  <dcterms:created xsi:type="dcterms:W3CDTF">2010-05-19T21:08:00Z</dcterms:created>
  <dcterms:modified xsi:type="dcterms:W3CDTF">2010-05-19T21:09:00Z</dcterms:modified>
</cp:coreProperties>
</file>