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2C9" w:rsidRPr="007D7A66" w:rsidRDefault="00EF32C9" w:rsidP="00AF7DD0">
      <w:pPr>
        <w:pStyle w:val="BodyText3"/>
        <w:spacing w:before="60" w:after="0"/>
        <w:rPr>
          <w:rFonts w:cs="Arial"/>
          <w:b/>
          <w:bCs/>
          <w:sz w:val="24"/>
          <w:szCs w:val="24"/>
        </w:rPr>
      </w:pPr>
      <w:r w:rsidRPr="007D7A66">
        <w:rPr>
          <w:rFonts w:cs="Arial"/>
          <w:b/>
          <w:bCs/>
          <w:sz w:val="24"/>
          <w:szCs w:val="24"/>
        </w:rPr>
        <w:t xml:space="preserve">Memorandum </w:t>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t xml:space="preserve">United States Department of Education </w:t>
      </w:r>
    </w:p>
    <w:p w:rsidR="00EF32C9" w:rsidRPr="007D7A66" w:rsidRDefault="00EF32C9" w:rsidP="00AF7DD0">
      <w:pPr>
        <w:pStyle w:val="BodyText3"/>
        <w:spacing w:before="60" w:after="0"/>
        <w:rPr>
          <w:rFonts w:cs="Arial"/>
          <w:b/>
          <w:bCs/>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Type">
        <w:smartTag w:uri="urn:schemas-microsoft-com:office:smarttags" w:element="place">
          <w:r w:rsidRPr="007D7A66">
            <w:rPr>
              <w:rFonts w:cs="Arial"/>
              <w:b/>
              <w:bCs/>
              <w:sz w:val="24"/>
              <w:szCs w:val="24"/>
            </w:rPr>
            <w:t>Institute</w:t>
          </w:r>
        </w:smartTag>
        <w:r w:rsidRPr="007D7A66">
          <w:rPr>
            <w:rFonts w:cs="Arial"/>
            <w:b/>
            <w:bCs/>
            <w:sz w:val="24"/>
            <w:szCs w:val="24"/>
          </w:rPr>
          <w:t xml:space="preserve"> of </w:t>
        </w:r>
        <w:smartTag w:uri="urn:schemas-microsoft-com:office:smarttags" w:element="PlaceName">
          <w:r w:rsidRPr="007D7A66">
            <w:rPr>
              <w:rFonts w:cs="Arial"/>
              <w:b/>
              <w:bCs/>
              <w:sz w:val="24"/>
              <w:szCs w:val="24"/>
            </w:rPr>
            <w:t>Education</w:t>
          </w:r>
        </w:smartTag>
      </w:smartTag>
      <w:r w:rsidRPr="007D7A66">
        <w:rPr>
          <w:rFonts w:cs="Arial"/>
          <w:b/>
          <w:bCs/>
          <w:sz w:val="24"/>
          <w:szCs w:val="24"/>
        </w:rPr>
        <w:t xml:space="preserve"> Sciences</w:t>
      </w:r>
    </w:p>
    <w:p w:rsidR="00EF32C9" w:rsidRPr="007D7A66" w:rsidRDefault="00EF32C9" w:rsidP="00AF7DD0">
      <w:pPr>
        <w:pStyle w:val="BodyText3"/>
        <w:pBdr>
          <w:bottom w:val="single" w:sz="24" w:space="1" w:color="auto"/>
        </w:pBdr>
        <w:spacing w:before="60" w:after="0"/>
        <w:rPr>
          <w:rFonts w:cs="Arial"/>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Name">
        <w:smartTag w:uri="urn:schemas-microsoft-com:office:smarttags" w:element="place">
          <w:r w:rsidRPr="007D7A66">
            <w:rPr>
              <w:rFonts w:cs="Arial"/>
              <w:b/>
              <w:bCs/>
              <w:sz w:val="24"/>
              <w:szCs w:val="24"/>
            </w:rPr>
            <w:t>National</w:t>
          </w:r>
        </w:smartTag>
        <w:r w:rsidRPr="007D7A66">
          <w:rPr>
            <w:rFonts w:cs="Arial"/>
            <w:b/>
            <w:bCs/>
            <w:sz w:val="24"/>
            <w:szCs w:val="24"/>
          </w:rPr>
          <w:t xml:space="preserve"> </w:t>
        </w:r>
        <w:smartTag w:uri="urn:schemas-microsoft-com:office:smarttags" w:element="PlaceType">
          <w:r w:rsidRPr="007D7A66">
            <w:rPr>
              <w:rFonts w:cs="Arial"/>
              <w:b/>
              <w:bCs/>
              <w:sz w:val="24"/>
              <w:szCs w:val="24"/>
            </w:rPr>
            <w:t>Center</w:t>
          </w:r>
        </w:smartTag>
      </w:smartTag>
      <w:r w:rsidRPr="007D7A66">
        <w:rPr>
          <w:rFonts w:cs="Arial"/>
          <w:b/>
          <w:bCs/>
          <w:sz w:val="24"/>
          <w:szCs w:val="24"/>
        </w:rPr>
        <w:t xml:space="preserve"> for Education Statistics</w:t>
      </w:r>
    </w:p>
    <w:p w:rsidR="00EF32C9" w:rsidRPr="007D7A66" w:rsidRDefault="00EF32C9" w:rsidP="00AF7DD0">
      <w:pPr>
        <w:pBdr>
          <w:bottom w:val="single" w:sz="24" w:space="1" w:color="auto"/>
        </w:pBdr>
        <w:spacing w:before="60"/>
        <w:rPr>
          <w:rFonts w:cs="Arial"/>
          <w:sz w:val="24"/>
        </w:rPr>
      </w:pPr>
    </w:p>
    <w:p w:rsidR="00EF32C9" w:rsidRPr="007D7A66" w:rsidRDefault="00EF32C9" w:rsidP="004A2714">
      <w:pPr>
        <w:rPr>
          <w:rFonts w:cs="Arial"/>
          <w:sz w:val="24"/>
        </w:rPr>
      </w:pPr>
    </w:p>
    <w:p w:rsidR="00EF32C9" w:rsidRPr="007D7A66" w:rsidRDefault="00EF32C9" w:rsidP="007203E3">
      <w:pPr>
        <w:spacing w:line="300" w:lineRule="atLeast"/>
        <w:rPr>
          <w:rFonts w:cs="Arial"/>
          <w:sz w:val="24"/>
        </w:rPr>
      </w:pPr>
      <w:r w:rsidRPr="007D7A66">
        <w:rPr>
          <w:rFonts w:cs="Arial"/>
          <w:sz w:val="24"/>
        </w:rPr>
        <w:t>DATE:</w:t>
      </w:r>
      <w:r w:rsidRPr="007D7A66">
        <w:rPr>
          <w:rFonts w:cs="Arial"/>
          <w:sz w:val="24"/>
        </w:rPr>
        <w:tab/>
      </w:r>
      <w:r w:rsidRPr="007D7A66">
        <w:rPr>
          <w:rFonts w:cs="Arial"/>
          <w:sz w:val="24"/>
        </w:rPr>
        <w:tab/>
      </w:r>
      <w:r>
        <w:rPr>
          <w:rFonts w:cs="Arial"/>
          <w:sz w:val="24"/>
        </w:rPr>
        <w:t>June 21</w:t>
      </w:r>
      <w:r w:rsidRPr="007D7A66">
        <w:rPr>
          <w:rFonts w:cs="Arial"/>
          <w:sz w:val="24"/>
        </w:rPr>
        <w:t>, 20</w:t>
      </w:r>
      <w:r>
        <w:rPr>
          <w:rFonts w:cs="Arial"/>
          <w:sz w:val="24"/>
        </w:rPr>
        <w:t>10</w:t>
      </w:r>
    </w:p>
    <w:p w:rsidR="00EF32C9" w:rsidRPr="007D7A66" w:rsidRDefault="00EF32C9" w:rsidP="00D474D2">
      <w:pPr>
        <w:spacing w:line="300" w:lineRule="atLeast"/>
        <w:rPr>
          <w:rFonts w:cs="Arial"/>
          <w:sz w:val="24"/>
        </w:rPr>
      </w:pPr>
      <w:r w:rsidRPr="007D7A66">
        <w:rPr>
          <w:rFonts w:cs="Arial"/>
          <w:sz w:val="24"/>
        </w:rPr>
        <w:t>FROM:</w:t>
      </w:r>
      <w:r w:rsidRPr="007D7A66">
        <w:rPr>
          <w:rFonts w:cs="Arial"/>
          <w:sz w:val="24"/>
        </w:rPr>
        <w:tab/>
      </w:r>
      <w:r>
        <w:rPr>
          <w:rFonts w:cs="Arial"/>
          <w:sz w:val="24"/>
        </w:rPr>
        <w:t>John Wirt</w:t>
      </w:r>
      <w:r w:rsidRPr="007D7A66">
        <w:rPr>
          <w:rFonts w:cs="Arial"/>
          <w:sz w:val="24"/>
        </w:rPr>
        <w:t>, NCES</w:t>
      </w:r>
      <w:r w:rsidRPr="007D7A66">
        <w:rPr>
          <w:rFonts w:cs="Arial"/>
          <w:sz w:val="24"/>
        </w:rPr>
        <w:tab/>
      </w:r>
    </w:p>
    <w:p w:rsidR="00EF32C9" w:rsidRPr="007D7A66" w:rsidRDefault="00EF32C9" w:rsidP="00472D72">
      <w:pPr>
        <w:spacing w:line="300" w:lineRule="atLeast"/>
        <w:rPr>
          <w:rFonts w:cs="Arial"/>
          <w:sz w:val="24"/>
        </w:rPr>
      </w:pPr>
      <w:r w:rsidRPr="007D7A66">
        <w:rPr>
          <w:rFonts w:cs="Arial"/>
          <w:sz w:val="24"/>
        </w:rPr>
        <w:t>TO:</w:t>
      </w:r>
      <w:r w:rsidRPr="007D7A66">
        <w:rPr>
          <w:rFonts w:cs="Arial"/>
          <w:sz w:val="24"/>
        </w:rPr>
        <w:tab/>
      </w:r>
      <w:r w:rsidRPr="007D7A66">
        <w:rPr>
          <w:rFonts w:cs="Arial"/>
          <w:sz w:val="24"/>
        </w:rPr>
        <w:tab/>
        <w:t>Shelly Martinez, OMB</w:t>
      </w:r>
    </w:p>
    <w:p w:rsidR="00EF32C9" w:rsidRPr="007D7A66" w:rsidRDefault="00EF32C9" w:rsidP="00472D72">
      <w:pPr>
        <w:spacing w:line="300" w:lineRule="atLeast"/>
        <w:rPr>
          <w:rFonts w:cs="Arial"/>
          <w:sz w:val="24"/>
        </w:rPr>
      </w:pPr>
      <w:r w:rsidRPr="007D7A66">
        <w:rPr>
          <w:rFonts w:cs="Arial"/>
          <w:sz w:val="24"/>
        </w:rPr>
        <w:t>THROUGH:</w:t>
      </w:r>
      <w:r w:rsidRPr="007D7A66">
        <w:rPr>
          <w:rFonts w:cs="Arial"/>
          <w:sz w:val="24"/>
        </w:rPr>
        <w:tab/>
        <w:t>Kashka Kubzdela, NCES</w:t>
      </w:r>
      <w:r w:rsidRPr="007D7A66">
        <w:rPr>
          <w:rFonts w:cs="Arial"/>
          <w:sz w:val="24"/>
        </w:rPr>
        <w:tab/>
      </w:r>
      <w:r w:rsidRPr="007D7A66">
        <w:rPr>
          <w:rFonts w:cs="Arial"/>
          <w:sz w:val="24"/>
        </w:rPr>
        <w:tab/>
      </w:r>
      <w:r w:rsidRPr="007D7A66">
        <w:rPr>
          <w:rFonts w:cs="Arial"/>
          <w:sz w:val="24"/>
        </w:rPr>
        <w:tab/>
      </w:r>
      <w:r w:rsidRPr="007D7A66">
        <w:rPr>
          <w:rFonts w:cs="Arial"/>
          <w:sz w:val="24"/>
        </w:rPr>
        <w:tab/>
      </w:r>
      <w:r w:rsidRPr="007D7A66">
        <w:rPr>
          <w:rFonts w:cs="Arial"/>
          <w:sz w:val="24"/>
        </w:rPr>
        <w:tab/>
      </w:r>
    </w:p>
    <w:p w:rsidR="00EF32C9" w:rsidRPr="007D7A66" w:rsidRDefault="00EF32C9" w:rsidP="00D474D2">
      <w:pPr>
        <w:pStyle w:val="question"/>
        <w:numPr>
          <w:ilvl w:val="0"/>
          <w:numId w:val="0"/>
        </w:numPr>
        <w:tabs>
          <w:tab w:val="left" w:pos="0"/>
        </w:tabs>
        <w:spacing w:before="0" w:after="0" w:line="300" w:lineRule="atLeast"/>
        <w:ind w:left="1440" w:hanging="1440"/>
        <w:rPr>
          <w:sz w:val="24"/>
          <w:szCs w:val="24"/>
        </w:rPr>
      </w:pPr>
      <w:r>
        <w:rPr>
          <w:sz w:val="24"/>
          <w:szCs w:val="24"/>
        </w:rPr>
        <w:t>SUBJECT:</w:t>
      </w:r>
      <w:r>
        <w:rPr>
          <w:sz w:val="24"/>
          <w:szCs w:val="24"/>
        </w:rPr>
        <w:tab/>
      </w:r>
      <w:r w:rsidRPr="007D7A66">
        <w:rPr>
          <w:sz w:val="24"/>
          <w:szCs w:val="24"/>
        </w:rPr>
        <w:t xml:space="preserve">Request to conduct </w:t>
      </w:r>
      <w:r w:rsidRPr="00710DA2">
        <w:t>Cognitive Interviews for Education Longitudinal Study of 2002</w:t>
      </w:r>
      <w:r>
        <w:t xml:space="preserve"> </w:t>
      </w:r>
      <w:r w:rsidRPr="00710DA2">
        <w:t xml:space="preserve">Third Follow-up 2012 </w:t>
      </w:r>
      <w:r>
        <w:t>(</w:t>
      </w:r>
      <w:r w:rsidRPr="00710DA2">
        <w:t>ELS</w:t>
      </w:r>
      <w:proofErr w:type="gramStart"/>
      <w:r w:rsidRPr="00710DA2">
        <w:t>:2002</w:t>
      </w:r>
      <w:proofErr w:type="gramEnd"/>
      <w:r w:rsidRPr="00710DA2">
        <w:t>/12</w:t>
      </w:r>
      <w:r>
        <w:t>) Survey Draft Items</w:t>
      </w:r>
      <w:r w:rsidRPr="007D7A66">
        <w:rPr>
          <w:sz w:val="24"/>
          <w:szCs w:val="24"/>
        </w:rPr>
        <w:t xml:space="preserve"> under NCES </w:t>
      </w:r>
      <w:r>
        <w:rPr>
          <w:sz w:val="24"/>
          <w:szCs w:val="24"/>
        </w:rPr>
        <w:t xml:space="preserve">     Generic </w:t>
      </w:r>
      <w:r w:rsidRPr="007D7A66">
        <w:rPr>
          <w:sz w:val="24"/>
          <w:szCs w:val="24"/>
        </w:rPr>
        <w:t>Cognitive Clearance (OMB</w:t>
      </w:r>
      <w:r>
        <w:rPr>
          <w:sz w:val="24"/>
          <w:szCs w:val="24"/>
        </w:rPr>
        <w:t># 1850-0803 v.31</w:t>
      </w:r>
      <w:r w:rsidRPr="007D7A66">
        <w:rPr>
          <w:sz w:val="24"/>
          <w:szCs w:val="24"/>
        </w:rPr>
        <w:t>)</w:t>
      </w:r>
    </w:p>
    <w:p w:rsidR="00EF32C9" w:rsidRPr="007D7A66" w:rsidRDefault="00EF32C9" w:rsidP="00C26E2D">
      <w:pPr>
        <w:pStyle w:val="question"/>
        <w:numPr>
          <w:ilvl w:val="0"/>
          <w:numId w:val="0"/>
        </w:numPr>
        <w:tabs>
          <w:tab w:val="left" w:pos="0"/>
        </w:tabs>
        <w:spacing w:before="0" w:after="0" w:line="240" w:lineRule="auto"/>
        <w:ind w:left="1267" w:hanging="1267"/>
        <w:rPr>
          <w:sz w:val="24"/>
          <w:szCs w:val="24"/>
        </w:rPr>
      </w:pPr>
    </w:p>
    <w:p w:rsidR="00EF32C9" w:rsidRPr="007D7A66" w:rsidRDefault="00EF32C9" w:rsidP="002B1AD1">
      <w:pPr>
        <w:pStyle w:val="Heading2"/>
        <w:spacing w:after="120" w:line="360" w:lineRule="auto"/>
        <w:ind w:left="0"/>
        <w:rPr>
          <w:rFonts w:ascii="Arial" w:hAnsi="Arial" w:cs="Arial"/>
          <w:i w:val="0"/>
          <w:iCs w:val="0"/>
        </w:rPr>
      </w:pPr>
      <w:bookmarkStart w:id="0" w:name="_Toc223245302"/>
      <w:r w:rsidRPr="007D7A66">
        <w:rPr>
          <w:rFonts w:ascii="Arial" w:hAnsi="Arial" w:cs="Arial"/>
          <w:i w:val="0"/>
          <w:iCs w:val="0"/>
        </w:rPr>
        <w:t>Submittal-Related Information</w:t>
      </w:r>
      <w:bookmarkEnd w:id="0"/>
    </w:p>
    <w:p w:rsidR="00EF32C9" w:rsidRPr="007D7A66" w:rsidRDefault="00EF32C9" w:rsidP="00AC4ECE">
      <w:pPr>
        <w:pStyle w:val="bodytextpsg"/>
        <w:rPr>
          <w:rFonts w:ascii="Arial" w:hAnsi="Arial" w:cs="Arial"/>
          <w:sz w:val="24"/>
          <w:szCs w:val="24"/>
        </w:rPr>
      </w:pPr>
      <w:r w:rsidRPr="007D7A66">
        <w:rPr>
          <w:rFonts w:ascii="Arial" w:hAnsi="Arial" w:cs="Arial"/>
          <w:sz w:val="24"/>
          <w:szCs w:val="24"/>
        </w:rPr>
        <w:t xml:space="preserve">The following material is being submitted under the </w:t>
      </w:r>
      <w:smartTag w:uri="urn:schemas-microsoft-com:office:smarttags" w:element="PlaceName">
        <w:smartTag w:uri="urn:schemas-microsoft-com:office:smarttags" w:element="place">
          <w:r w:rsidRPr="007D7A66">
            <w:rPr>
              <w:rFonts w:ascii="Arial" w:hAnsi="Arial" w:cs="Arial"/>
              <w:sz w:val="24"/>
              <w:szCs w:val="24"/>
            </w:rPr>
            <w:t>National</w:t>
          </w:r>
        </w:smartTag>
        <w:r w:rsidRPr="007D7A66">
          <w:rPr>
            <w:rFonts w:ascii="Arial" w:hAnsi="Arial" w:cs="Arial"/>
            <w:sz w:val="24"/>
            <w:szCs w:val="24"/>
          </w:rPr>
          <w:t xml:space="preserve"> </w:t>
        </w:r>
        <w:smartTag w:uri="urn:schemas-microsoft-com:office:smarttags" w:element="PlaceType">
          <w:r w:rsidRPr="007D7A66">
            <w:rPr>
              <w:rFonts w:ascii="Arial" w:hAnsi="Arial" w:cs="Arial"/>
              <w:sz w:val="24"/>
              <w:szCs w:val="24"/>
            </w:rPr>
            <w:t>Center</w:t>
          </w:r>
        </w:smartTag>
      </w:smartTag>
      <w:r w:rsidRPr="007D7A66">
        <w:rPr>
          <w:rFonts w:ascii="Arial" w:hAnsi="Arial" w:cs="Arial"/>
          <w:sz w:val="24"/>
          <w:szCs w:val="24"/>
        </w:rPr>
        <w:t xml:space="preserve"> for Education Statistics (NCES) clearance agreement (OMB #1850-0803) provides for NCES to improve methodologies, question types, and/or delivery methods </w:t>
      </w:r>
      <w:r>
        <w:rPr>
          <w:rFonts w:ascii="Arial" w:hAnsi="Arial" w:cs="Arial"/>
          <w:sz w:val="24"/>
          <w:szCs w:val="24"/>
        </w:rPr>
        <w:t xml:space="preserve">of its </w:t>
      </w:r>
      <w:r w:rsidRPr="007D7A66">
        <w:rPr>
          <w:rFonts w:ascii="Arial" w:hAnsi="Arial" w:cs="Arial"/>
          <w:sz w:val="24"/>
          <w:szCs w:val="24"/>
        </w:rPr>
        <w:t xml:space="preserve">survey and assessment instruments by conducting field tests, focus groups, and cognitive interviews. The request for approval described in this memorandum is to conduct </w:t>
      </w:r>
      <w:r>
        <w:rPr>
          <w:rFonts w:ascii="Arial" w:hAnsi="Arial" w:cs="Arial"/>
          <w:sz w:val="24"/>
          <w:szCs w:val="24"/>
        </w:rPr>
        <w:t>cognitive interviews</w:t>
      </w:r>
      <w:r w:rsidRPr="007D7A66">
        <w:rPr>
          <w:rFonts w:ascii="Arial" w:hAnsi="Arial" w:cs="Arial"/>
          <w:sz w:val="24"/>
          <w:szCs w:val="24"/>
        </w:rPr>
        <w:t xml:space="preserve"> with </w:t>
      </w:r>
      <w:r>
        <w:rPr>
          <w:rFonts w:ascii="Arial" w:hAnsi="Arial" w:cs="Arial"/>
          <w:sz w:val="24"/>
          <w:szCs w:val="24"/>
        </w:rPr>
        <w:t>young adults (age 24-28)</w:t>
      </w:r>
      <w:r w:rsidRPr="007D7A66">
        <w:rPr>
          <w:rFonts w:ascii="Arial" w:hAnsi="Arial" w:cs="Arial"/>
          <w:sz w:val="24"/>
          <w:szCs w:val="24"/>
        </w:rPr>
        <w:t>, the results of which will guide development of q</w:t>
      </w:r>
      <w:r>
        <w:rPr>
          <w:rFonts w:ascii="Arial" w:hAnsi="Arial" w:cs="Arial"/>
          <w:sz w:val="24"/>
          <w:szCs w:val="24"/>
        </w:rPr>
        <w:t>uestionnaire items for the ELS</w:t>
      </w:r>
      <w:proofErr w:type="gramStart"/>
      <w:r>
        <w:rPr>
          <w:rFonts w:ascii="Arial" w:hAnsi="Arial" w:cs="Arial"/>
          <w:sz w:val="24"/>
          <w:szCs w:val="24"/>
        </w:rPr>
        <w:t>:2002</w:t>
      </w:r>
      <w:proofErr w:type="gramEnd"/>
      <w:r>
        <w:rPr>
          <w:rFonts w:ascii="Arial" w:hAnsi="Arial" w:cs="Arial"/>
          <w:sz w:val="24"/>
          <w:szCs w:val="24"/>
        </w:rPr>
        <w:t xml:space="preserve">/12 field test </w:t>
      </w:r>
      <w:r w:rsidRPr="007D7A66">
        <w:rPr>
          <w:rFonts w:ascii="Arial" w:hAnsi="Arial" w:cs="Arial"/>
          <w:sz w:val="24"/>
          <w:szCs w:val="24"/>
        </w:rPr>
        <w:t>interview.</w:t>
      </w:r>
      <w:r>
        <w:rPr>
          <w:rFonts w:ascii="Arial" w:hAnsi="Arial" w:cs="Arial"/>
          <w:sz w:val="24"/>
          <w:szCs w:val="24"/>
        </w:rPr>
        <w:t xml:space="preserve">  The field test will provide further data on the social, cognitive, career, and education items that will be the subject of cognitive labs, and will provide empirical data on the coefficient alpha reliability of the five career and four education scales.</w:t>
      </w:r>
    </w:p>
    <w:p w:rsidR="00EF32C9" w:rsidRPr="007D7A66" w:rsidRDefault="00EF32C9" w:rsidP="002B1AD1">
      <w:pPr>
        <w:pStyle w:val="Heading2"/>
        <w:spacing w:before="480" w:after="120" w:line="360" w:lineRule="auto"/>
        <w:ind w:left="0"/>
        <w:rPr>
          <w:rFonts w:ascii="Arial" w:hAnsi="Arial" w:cs="Arial"/>
          <w:i w:val="0"/>
          <w:iCs w:val="0"/>
        </w:rPr>
      </w:pPr>
      <w:bookmarkStart w:id="1" w:name="_Toc223245303"/>
      <w:r w:rsidRPr="007D7A66">
        <w:rPr>
          <w:rFonts w:ascii="Arial" w:hAnsi="Arial" w:cs="Arial"/>
          <w:i w:val="0"/>
          <w:iCs w:val="0"/>
        </w:rPr>
        <w:t>Background</w:t>
      </w:r>
      <w:bookmarkEnd w:id="1"/>
    </w:p>
    <w:p w:rsidR="00EF32C9" w:rsidRDefault="00EF32C9" w:rsidP="00E15732">
      <w:pPr>
        <w:pStyle w:val="bodytextpsg"/>
        <w:rPr>
          <w:rFonts w:ascii="Arial" w:hAnsi="Arial" w:cs="Arial"/>
          <w:sz w:val="24"/>
          <w:szCs w:val="24"/>
        </w:rPr>
      </w:pPr>
      <w:r w:rsidRPr="007D7A66">
        <w:rPr>
          <w:rFonts w:ascii="Arial" w:hAnsi="Arial" w:cs="Arial"/>
          <w:sz w:val="24"/>
          <w:szCs w:val="24"/>
        </w:rPr>
        <w:t xml:space="preserve">Housed in NCES’s </w:t>
      </w:r>
      <w:r>
        <w:rPr>
          <w:rFonts w:ascii="Arial" w:hAnsi="Arial" w:cs="Arial"/>
          <w:sz w:val="24"/>
          <w:szCs w:val="24"/>
        </w:rPr>
        <w:t xml:space="preserve">Elementary-Secondary and Libraries Studies </w:t>
      </w:r>
      <w:r w:rsidRPr="007D7A66">
        <w:rPr>
          <w:rFonts w:ascii="Arial" w:hAnsi="Arial" w:cs="Arial"/>
          <w:sz w:val="24"/>
          <w:szCs w:val="24"/>
        </w:rPr>
        <w:t xml:space="preserve">Division, the 2012 </w:t>
      </w:r>
      <w:r>
        <w:rPr>
          <w:rFonts w:ascii="Arial" w:hAnsi="Arial" w:cs="Arial"/>
          <w:sz w:val="24"/>
          <w:szCs w:val="24"/>
        </w:rPr>
        <w:t>Education Longitudinal Study of 2002 third follow-up</w:t>
      </w:r>
      <w:r w:rsidRPr="007D7A66">
        <w:rPr>
          <w:rFonts w:ascii="Arial" w:hAnsi="Arial" w:cs="Arial"/>
          <w:sz w:val="24"/>
          <w:szCs w:val="24"/>
        </w:rPr>
        <w:t xml:space="preserve"> (</w:t>
      </w:r>
      <w:r>
        <w:rPr>
          <w:rFonts w:ascii="Arial" w:hAnsi="Arial" w:cs="Arial"/>
          <w:sz w:val="24"/>
          <w:szCs w:val="24"/>
        </w:rPr>
        <w:t>ELS:2002/</w:t>
      </w:r>
      <w:r w:rsidRPr="007D7A66">
        <w:rPr>
          <w:rFonts w:ascii="Arial" w:hAnsi="Arial" w:cs="Arial"/>
          <w:sz w:val="24"/>
          <w:szCs w:val="24"/>
        </w:rPr>
        <w:t xml:space="preserve">12) is </w:t>
      </w:r>
      <w:r>
        <w:rPr>
          <w:rFonts w:ascii="Arial" w:hAnsi="Arial" w:cs="Arial"/>
          <w:sz w:val="24"/>
          <w:szCs w:val="24"/>
        </w:rPr>
        <w:t>the final round in a longitudinal study of sophomore (2002) and senior (2004) cohorts of high school students followed from 10</w:t>
      </w:r>
      <w:r w:rsidRPr="00D474D2">
        <w:rPr>
          <w:rFonts w:ascii="Arial" w:hAnsi="Arial" w:cs="Arial"/>
          <w:sz w:val="24"/>
          <w:szCs w:val="24"/>
          <w:vertAlign w:val="superscript"/>
        </w:rPr>
        <w:t>th</w:t>
      </w:r>
      <w:r>
        <w:rPr>
          <w:rFonts w:ascii="Arial" w:hAnsi="Arial" w:cs="Arial"/>
          <w:sz w:val="24"/>
          <w:szCs w:val="24"/>
        </w:rPr>
        <w:t xml:space="preserve"> grade through the transition period to young adulthood.   In the high school years, ELS:2002 was able to obtain student questionnaire and assessment data, supplemented by school and home contextual data from teachers, administrators, and parents, as well as school records data from high school transcripts.   As a result, the study was able to identify the correlates of achievement gain in the last half of high school, and to plot the education trajectories of both students and dropouts.  Two years after high school graduation (the second follow-up in 2006), the study was able to gather information for describing and understanding issues of postsecondary education access and choice.   The third follow-up in 2012 </w:t>
      </w:r>
      <w:r>
        <w:rPr>
          <w:rFonts w:ascii="Arial" w:hAnsi="Arial" w:cs="Arial"/>
          <w:sz w:val="24"/>
          <w:szCs w:val="24"/>
        </w:rPr>
        <w:lastRenderedPageBreak/>
        <w:t>(with a field test in 2011) will take place at a time point – a modal age for the cohort of age 26 – when many will have completed higher education degrees, and processes and outcomes such as postsecondary education persistence and baccalaureate attainment can be studied.  Final outcomes will be gathered at minimum in terms of current job or career, postsecondary education history, family formation, and civic engagement.  Additional topics will also be considered for the questionnaires.  A potential new topic area, the outcome adjustment to a career or education program, is the subject of the cognitive research described in this submission.  The ELS</w:t>
      </w:r>
      <w:proofErr w:type="gramStart"/>
      <w:r>
        <w:rPr>
          <w:rFonts w:ascii="Arial" w:hAnsi="Arial" w:cs="Arial"/>
          <w:sz w:val="24"/>
          <w:szCs w:val="24"/>
        </w:rPr>
        <w:t>:2002</w:t>
      </w:r>
      <w:proofErr w:type="gramEnd"/>
      <w:r>
        <w:rPr>
          <w:rFonts w:ascii="Arial" w:hAnsi="Arial" w:cs="Arial"/>
          <w:sz w:val="24"/>
          <w:szCs w:val="24"/>
        </w:rPr>
        <w:t>/12 questionnaire data will be supplemented by postsecondary education transcript data, and, if it proves feasible, comprehensive financial aid records for the college-going stream of the cohort.</w:t>
      </w:r>
    </w:p>
    <w:p w:rsidR="00EF32C9" w:rsidRDefault="00EF32C9" w:rsidP="001C6D6D">
      <w:pPr>
        <w:pStyle w:val="bodytextpsg"/>
        <w:rPr>
          <w:rFonts w:ascii="Arial" w:hAnsi="Arial" w:cs="Arial"/>
          <w:sz w:val="24"/>
          <w:szCs w:val="24"/>
        </w:rPr>
      </w:pPr>
      <w:r>
        <w:rPr>
          <w:rFonts w:ascii="Arial" w:hAnsi="Arial" w:cs="Arial"/>
          <w:sz w:val="24"/>
          <w:szCs w:val="24"/>
        </w:rPr>
        <w:t xml:space="preserve"> </w:t>
      </w:r>
      <w:r w:rsidRPr="007D7A66">
        <w:rPr>
          <w:rFonts w:ascii="Arial" w:hAnsi="Arial" w:cs="Arial"/>
          <w:sz w:val="24"/>
          <w:szCs w:val="24"/>
        </w:rPr>
        <w:t>We propose to conduct cognitive interviews</w:t>
      </w:r>
      <w:r>
        <w:rPr>
          <w:rFonts w:ascii="Arial" w:hAnsi="Arial" w:cs="Arial"/>
          <w:sz w:val="24"/>
          <w:szCs w:val="24"/>
        </w:rPr>
        <w:t xml:space="preserve"> for a set of 30 items that we expect to be used in the field test</w:t>
      </w:r>
      <w:r w:rsidRPr="007D7A66">
        <w:rPr>
          <w:rFonts w:ascii="Arial" w:hAnsi="Arial" w:cs="Arial"/>
          <w:sz w:val="24"/>
          <w:szCs w:val="24"/>
        </w:rPr>
        <w:t xml:space="preserve">. This qualitative evaluation will </w:t>
      </w:r>
      <w:r>
        <w:rPr>
          <w:rFonts w:ascii="Arial" w:hAnsi="Arial" w:cs="Arial"/>
          <w:sz w:val="24"/>
          <w:szCs w:val="24"/>
        </w:rPr>
        <w:t>help refine and test the adequacy of items whose measurement qualities are not precisely known.   These items, though based on similar items in published research</w:t>
      </w:r>
      <w:r>
        <w:rPr>
          <w:rStyle w:val="FootnoteReference"/>
          <w:rFonts w:ascii="Arial" w:hAnsi="Arial"/>
          <w:sz w:val="24"/>
          <w:szCs w:val="24"/>
        </w:rPr>
        <w:footnoteReference w:id="1"/>
      </w:r>
      <w:r>
        <w:rPr>
          <w:rFonts w:ascii="Arial" w:hAnsi="Arial" w:cs="Arial"/>
          <w:sz w:val="24"/>
          <w:szCs w:val="24"/>
        </w:rPr>
        <w:t xml:space="preserve"> have been newly written to adapt them to the needs of ELS</w:t>
      </w:r>
      <w:proofErr w:type="gramStart"/>
      <w:r>
        <w:rPr>
          <w:rFonts w:ascii="Arial" w:hAnsi="Arial" w:cs="Arial"/>
          <w:sz w:val="24"/>
          <w:szCs w:val="24"/>
        </w:rPr>
        <w:t>:2002</w:t>
      </w:r>
      <w:proofErr w:type="gramEnd"/>
      <w:r>
        <w:rPr>
          <w:rFonts w:ascii="Arial" w:hAnsi="Arial" w:cs="Arial"/>
          <w:sz w:val="24"/>
          <w:szCs w:val="24"/>
        </w:rPr>
        <w:t xml:space="preserve">/12 by Dr. Robert Lent of the </w:t>
      </w:r>
      <w:smartTag w:uri="urn:schemas-microsoft-com:office:smarttags" w:element="PlaceType">
        <w:smartTag w:uri="urn:schemas-microsoft-com:office:smarttags" w:element="PlaceType">
          <w:r>
            <w:rPr>
              <w:rFonts w:ascii="Arial" w:hAnsi="Arial" w:cs="Arial"/>
              <w:sz w:val="24"/>
              <w:szCs w:val="24"/>
            </w:rPr>
            <w:t>University</w:t>
          </w:r>
        </w:smartTag>
        <w:r>
          <w:rPr>
            <w:rFonts w:ascii="Arial" w:hAnsi="Arial" w:cs="Arial"/>
            <w:sz w:val="24"/>
            <w:szCs w:val="24"/>
          </w:rPr>
          <w:t xml:space="preserve"> of </w:t>
        </w:r>
        <w:smartTag w:uri="urn:schemas-microsoft-com:office:smarttags" w:element="PlaceType">
          <w:r>
            <w:rPr>
              <w:rFonts w:ascii="Arial" w:hAnsi="Arial" w:cs="Arial"/>
              <w:sz w:val="24"/>
              <w:szCs w:val="24"/>
            </w:rPr>
            <w:t>Maryland</w:t>
          </w:r>
        </w:smartTag>
      </w:smartTag>
      <w:r>
        <w:rPr>
          <w:rFonts w:ascii="Arial" w:hAnsi="Arial" w:cs="Arial"/>
          <w:sz w:val="24"/>
          <w:szCs w:val="24"/>
        </w:rPr>
        <w:t>, a foremost authority in social cognitive career theory.   As the only items currently under consideration that are truly newly written items, this set of questions constitutes the best use of the project’s cognitive research resources.  These items pertain to specific outcomes—young adult adjustment and persistence intentions— in two distinct domains: the occupation and the education domains.  Based on the results from the prior study of respondents at age 26, NELS</w:t>
      </w:r>
      <w:proofErr w:type="gramStart"/>
      <w:r>
        <w:rPr>
          <w:rFonts w:ascii="Arial" w:hAnsi="Arial" w:cs="Arial"/>
          <w:sz w:val="24"/>
          <w:szCs w:val="24"/>
        </w:rPr>
        <w:t>:88</w:t>
      </w:r>
      <w:proofErr w:type="gramEnd"/>
      <w:r>
        <w:rPr>
          <w:rFonts w:ascii="Arial" w:hAnsi="Arial" w:cs="Arial"/>
          <w:sz w:val="24"/>
          <w:szCs w:val="24"/>
        </w:rPr>
        <w:t xml:space="preserve"> in 2000, it is our expectation that roughly 90 percent of cohort members will be either working or enrolled in postsecondary education, or both.  In NELS</w:t>
      </w:r>
      <w:proofErr w:type="gramStart"/>
      <w:r>
        <w:rPr>
          <w:rFonts w:ascii="Arial" w:hAnsi="Arial" w:cs="Arial"/>
          <w:sz w:val="24"/>
          <w:szCs w:val="24"/>
        </w:rPr>
        <w:t>:88</w:t>
      </w:r>
      <w:proofErr w:type="gramEnd"/>
      <w:r>
        <w:rPr>
          <w:rFonts w:ascii="Arial" w:hAnsi="Arial" w:cs="Arial"/>
          <w:sz w:val="24"/>
          <w:szCs w:val="24"/>
        </w:rPr>
        <w:t>/2000, 9 percent of cohort members were neither working nor enrolled at age 26, with 70 percent working but not enrolled, 16 percent working while enrolled, and 4 percent enrolled but not working (Ingels et al., 2002).  The social cognitive career and education items will therefore provide broad outcome coverage of a very diverse sample that has followed divergent pathways from high school to adulthood.</w:t>
      </w:r>
    </w:p>
    <w:p w:rsidR="00EF32C9" w:rsidRDefault="00EF32C9" w:rsidP="004F41E8">
      <w:pPr>
        <w:pStyle w:val="bodytextpsg"/>
        <w:rPr>
          <w:rFonts w:ascii="Arial" w:hAnsi="Arial" w:cs="Arial"/>
          <w:sz w:val="24"/>
          <w:szCs w:val="24"/>
        </w:rPr>
      </w:pPr>
      <w:r>
        <w:rPr>
          <w:rFonts w:ascii="Arial" w:hAnsi="Arial" w:cs="Arial"/>
          <w:sz w:val="24"/>
          <w:szCs w:val="24"/>
        </w:rPr>
        <w:t xml:space="preserve">The social cognitive items build directly on the high school data, that is to say, they are designed to complement the predictors (and intermediate outcomes) already included in the ELS:2002 survey, particularly those grounded in the base year and first follow-up, when subject-specific self-efficacy and various self-regulated learning questions were asked.   In some cases, the new material also extends items from the predecessor high school cohort studies.  For example, items about current satisfaction with particular job facets are anchored in some of the general satisfaction items </w:t>
      </w:r>
      <w:r>
        <w:rPr>
          <w:rFonts w:ascii="Arial" w:hAnsi="Arial" w:cs="Arial"/>
          <w:sz w:val="24"/>
          <w:szCs w:val="24"/>
        </w:rPr>
        <w:lastRenderedPageBreak/>
        <w:t>pertaining to the job as a whole (the literature distinguishes facets from general satisfaction, but most research relating social cognitive theory to work satisfaction outcomes has been focused on general job satisfaction).</w:t>
      </w:r>
    </w:p>
    <w:p w:rsidR="00EF32C9" w:rsidRDefault="00EF32C9" w:rsidP="007B45C7">
      <w:pPr>
        <w:pStyle w:val="bodytextpsg"/>
        <w:rPr>
          <w:rFonts w:ascii="Arial" w:hAnsi="Arial" w:cs="Arial"/>
          <w:sz w:val="24"/>
          <w:szCs w:val="24"/>
        </w:rPr>
      </w:pPr>
      <w:r>
        <w:rPr>
          <w:rFonts w:ascii="Arial" w:hAnsi="Arial" w:cs="Arial"/>
          <w:sz w:val="24"/>
          <w:szCs w:val="24"/>
        </w:rPr>
        <w:t xml:space="preserve">Theoretical rationales for a social cognitive approach to career adjustment,  including job satisfaction, career and education persistence intentions, and other outcomes, are elaborated in extensive literature (in particular Anderson and Betz, 2001; Betz, 2007; Duffy and Lent, 2009; Lent and Brown et al., 2003; and </w:t>
      </w:r>
      <w:proofErr w:type="spellStart"/>
      <w:r>
        <w:rPr>
          <w:rFonts w:ascii="Arial" w:hAnsi="Arial" w:cs="Arial"/>
          <w:sz w:val="24"/>
          <w:szCs w:val="24"/>
        </w:rPr>
        <w:t>Bandura</w:t>
      </w:r>
      <w:proofErr w:type="spellEnd"/>
      <w:r>
        <w:rPr>
          <w:rFonts w:ascii="Arial" w:hAnsi="Arial" w:cs="Arial"/>
          <w:sz w:val="24"/>
          <w:szCs w:val="24"/>
        </w:rPr>
        <w:t>, 1998).</w:t>
      </w:r>
    </w:p>
    <w:p w:rsidR="00EF32C9" w:rsidRDefault="00EF32C9" w:rsidP="001B5DAA">
      <w:pPr>
        <w:pStyle w:val="bodytextpsg"/>
        <w:rPr>
          <w:rFonts w:ascii="Arial" w:hAnsi="Arial" w:cs="Arial"/>
          <w:sz w:val="24"/>
          <w:szCs w:val="24"/>
        </w:rPr>
      </w:pPr>
      <w:r>
        <w:rPr>
          <w:rFonts w:ascii="Arial" w:hAnsi="Arial" w:cs="Arial"/>
          <w:sz w:val="24"/>
          <w:szCs w:val="24"/>
        </w:rPr>
        <w:t>The test items refer to work tasks generically, that is without describing a specific job.  For interpreting the work adjustment construct, there are scales that include measures of self-efficacy, outcome expectations, interests, environmental support/barriers, persistence intentions (i.e. goal to remain in one’s current job), and an expanded measure of overall job satisfaction (to complement and extend the satisfaction items used in predecessor studies such as NELS:88/2000).   For education adjustment, a parallel set of scales has been stipulated: education self-efficacy, interests, supports, and persistence intentions.</w:t>
      </w:r>
    </w:p>
    <w:p w:rsidR="00EF32C9" w:rsidRPr="007D7A66" w:rsidRDefault="00EF32C9" w:rsidP="002B1AD1">
      <w:pPr>
        <w:pStyle w:val="Heading2"/>
        <w:spacing w:before="480" w:after="120" w:line="360" w:lineRule="auto"/>
        <w:ind w:left="0"/>
        <w:rPr>
          <w:rFonts w:ascii="Arial" w:hAnsi="Arial" w:cs="Arial"/>
          <w:i w:val="0"/>
          <w:iCs w:val="0"/>
        </w:rPr>
      </w:pPr>
      <w:bookmarkStart w:id="2" w:name="_Toc223245304"/>
      <w:r w:rsidRPr="007D7A66">
        <w:rPr>
          <w:rFonts w:ascii="Arial" w:hAnsi="Arial" w:cs="Arial"/>
          <w:i w:val="0"/>
          <w:iCs w:val="0"/>
        </w:rPr>
        <w:t>Design and Context</w:t>
      </w:r>
      <w:bookmarkEnd w:id="2"/>
    </w:p>
    <w:p w:rsidR="00EF32C9" w:rsidRPr="007D7A66" w:rsidRDefault="00EF32C9" w:rsidP="00C8394E">
      <w:pPr>
        <w:pStyle w:val="bodytextpsg"/>
        <w:rPr>
          <w:rFonts w:ascii="Arial" w:hAnsi="Arial" w:cs="Arial"/>
          <w:noProof/>
          <w:sz w:val="24"/>
          <w:szCs w:val="24"/>
        </w:rPr>
      </w:pPr>
      <w:r>
        <w:rPr>
          <w:rFonts w:ascii="Arial" w:hAnsi="Arial" w:cs="Arial"/>
          <w:b/>
          <w:bCs/>
          <w:noProof/>
          <w:sz w:val="24"/>
          <w:szCs w:val="24"/>
        </w:rPr>
        <w:t>Cognitive Lab</w:t>
      </w:r>
      <w:r w:rsidRPr="007D7A66">
        <w:rPr>
          <w:rFonts w:ascii="Arial" w:hAnsi="Arial" w:cs="Arial"/>
          <w:b/>
          <w:bCs/>
          <w:noProof/>
          <w:sz w:val="24"/>
          <w:szCs w:val="24"/>
        </w:rPr>
        <w:t xml:space="preserve">s. </w:t>
      </w:r>
      <w:r w:rsidRPr="007D7A66">
        <w:rPr>
          <w:rFonts w:ascii="Arial" w:hAnsi="Arial" w:cs="Arial"/>
          <w:noProof/>
          <w:sz w:val="24"/>
          <w:szCs w:val="24"/>
        </w:rPr>
        <w:t xml:space="preserve">The current request is for approval to conduct a series of </w:t>
      </w:r>
      <w:r>
        <w:rPr>
          <w:rFonts w:ascii="Arial" w:hAnsi="Arial" w:cs="Arial"/>
          <w:noProof/>
          <w:sz w:val="24"/>
          <w:szCs w:val="24"/>
        </w:rPr>
        <w:t>cognitive</w:t>
      </w:r>
      <w:r w:rsidRPr="007D7A66">
        <w:rPr>
          <w:rFonts w:ascii="Arial" w:hAnsi="Arial" w:cs="Arial"/>
          <w:noProof/>
          <w:sz w:val="24"/>
          <w:szCs w:val="24"/>
        </w:rPr>
        <w:t xml:space="preserve"> </w:t>
      </w:r>
      <w:r>
        <w:rPr>
          <w:rFonts w:ascii="Arial" w:hAnsi="Arial" w:cs="Arial"/>
          <w:noProof/>
          <w:sz w:val="24"/>
          <w:szCs w:val="24"/>
        </w:rPr>
        <w:t>interviews</w:t>
      </w:r>
      <w:r w:rsidRPr="007D7A66">
        <w:rPr>
          <w:rFonts w:ascii="Arial" w:hAnsi="Arial" w:cs="Arial"/>
          <w:noProof/>
          <w:sz w:val="24"/>
          <w:szCs w:val="24"/>
        </w:rPr>
        <w:t xml:space="preserve"> between </w:t>
      </w:r>
      <w:r>
        <w:rPr>
          <w:rFonts w:ascii="Arial" w:hAnsi="Arial" w:cs="Arial"/>
          <w:noProof/>
          <w:sz w:val="24"/>
          <w:szCs w:val="24"/>
        </w:rPr>
        <w:t>July</w:t>
      </w:r>
      <w:r w:rsidRPr="007D7A66">
        <w:rPr>
          <w:rFonts w:ascii="Arial" w:hAnsi="Arial" w:cs="Arial"/>
          <w:noProof/>
          <w:sz w:val="24"/>
          <w:szCs w:val="24"/>
        </w:rPr>
        <w:t xml:space="preserve"> and A</w:t>
      </w:r>
      <w:r>
        <w:rPr>
          <w:rFonts w:ascii="Arial" w:hAnsi="Arial" w:cs="Arial"/>
          <w:noProof/>
          <w:sz w:val="24"/>
          <w:szCs w:val="24"/>
        </w:rPr>
        <w:t>ugust</w:t>
      </w:r>
      <w:r w:rsidRPr="007D7A66">
        <w:rPr>
          <w:rFonts w:ascii="Arial" w:hAnsi="Arial" w:cs="Arial"/>
          <w:noProof/>
          <w:sz w:val="24"/>
          <w:szCs w:val="24"/>
        </w:rPr>
        <w:t xml:space="preserve"> 2010. </w:t>
      </w:r>
      <w:r>
        <w:rPr>
          <w:rFonts w:ascii="Arial" w:hAnsi="Arial" w:cs="Arial"/>
          <w:noProof/>
          <w:sz w:val="24"/>
          <w:szCs w:val="24"/>
        </w:rPr>
        <w:t xml:space="preserve">The cognitive research report will be written in September, so that findings and recommendations can be shared with the Technical Review Panel, which is scheduled to meet in the last week of September, 2010.  </w:t>
      </w:r>
      <w:r w:rsidRPr="007D7A66">
        <w:rPr>
          <w:rFonts w:ascii="Arial" w:hAnsi="Arial" w:cs="Arial"/>
          <w:noProof/>
          <w:sz w:val="24"/>
          <w:szCs w:val="24"/>
        </w:rPr>
        <w:t>The contractor team – RTI</w:t>
      </w:r>
      <w:r>
        <w:rPr>
          <w:rFonts w:ascii="Arial" w:hAnsi="Arial" w:cs="Arial"/>
          <w:noProof/>
          <w:sz w:val="24"/>
          <w:szCs w:val="24"/>
        </w:rPr>
        <w:t xml:space="preserve"> and Research Support Services (RSS) of </w:t>
      </w:r>
      <w:smartTag w:uri="urn:schemas-microsoft-com:office:smarttags" w:element="PlaceType">
        <w:smartTag w:uri="urn:schemas-microsoft-com:office:smarttags" w:element="PlaceType">
          <w:r>
            <w:rPr>
              <w:rFonts w:ascii="Arial" w:hAnsi="Arial" w:cs="Arial"/>
              <w:noProof/>
              <w:sz w:val="24"/>
              <w:szCs w:val="24"/>
            </w:rPr>
            <w:t>Evanston</w:t>
          </w:r>
        </w:smartTag>
        <w:r>
          <w:rPr>
            <w:rFonts w:ascii="Arial" w:hAnsi="Arial" w:cs="Arial"/>
            <w:noProof/>
            <w:sz w:val="24"/>
            <w:szCs w:val="24"/>
          </w:rPr>
          <w:t xml:space="preserve">, </w:t>
        </w:r>
        <w:smartTag w:uri="urn:schemas-microsoft-com:office:smarttags" w:element="PlaceType">
          <w:r>
            <w:rPr>
              <w:rFonts w:ascii="Arial" w:hAnsi="Arial" w:cs="Arial"/>
              <w:noProof/>
              <w:sz w:val="24"/>
              <w:szCs w:val="24"/>
            </w:rPr>
            <w:t>Illinois</w:t>
          </w:r>
        </w:smartTag>
      </w:smartTag>
      <w:r w:rsidRPr="007D7A66">
        <w:rPr>
          <w:rFonts w:ascii="Arial" w:hAnsi="Arial" w:cs="Arial"/>
          <w:noProof/>
          <w:sz w:val="24"/>
          <w:szCs w:val="24"/>
        </w:rPr>
        <w:t xml:space="preserve"> – has drafted </w:t>
      </w:r>
      <w:r>
        <w:rPr>
          <w:rFonts w:ascii="Arial" w:hAnsi="Arial" w:cs="Arial"/>
          <w:noProof/>
          <w:sz w:val="24"/>
          <w:szCs w:val="24"/>
        </w:rPr>
        <w:t>cognitive research materials, which include items that</w:t>
      </w:r>
      <w:r w:rsidRPr="007D7A66">
        <w:rPr>
          <w:rFonts w:ascii="Arial" w:hAnsi="Arial" w:cs="Arial"/>
          <w:noProof/>
          <w:sz w:val="24"/>
          <w:szCs w:val="24"/>
        </w:rPr>
        <w:t xml:space="preserve"> will explore</w:t>
      </w:r>
      <w:r>
        <w:rPr>
          <w:rFonts w:ascii="Arial" w:hAnsi="Arial" w:cs="Arial"/>
          <w:noProof/>
          <w:sz w:val="24"/>
          <w:szCs w:val="24"/>
        </w:rPr>
        <w:t xml:space="preserve"> the usability and refinement of the specially selected work and education subset of the ELS:2002/12 item pool that was described above.</w:t>
      </w:r>
      <w:r w:rsidRPr="007D7A66">
        <w:rPr>
          <w:rFonts w:ascii="Arial" w:hAnsi="Arial" w:cs="Arial"/>
          <w:noProof/>
          <w:sz w:val="24"/>
          <w:szCs w:val="24"/>
        </w:rPr>
        <w:t xml:space="preserve">  An abbreviated questionnaire will collect standard demographic information about each of the participants during the screening process. </w:t>
      </w:r>
    </w:p>
    <w:p w:rsidR="00EF32C9" w:rsidRDefault="00EF32C9" w:rsidP="00A26204">
      <w:pPr>
        <w:pStyle w:val="bodytextpsg"/>
        <w:rPr>
          <w:rFonts w:ascii="Arial" w:hAnsi="Arial" w:cs="Arial"/>
          <w:noProof/>
          <w:sz w:val="24"/>
          <w:szCs w:val="24"/>
        </w:rPr>
      </w:pPr>
      <w:r w:rsidRPr="00A26204">
        <w:rPr>
          <w:rFonts w:ascii="Arial" w:hAnsi="Arial" w:cs="Arial"/>
          <w:noProof/>
          <w:sz w:val="24"/>
          <w:szCs w:val="24"/>
        </w:rPr>
        <w:t xml:space="preserve">RSS will draw cognitive research participants from the greater </w:t>
      </w:r>
      <w:smartTag w:uri="urn:schemas-microsoft-com:office:smarttags" w:element="PlaceType">
        <w:r w:rsidRPr="00A26204">
          <w:rPr>
            <w:rFonts w:ascii="Arial" w:hAnsi="Arial" w:cs="Arial"/>
            <w:noProof/>
            <w:sz w:val="24"/>
            <w:szCs w:val="24"/>
          </w:rPr>
          <w:t>Chicago</w:t>
        </w:r>
      </w:smartTag>
      <w:r w:rsidRPr="00A26204">
        <w:rPr>
          <w:rFonts w:ascii="Arial" w:hAnsi="Arial" w:cs="Arial"/>
          <w:noProof/>
          <w:sz w:val="24"/>
          <w:szCs w:val="24"/>
        </w:rPr>
        <w:t xml:space="preserve"> area (their offices are located in </w:t>
      </w:r>
      <w:smartTag w:uri="urn:schemas-microsoft-com:office:smarttags" w:element="PlaceType">
        <w:smartTag w:uri="urn:schemas-microsoft-com:office:smarttags" w:element="PlaceType">
          <w:r w:rsidRPr="00A26204">
            <w:rPr>
              <w:rFonts w:ascii="Arial" w:hAnsi="Arial" w:cs="Arial"/>
              <w:noProof/>
              <w:sz w:val="24"/>
              <w:szCs w:val="24"/>
            </w:rPr>
            <w:t>Evanston</w:t>
          </w:r>
        </w:smartTag>
        <w:r w:rsidRPr="00A26204">
          <w:rPr>
            <w:rFonts w:ascii="Arial" w:hAnsi="Arial" w:cs="Arial"/>
            <w:noProof/>
            <w:sz w:val="24"/>
            <w:szCs w:val="24"/>
          </w:rPr>
          <w:t xml:space="preserve">, </w:t>
        </w:r>
        <w:smartTag w:uri="urn:schemas-microsoft-com:office:smarttags" w:element="PlaceType">
          <w:r w:rsidRPr="00A26204">
            <w:rPr>
              <w:rFonts w:ascii="Arial" w:hAnsi="Arial" w:cs="Arial"/>
              <w:noProof/>
              <w:sz w:val="24"/>
              <w:szCs w:val="24"/>
            </w:rPr>
            <w:t>Illinois</w:t>
          </w:r>
        </w:smartTag>
      </w:smartTag>
      <w:r w:rsidRPr="00A26204">
        <w:rPr>
          <w:rFonts w:ascii="Arial" w:hAnsi="Arial" w:cs="Arial"/>
          <w:noProof/>
          <w:sz w:val="24"/>
          <w:szCs w:val="24"/>
        </w:rPr>
        <w:t xml:space="preserve">).   Participants will include representatives of both the college-going and non-college-going young adult population, including some who are currently in college.  Three cognitive interview forms will be </w:t>
      </w:r>
      <w:r>
        <w:rPr>
          <w:rFonts w:ascii="Arial" w:hAnsi="Arial" w:cs="Arial"/>
          <w:noProof/>
          <w:sz w:val="24"/>
          <w:szCs w:val="24"/>
        </w:rPr>
        <w:t>used (Attachment IV)</w:t>
      </w:r>
      <w:r w:rsidRPr="00A26204">
        <w:rPr>
          <w:rFonts w:ascii="Arial" w:hAnsi="Arial" w:cs="Arial"/>
          <w:noProof/>
          <w:sz w:val="24"/>
          <w:szCs w:val="24"/>
        </w:rPr>
        <w:t xml:space="preserve">, and about 10 young adults assigned to each, for a total of 30 participants.  Participants will be selected to provide representation of the young adult population based on demographic diversity, as well as age and college-going experience (or the lack thereof).  It will be expected that 20 respondents shall respond to work items (there are 21 work items), and 10 to education items (there are 14 education items).  </w:t>
      </w:r>
      <w:r w:rsidRPr="00A26204">
        <w:rPr>
          <w:rFonts w:ascii="Arial" w:hAnsi="Arial" w:cs="Arial"/>
          <w:noProof/>
          <w:sz w:val="24"/>
          <w:szCs w:val="24"/>
        </w:rPr>
        <w:lastRenderedPageBreak/>
        <w:t xml:space="preserve">Attachment I provides additional detail about recruitment procedures. Attachment II presents the screening questions that will be used to determine eligibility for cognitive lab participation. A copy of the participant information sheet is provided in Attachment III.  Attachment IV contains the interview protocol, including all test items, and Attachment V the </w:t>
      </w:r>
      <w:r>
        <w:rPr>
          <w:rFonts w:ascii="Arial" w:hAnsi="Arial" w:cs="Arial"/>
          <w:noProof/>
          <w:sz w:val="24"/>
          <w:szCs w:val="24"/>
        </w:rPr>
        <w:t>Assurance of Confidentiality.</w:t>
      </w:r>
    </w:p>
    <w:p w:rsidR="00EF32C9" w:rsidRDefault="00EF32C9" w:rsidP="004C0D96">
      <w:pPr>
        <w:pStyle w:val="bodytextpsg"/>
        <w:rPr>
          <w:rFonts w:ascii="Arial" w:hAnsi="Arial" w:cs="Arial"/>
          <w:noProof/>
          <w:sz w:val="24"/>
          <w:szCs w:val="24"/>
        </w:rPr>
      </w:pPr>
      <w:r>
        <w:rPr>
          <w:rFonts w:ascii="Arial" w:hAnsi="Arial" w:cs="Arial"/>
          <w:noProof/>
          <w:sz w:val="24"/>
          <w:szCs w:val="24"/>
        </w:rPr>
        <w:t>The cognitive interviews</w:t>
      </w:r>
      <w:r w:rsidRPr="007D7A66">
        <w:rPr>
          <w:rFonts w:ascii="Arial" w:hAnsi="Arial" w:cs="Arial"/>
          <w:noProof/>
          <w:sz w:val="24"/>
          <w:szCs w:val="24"/>
        </w:rPr>
        <w:t xml:space="preserve"> will be held in a facility that is centrally located, easily accessible by car and public transportation, and allows for pro</w:t>
      </w:r>
      <w:r>
        <w:rPr>
          <w:rFonts w:ascii="Arial" w:hAnsi="Arial" w:cs="Arial"/>
          <w:noProof/>
          <w:sz w:val="24"/>
          <w:szCs w:val="24"/>
        </w:rPr>
        <w:t>fessional audio recording. Session</w:t>
      </w:r>
      <w:r w:rsidRPr="007D7A66">
        <w:rPr>
          <w:rFonts w:ascii="Arial" w:hAnsi="Arial" w:cs="Arial"/>
          <w:noProof/>
          <w:sz w:val="24"/>
          <w:szCs w:val="24"/>
        </w:rPr>
        <w:t>s will be held at times convenient for</w:t>
      </w:r>
      <w:r>
        <w:rPr>
          <w:rFonts w:ascii="Arial" w:hAnsi="Arial" w:cs="Arial"/>
          <w:noProof/>
          <w:sz w:val="24"/>
          <w:szCs w:val="24"/>
        </w:rPr>
        <w:t xml:space="preserve"> worker and student schedules. Each</w:t>
      </w:r>
      <w:r w:rsidRPr="007D7A66">
        <w:rPr>
          <w:rFonts w:ascii="Arial" w:hAnsi="Arial" w:cs="Arial"/>
          <w:noProof/>
          <w:sz w:val="24"/>
          <w:szCs w:val="24"/>
        </w:rPr>
        <w:t xml:space="preserve"> </w:t>
      </w:r>
      <w:r>
        <w:rPr>
          <w:rFonts w:ascii="Arial" w:hAnsi="Arial" w:cs="Arial"/>
          <w:noProof/>
          <w:sz w:val="24"/>
          <w:szCs w:val="24"/>
        </w:rPr>
        <w:t>interview</w:t>
      </w:r>
      <w:r w:rsidRPr="007D7A66">
        <w:rPr>
          <w:rFonts w:ascii="Arial" w:hAnsi="Arial" w:cs="Arial"/>
          <w:noProof/>
          <w:sz w:val="24"/>
          <w:szCs w:val="24"/>
        </w:rPr>
        <w:t>, of approximatel</w:t>
      </w:r>
      <w:r>
        <w:rPr>
          <w:rFonts w:ascii="Arial" w:hAnsi="Arial" w:cs="Arial"/>
          <w:noProof/>
          <w:sz w:val="24"/>
          <w:szCs w:val="24"/>
        </w:rPr>
        <w:t>y 6</w:t>
      </w:r>
      <w:r w:rsidRPr="007D7A66">
        <w:rPr>
          <w:rFonts w:ascii="Arial" w:hAnsi="Arial" w:cs="Arial"/>
          <w:noProof/>
          <w:sz w:val="24"/>
          <w:szCs w:val="24"/>
        </w:rPr>
        <w:t>0 minutes’ duration, will</w:t>
      </w:r>
      <w:r>
        <w:rPr>
          <w:rFonts w:ascii="Arial" w:hAnsi="Arial" w:cs="Arial"/>
          <w:noProof/>
          <w:sz w:val="24"/>
          <w:szCs w:val="24"/>
        </w:rPr>
        <w:t xml:space="preserve"> be conducted by RSS</w:t>
      </w:r>
      <w:r w:rsidRPr="007D7A66">
        <w:rPr>
          <w:rFonts w:ascii="Arial" w:hAnsi="Arial" w:cs="Arial"/>
          <w:noProof/>
          <w:sz w:val="24"/>
          <w:szCs w:val="24"/>
        </w:rPr>
        <w:t xml:space="preserve"> researchers with extensive experience </w:t>
      </w:r>
      <w:r>
        <w:rPr>
          <w:rFonts w:ascii="Arial" w:hAnsi="Arial" w:cs="Arial"/>
          <w:noProof/>
          <w:sz w:val="24"/>
          <w:szCs w:val="24"/>
        </w:rPr>
        <w:t xml:space="preserve">of cognitive testing of youth and adults. </w:t>
      </w:r>
      <w:r w:rsidRPr="007D7A66">
        <w:rPr>
          <w:rFonts w:ascii="Arial" w:hAnsi="Arial" w:cs="Arial"/>
          <w:noProof/>
          <w:sz w:val="24"/>
          <w:szCs w:val="24"/>
        </w:rPr>
        <w:t xml:space="preserve">The </w:t>
      </w:r>
      <w:r>
        <w:rPr>
          <w:rFonts w:ascii="Arial" w:hAnsi="Arial" w:cs="Arial"/>
          <w:noProof/>
          <w:sz w:val="24"/>
          <w:szCs w:val="24"/>
        </w:rPr>
        <w:t xml:space="preserve">audio </w:t>
      </w:r>
      <w:r w:rsidRPr="007D7A66">
        <w:rPr>
          <w:rFonts w:ascii="Arial" w:hAnsi="Arial" w:cs="Arial"/>
          <w:noProof/>
          <w:sz w:val="24"/>
          <w:szCs w:val="24"/>
        </w:rPr>
        <w:t xml:space="preserve">recordings will be made available to RTI and NCES for review. </w:t>
      </w:r>
    </w:p>
    <w:p w:rsidR="00EF32C9" w:rsidRPr="00A26204" w:rsidRDefault="00EF32C9" w:rsidP="00A26204">
      <w:pPr>
        <w:pStyle w:val="bodytextpsg"/>
        <w:rPr>
          <w:rFonts w:ascii="Arial" w:hAnsi="Arial" w:cs="Arial"/>
          <w:noProof/>
          <w:sz w:val="24"/>
          <w:szCs w:val="24"/>
        </w:rPr>
      </w:pPr>
      <w:r w:rsidRPr="00A26204">
        <w:rPr>
          <w:rFonts w:ascii="Arial" w:hAnsi="Arial" w:cs="Arial"/>
          <w:noProof/>
          <w:sz w:val="24"/>
          <w:szCs w:val="24"/>
        </w:rPr>
        <w:t xml:space="preserve">The cognitive labs will involve intensive one-on-one interviews.  The organizing objective of the cognitive testing approach will be to identify the processes by which respondents answer draft survey questions and to pinpoint potential sources of error in their responses.  For example, respondents </w:t>
      </w:r>
      <w:r>
        <w:rPr>
          <w:rFonts w:ascii="Arial" w:hAnsi="Arial" w:cs="Arial"/>
          <w:noProof/>
          <w:sz w:val="24"/>
          <w:szCs w:val="24"/>
        </w:rPr>
        <w:t>will be asked to</w:t>
      </w:r>
      <w:r w:rsidRPr="00A26204">
        <w:rPr>
          <w:rFonts w:ascii="Arial" w:hAnsi="Arial" w:cs="Arial"/>
          <w:noProof/>
          <w:sz w:val="24"/>
          <w:szCs w:val="24"/>
        </w:rPr>
        <w:t xml:space="preserve"> “think aloud” as they answer questions.  Concurrent and retrospective protocols can provide a valuable source of evidence about the organization of information in memory, comprehension of the questions, strategies used in retrieving information, judgment processes that come into play</w:t>
      </w:r>
      <w:r>
        <w:rPr>
          <w:rFonts w:ascii="Arial" w:hAnsi="Arial" w:cs="Arial"/>
          <w:noProof/>
          <w:sz w:val="24"/>
          <w:szCs w:val="24"/>
        </w:rPr>
        <w:t>,</w:t>
      </w:r>
      <w:r w:rsidRPr="00A26204">
        <w:rPr>
          <w:rFonts w:ascii="Arial" w:hAnsi="Arial" w:cs="Arial"/>
          <w:noProof/>
          <w:sz w:val="24"/>
          <w:szCs w:val="24"/>
        </w:rPr>
        <w:t xml:space="preserve"> and other processes affecting the final answers to survey items.  To elicit relevant response, respondents may be asked to point out unfamiliar terms, to paraphrase the question or its accompanying instructions to define a term, and to make judgments regarding the confidence they place in their answers.  Typical probes—examples would be “How certain are you of your answer” or “How easy or difficult was it to answer this question?”—seek to verify respondent interpretations, investigate the meaning of specific potentially ambiguous phrases, or to elicit notions that the respondent thought critically relevant to</w:t>
      </w:r>
      <w:r>
        <w:rPr>
          <w:rFonts w:ascii="Arial" w:hAnsi="Arial" w:cs="Arial"/>
          <w:noProof/>
          <w:sz w:val="24"/>
          <w:szCs w:val="24"/>
        </w:rPr>
        <w:t xml:space="preserve"> but absent from the question.</w:t>
      </w:r>
    </w:p>
    <w:p w:rsidR="00EF32C9" w:rsidRPr="00A26204" w:rsidRDefault="00EF32C9" w:rsidP="00A26204">
      <w:pPr>
        <w:pStyle w:val="bodytextpsg"/>
        <w:rPr>
          <w:rFonts w:ascii="Arial" w:hAnsi="Arial" w:cs="Arial"/>
          <w:noProof/>
          <w:sz w:val="24"/>
          <w:szCs w:val="24"/>
        </w:rPr>
      </w:pPr>
      <w:r w:rsidRPr="00A26204">
        <w:rPr>
          <w:rFonts w:ascii="Arial" w:hAnsi="Arial" w:cs="Arial"/>
          <w:noProof/>
          <w:sz w:val="24"/>
          <w:szCs w:val="24"/>
        </w:rPr>
        <w:t>The cognitive labs will provide an opportunity to hone and improve the nine scales</w:t>
      </w:r>
      <w:r>
        <w:rPr>
          <w:rFonts w:ascii="Arial" w:hAnsi="Arial" w:cs="Arial"/>
          <w:noProof/>
          <w:sz w:val="24"/>
          <w:szCs w:val="24"/>
        </w:rPr>
        <w:t>.  Then t</w:t>
      </w:r>
      <w:r w:rsidRPr="00A26204">
        <w:rPr>
          <w:rFonts w:ascii="Arial" w:hAnsi="Arial" w:cs="Arial"/>
          <w:noProof/>
          <w:sz w:val="24"/>
          <w:szCs w:val="24"/>
        </w:rPr>
        <w:t>he field test will yield empirical data about th</w:t>
      </w:r>
      <w:r>
        <w:rPr>
          <w:rFonts w:ascii="Arial" w:hAnsi="Arial" w:cs="Arial"/>
          <w:noProof/>
          <w:sz w:val="24"/>
          <w:szCs w:val="24"/>
        </w:rPr>
        <w:t>e reliability of the scales.</w:t>
      </w:r>
    </w:p>
    <w:p w:rsidR="00EF32C9" w:rsidRPr="007D7A66" w:rsidRDefault="00EF32C9" w:rsidP="00A26204">
      <w:pPr>
        <w:pStyle w:val="bodytextpsg"/>
        <w:rPr>
          <w:rFonts w:ascii="Arial" w:hAnsi="Arial" w:cs="Arial"/>
          <w:noProof/>
          <w:sz w:val="24"/>
          <w:szCs w:val="24"/>
        </w:rPr>
      </w:pPr>
      <w:r w:rsidRPr="007D7A66">
        <w:rPr>
          <w:rFonts w:ascii="Arial" w:hAnsi="Arial" w:cs="Arial"/>
          <w:noProof/>
          <w:sz w:val="24"/>
          <w:szCs w:val="24"/>
        </w:rPr>
        <w:t xml:space="preserve">The </w:t>
      </w:r>
      <w:r>
        <w:rPr>
          <w:rFonts w:ascii="Arial" w:hAnsi="Arial" w:cs="Arial"/>
          <w:noProof/>
          <w:sz w:val="24"/>
          <w:szCs w:val="24"/>
        </w:rPr>
        <w:t xml:space="preserve">cognitive interview </w:t>
      </w:r>
      <w:r w:rsidRPr="007D7A66">
        <w:rPr>
          <w:rFonts w:ascii="Arial" w:hAnsi="Arial" w:cs="Arial"/>
          <w:noProof/>
          <w:sz w:val="24"/>
          <w:szCs w:val="24"/>
        </w:rPr>
        <w:t>protocol is contained in Attachment IV of this submittal.</w:t>
      </w:r>
    </w:p>
    <w:p w:rsidR="00EF32C9" w:rsidRPr="007D7A66" w:rsidRDefault="00EF32C9" w:rsidP="00D8436E">
      <w:pPr>
        <w:pStyle w:val="Heading2"/>
        <w:spacing w:before="480" w:after="120" w:line="360" w:lineRule="auto"/>
        <w:ind w:left="0"/>
        <w:rPr>
          <w:rFonts w:ascii="Arial" w:hAnsi="Arial" w:cs="Arial"/>
          <w:i w:val="0"/>
          <w:iCs w:val="0"/>
        </w:rPr>
      </w:pPr>
      <w:bookmarkStart w:id="3" w:name="_Toc223245307"/>
      <w:bookmarkStart w:id="4" w:name="_Toc223245312"/>
      <w:r w:rsidRPr="007D7A66">
        <w:rPr>
          <w:rFonts w:ascii="Arial" w:hAnsi="Arial" w:cs="Arial"/>
          <w:i w:val="0"/>
          <w:iCs w:val="0"/>
        </w:rPr>
        <w:t>Assurance of Confidentiality</w:t>
      </w:r>
      <w:bookmarkEnd w:id="3"/>
    </w:p>
    <w:p w:rsidR="00EF32C9" w:rsidRDefault="00EF32C9" w:rsidP="00336A56">
      <w:pPr>
        <w:spacing w:after="240" w:line="320" w:lineRule="atLeast"/>
        <w:ind w:firstLine="720"/>
        <w:rPr>
          <w:rFonts w:cs="Arial"/>
          <w:sz w:val="24"/>
        </w:rPr>
      </w:pPr>
      <w:r>
        <w:rPr>
          <w:rFonts w:cs="Arial"/>
          <w:sz w:val="24"/>
        </w:rPr>
        <w:t>Cognitive lab</w:t>
      </w:r>
      <w:r w:rsidRPr="007D7A66">
        <w:rPr>
          <w:rFonts w:cs="Arial"/>
          <w:sz w:val="24"/>
        </w:rPr>
        <w:t xml:space="preserve"> participants will be informed that their participation is voluntary and confidentia</w:t>
      </w:r>
      <w:r>
        <w:rPr>
          <w:rFonts w:cs="Arial"/>
          <w:sz w:val="24"/>
        </w:rPr>
        <w:t>l (see attachment V)</w:t>
      </w:r>
      <w:r w:rsidRPr="007D7A66">
        <w:rPr>
          <w:rFonts w:cs="Arial"/>
          <w:sz w:val="24"/>
        </w:rPr>
        <w:t xml:space="preserve">. </w:t>
      </w:r>
      <w:r>
        <w:rPr>
          <w:rFonts w:cs="Arial"/>
          <w:sz w:val="24"/>
        </w:rPr>
        <w:t>Participants</w:t>
      </w:r>
      <w:r w:rsidRPr="007D7A66">
        <w:rPr>
          <w:rFonts w:cs="Arial"/>
          <w:sz w:val="24"/>
        </w:rPr>
        <w:t xml:space="preserve"> will be assigned a unique student identifier (ID), which will be created solely for data file management and used to keep all stud</w:t>
      </w:r>
      <w:r>
        <w:rPr>
          <w:rFonts w:cs="Arial"/>
          <w:sz w:val="24"/>
        </w:rPr>
        <w:t>ent materials together.  The respon</w:t>
      </w:r>
      <w:r w:rsidRPr="007D7A66">
        <w:rPr>
          <w:rFonts w:cs="Arial"/>
          <w:sz w:val="24"/>
        </w:rPr>
        <w:t xml:space="preserve">dent ID will not be linked to the </w:t>
      </w:r>
      <w:r>
        <w:rPr>
          <w:rFonts w:cs="Arial"/>
          <w:sz w:val="24"/>
        </w:rPr>
        <w:t>respondent</w:t>
      </w:r>
      <w:r w:rsidRPr="007D7A66">
        <w:rPr>
          <w:rFonts w:cs="Arial"/>
          <w:sz w:val="24"/>
        </w:rPr>
        <w:t xml:space="preserve"> name in any way or form.  The signed consent forms will be kept separately from the interview files in </w:t>
      </w:r>
      <w:r w:rsidRPr="007D7A66">
        <w:rPr>
          <w:rFonts w:cs="Arial"/>
          <w:sz w:val="24"/>
        </w:rPr>
        <w:lastRenderedPageBreak/>
        <w:t>a locked cabinet for the duration of the study and will be destroyed after the final report is released.</w:t>
      </w:r>
    </w:p>
    <w:p w:rsidR="00EF32C9" w:rsidRPr="007D7A66" w:rsidRDefault="00EF32C9" w:rsidP="001C6D6D">
      <w:pPr>
        <w:pStyle w:val="Heading2"/>
        <w:spacing w:before="480" w:after="120" w:line="360" w:lineRule="auto"/>
        <w:ind w:left="0"/>
        <w:rPr>
          <w:rFonts w:ascii="Arial" w:hAnsi="Arial" w:cs="Arial"/>
          <w:i w:val="0"/>
          <w:iCs w:val="0"/>
        </w:rPr>
      </w:pPr>
      <w:r>
        <w:rPr>
          <w:rFonts w:ascii="Arial" w:hAnsi="Arial" w:cs="Arial"/>
          <w:i w:val="0"/>
          <w:iCs w:val="0"/>
        </w:rPr>
        <w:t>P</w:t>
      </w:r>
      <w:r w:rsidRPr="007D7A66">
        <w:rPr>
          <w:rFonts w:ascii="Arial" w:hAnsi="Arial" w:cs="Arial"/>
          <w:i w:val="0"/>
          <w:iCs w:val="0"/>
        </w:rPr>
        <w:t>r</w:t>
      </w:r>
      <w:r>
        <w:rPr>
          <w:rFonts w:ascii="Arial" w:hAnsi="Arial" w:cs="Arial"/>
          <w:i w:val="0"/>
          <w:iCs w:val="0"/>
        </w:rPr>
        <w:t>oject Schedule</w:t>
      </w:r>
    </w:p>
    <w:p w:rsidR="00EF32C9" w:rsidRDefault="00EF32C9" w:rsidP="00861598">
      <w:pPr>
        <w:pStyle w:val="ExhibitTitle"/>
      </w:pPr>
      <w:r>
        <w:t>Overall schedule for ELS</w:t>
      </w:r>
      <w:proofErr w:type="gramStart"/>
      <w:r>
        <w:t>:2002</w:t>
      </w:r>
      <w:proofErr w:type="gramEnd"/>
      <w:r>
        <w:t>/12 field test and full-scale activities</w:t>
      </w:r>
    </w:p>
    <w:tbl>
      <w:tblPr>
        <w:tblW w:w="0" w:type="auto"/>
        <w:tblLook w:val="01E0"/>
      </w:tblPr>
      <w:tblGrid>
        <w:gridCol w:w="4698"/>
        <w:gridCol w:w="2439"/>
        <w:gridCol w:w="2439"/>
      </w:tblGrid>
      <w:tr w:rsidR="00EF32C9" w:rsidTr="00B00332">
        <w:tc>
          <w:tcPr>
            <w:tcW w:w="4698" w:type="dxa"/>
            <w:tcBorders>
              <w:top w:val="single" w:sz="12" w:space="0" w:color="auto"/>
              <w:bottom w:val="single" w:sz="6" w:space="0" w:color="auto"/>
            </w:tcBorders>
          </w:tcPr>
          <w:p w:rsidR="00EF32C9" w:rsidRDefault="00EF32C9" w:rsidP="00B00332">
            <w:pPr>
              <w:pStyle w:val="Tabletext"/>
            </w:pPr>
            <w:r>
              <w:t>Activity</w:t>
            </w:r>
          </w:p>
        </w:tc>
        <w:tc>
          <w:tcPr>
            <w:tcW w:w="2439" w:type="dxa"/>
            <w:tcBorders>
              <w:top w:val="single" w:sz="12" w:space="0" w:color="auto"/>
              <w:bottom w:val="single" w:sz="6" w:space="0" w:color="auto"/>
            </w:tcBorders>
          </w:tcPr>
          <w:p w:rsidR="00EF32C9" w:rsidRDefault="00EF32C9" w:rsidP="00B00332">
            <w:pPr>
              <w:pStyle w:val="Tablenumbers"/>
            </w:pPr>
            <w:r>
              <w:t>Start</w:t>
            </w:r>
          </w:p>
        </w:tc>
        <w:tc>
          <w:tcPr>
            <w:tcW w:w="2439" w:type="dxa"/>
            <w:tcBorders>
              <w:top w:val="single" w:sz="12" w:space="0" w:color="auto"/>
              <w:bottom w:val="single" w:sz="6" w:space="0" w:color="auto"/>
            </w:tcBorders>
          </w:tcPr>
          <w:p w:rsidR="00EF32C9" w:rsidRDefault="00EF32C9" w:rsidP="00B00332">
            <w:pPr>
              <w:pStyle w:val="Tablenumbers"/>
            </w:pPr>
            <w:r>
              <w:t>End</w:t>
            </w:r>
          </w:p>
        </w:tc>
      </w:tr>
      <w:tr w:rsidR="00EF32C9" w:rsidTr="00B00332">
        <w:tc>
          <w:tcPr>
            <w:tcW w:w="4698" w:type="dxa"/>
            <w:tcBorders>
              <w:top w:val="single" w:sz="6" w:space="0" w:color="auto"/>
            </w:tcBorders>
          </w:tcPr>
          <w:p w:rsidR="00EF32C9" w:rsidRDefault="00EF32C9" w:rsidP="00B00332">
            <w:pPr>
              <w:pStyle w:val="Tabletext"/>
            </w:pPr>
            <w:r>
              <w:t>Field test</w:t>
            </w:r>
          </w:p>
        </w:tc>
        <w:tc>
          <w:tcPr>
            <w:tcW w:w="2439" w:type="dxa"/>
            <w:tcBorders>
              <w:top w:val="single" w:sz="6" w:space="0" w:color="auto"/>
            </w:tcBorders>
          </w:tcPr>
          <w:p w:rsidR="00EF32C9" w:rsidRDefault="00EF32C9" w:rsidP="00B00332">
            <w:pPr>
              <w:pStyle w:val="Tablenumbers"/>
            </w:pPr>
          </w:p>
        </w:tc>
        <w:tc>
          <w:tcPr>
            <w:tcW w:w="2439" w:type="dxa"/>
            <w:tcBorders>
              <w:top w:val="single" w:sz="6" w:space="0" w:color="auto"/>
            </w:tcBorders>
          </w:tcPr>
          <w:p w:rsidR="00EF32C9" w:rsidRDefault="00EF32C9" w:rsidP="00B00332">
            <w:pPr>
              <w:pStyle w:val="Tablenumbers"/>
            </w:pPr>
          </w:p>
        </w:tc>
      </w:tr>
      <w:tr w:rsidR="00EF32C9" w:rsidTr="0067340F">
        <w:tc>
          <w:tcPr>
            <w:tcW w:w="4698" w:type="dxa"/>
          </w:tcPr>
          <w:p w:rsidR="00EF32C9" w:rsidRDefault="00EF32C9" w:rsidP="0067340F">
            <w:pPr>
              <w:pStyle w:val="2enspsubgroup1"/>
            </w:pPr>
            <w:r>
              <w:t>Cognitive testing of items, results report</w:t>
            </w:r>
          </w:p>
        </w:tc>
        <w:tc>
          <w:tcPr>
            <w:tcW w:w="2439" w:type="dxa"/>
          </w:tcPr>
          <w:p w:rsidR="00EF32C9" w:rsidRDefault="00EF32C9" w:rsidP="0067340F">
            <w:pPr>
              <w:pStyle w:val="Tablenumbers"/>
            </w:pPr>
            <w:r>
              <w:t>7/2010</w:t>
            </w:r>
          </w:p>
        </w:tc>
        <w:tc>
          <w:tcPr>
            <w:tcW w:w="2439" w:type="dxa"/>
          </w:tcPr>
          <w:p w:rsidR="00EF32C9" w:rsidRDefault="00EF32C9" w:rsidP="0067340F">
            <w:pPr>
              <w:pStyle w:val="Tablenumbers"/>
            </w:pPr>
            <w:r>
              <w:t>9/2010</w:t>
            </w:r>
          </w:p>
        </w:tc>
      </w:tr>
      <w:tr w:rsidR="00EF32C9" w:rsidTr="00B00332">
        <w:tc>
          <w:tcPr>
            <w:tcW w:w="4698" w:type="dxa"/>
          </w:tcPr>
          <w:p w:rsidR="00EF32C9" w:rsidRDefault="00EF32C9" w:rsidP="00B00332">
            <w:pPr>
              <w:pStyle w:val="2enspsubgroup1"/>
            </w:pPr>
            <w:r>
              <w:t>Panel maintenance: contact updates for sample</w:t>
            </w:r>
          </w:p>
        </w:tc>
        <w:tc>
          <w:tcPr>
            <w:tcW w:w="2439" w:type="dxa"/>
          </w:tcPr>
          <w:p w:rsidR="00EF32C9" w:rsidRDefault="00EF32C9" w:rsidP="00B00332">
            <w:pPr>
              <w:pStyle w:val="Tablenumbers"/>
            </w:pPr>
            <w:r>
              <w:t>9/2010</w:t>
            </w:r>
          </w:p>
        </w:tc>
        <w:tc>
          <w:tcPr>
            <w:tcW w:w="2439" w:type="dxa"/>
          </w:tcPr>
          <w:p w:rsidR="00EF32C9" w:rsidRDefault="00EF32C9" w:rsidP="00B00332">
            <w:pPr>
              <w:pStyle w:val="Tablenumbers"/>
            </w:pPr>
            <w:r>
              <w:t>6/2011</w:t>
            </w:r>
          </w:p>
        </w:tc>
      </w:tr>
      <w:tr w:rsidR="00EF32C9" w:rsidTr="00B00332">
        <w:tc>
          <w:tcPr>
            <w:tcW w:w="4698" w:type="dxa"/>
          </w:tcPr>
          <w:p w:rsidR="00EF32C9" w:rsidRDefault="00EF32C9" w:rsidP="00B00332">
            <w:pPr>
              <w:pStyle w:val="2enspsubgroup1"/>
            </w:pPr>
            <w:r>
              <w:t>Technical Review Panel meeting</w:t>
            </w:r>
          </w:p>
        </w:tc>
        <w:tc>
          <w:tcPr>
            <w:tcW w:w="2439" w:type="dxa"/>
          </w:tcPr>
          <w:p w:rsidR="00EF32C9" w:rsidRDefault="00EF32C9" w:rsidP="00B00332">
            <w:pPr>
              <w:pStyle w:val="Tablenumbers"/>
            </w:pPr>
            <w:r>
              <w:t>9/2010</w:t>
            </w:r>
          </w:p>
        </w:tc>
        <w:tc>
          <w:tcPr>
            <w:tcW w:w="2439" w:type="dxa"/>
          </w:tcPr>
          <w:p w:rsidR="00EF32C9" w:rsidRDefault="00EF32C9" w:rsidP="00B00332">
            <w:pPr>
              <w:pStyle w:val="Tablenumbers"/>
            </w:pPr>
            <w:r>
              <w:t>9/2010</w:t>
            </w:r>
          </w:p>
        </w:tc>
      </w:tr>
      <w:tr w:rsidR="00EF32C9" w:rsidTr="00B00332">
        <w:tc>
          <w:tcPr>
            <w:tcW w:w="4698" w:type="dxa"/>
          </w:tcPr>
          <w:p w:rsidR="00EF32C9" w:rsidRDefault="00EF32C9" w:rsidP="00B00332">
            <w:pPr>
              <w:pStyle w:val="2enspsubgroup1"/>
            </w:pPr>
            <w:r>
              <w:t>Data collection</w:t>
            </w:r>
          </w:p>
        </w:tc>
        <w:tc>
          <w:tcPr>
            <w:tcW w:w="2439" w:type="dxa"/>
          </w:tcPr>
          <w:p w:rsidR="00EF32C9" w:rsidRDefault="00EF32C9" w:rsidP="00B00332">
            <w:pPr>
              <w:pStyle w:val="Tablenumbers"/>
            </w:pPr>
            <w:r>
              <w:t>7/2011</w:t>
            </w:r>
          </w:p>
        </w:tc>
        <w:tc>
          <w:tcPr>
            <w:tcW w:w="2439" w:type="dxa"/>
          </w:tcPr>
          <w:p w:rsidR="00EF32C9" w:rsidRDefault="00EF32C9" w:rsidP="00B00332">
            <w:pPr>
              <w:pStyle w:val="Tablenumbers"/>
            </w:pPr>
            <w:r>
              <w:t>12/2011</w:t>
            </w:r>
          </w:p>
        </w:tc>
      </w:tr>
      <w:tr w:rsidR="00EF32C9" w:rsidTr="00B00332">
        <w:tc>
          <w:tcPr>
            <w:tcW w:w="4698" w:type="dxa"/>
          </w:tcPr>
          <w:p w:rsidR="00EF32C9" w:rsidRDefault="00EF32C9" w:rsidP="00B00332">
            <w:pPr>
              <w:pStyle w:val="Tabletext"/>
              <w:ind w:left="0" w:firstLine="0"/>
            </w:pPr>
            <w:r>
              <w:t>Full-Scale Study</w:t>
            </w:r>
          </w:p>
        </w:tc>
        <w:tc>
          <w:tcPr>
            <w:tcW w:w="2439" w:type="dxa"/>
          </w:tcPr>
          <w:p w:rsidR="00EF32C9" w:rsidRDefault="00EF32C9" w:rsidP="00B00332">
            <w:pPr>
              <w:pStyle w:val="Tablenumbers"/>
            </w:pPr>
          </w:p>
        </w:tc>
        <w:tc>
          <w:tcPr>
            <w:tcW w:w="2439" w:type="dxa"/>
          </w:tcPr>
          <w:p w:rsidR="00EF32C9" w:rsidRDefault="00EF32C9" w:rsidP="00B00332">
            <w:pPr>
              <w:pStyle w:val="Tablenumbers"/>
            </w:pPr>
          </w:p>
        </w:tc>
      </w:tr>
      <w:tr w:rsidR="00EF32C9" w:rsidTr="00B00332">
        <w:tc>
          <w:tcPr>
            <w:tcW w:w="4698" w:type="dxa"/>
          </w:tcPr>
          <w:p w:rsidR="00EF32C9" w:rsidRDefault="00EF32C9" w:rsidP="00B00332">
            <w:pPr>
              <w:pStyle w:val="2enspsubgroup1"/>
            </w:pPr>
            <w:r>
              <w:t xml:space="preserve">Panel maintenance: contact updates for sample </w:t>
            </w:r>
          </w:p>
        </w:tc>
        <w:tc>
          <w:tcPr>
            <w:tcW w:w="2439" w:type="dxa"/>
          </w:tcPr>
          <w:p w:rsidR="00EF32C9" w:rsidRDefault="00EF32C9" w:rsidP="00B00332">
            <w:pPr>
              <w:pStyle w:val="Tablenumbers"/>
            </w:pPr>
            <w:r>
              <w:t>9/2010</w:t>
            </w:r>
          </w:p>
        </w:tc>
        <w:tc>
          <w:tcPr>
            <w:tcW w:w="2439" w:type="dxa"/>
          </w:tcPr>
          <w:p w:rsidR="00EF32C9" w:rsidRDefault="00EF32C9" w:rsidP="00B00332">
            <w:pPr>
              <w:pStyle w:val="Tablenumbers"/>
            </w:pPr>
            <w:r>
              <w:t>6/2012</w:t>
            </w:r>
          </w:p>
        </w:tc>
      </w:tr>
      <w:tr w:rsidR="00EF32C9" w:rsidTr="00B00332">
        <w:tc>
          <w:tcPr>
            <w:tcW w:w="4698" w:type="dxa"/>
          </w:tcPr>
          <w:p w:rsidR="00EF32C9" w:rsidRDefault="00EF32C9" w:rsidP="00B00332">
            <w:pPr>
              <w:pStyle w:val="2enspsubgroup1"/>
            </w:pPr>
            <w:r>
              <w:t>Technical Review Panel Meeting</w:t>
            </w:r>
          </w:p>
        </w:tc>
        <w:tc>
          <w:tcPr>
            <w:tcW w:w="2439" w:type="dxa"/>
          </w:tcPr>
          <w:p w:rsidR="00EF32C9" w:rsidRDefault="00EF32C9" w:rsidP="00B00332">
            <w:pPr>
              <w:pStyle w:val="Tablenumbers"/>
            </w:pPr>
            <w:r>
              <w:t>1/2012</w:t>
            </w:r>
          </w:p>
        </w:tc>
        <w:tc>
          <w:tcPr>
            <w:tcW w:w="2439" w:type="dxa"/>
          </w:tcPr>
          <w:p w:rsidR="00EF32C9" w:rsidRDefault="00EF32C9" w:rsidP="00B00332">
            <w:pPr>
              <w:pStyle w:val="Tablenumbers"/>
            </w:pPr>
            <w:r>
              <w:t>1/2012</w:t>
            </w:r>
          </w:p>
        </w:tc>
      </w:tr>
      <w:tr w:rsidR="00EF32C9" w:rsidTr="00B00332">
        <w:tc>
          <w:tcPr>
            <w:tcW w:w="4698" w:type="dxa"/>
          </w:tcPr>
          <w:p w:rsidR="00EF32C9" w:rsidRDefault="00EF32C9" w:rsidP="00B00332">
            <w:pPr>
              <w:pStyle w:val="2enspsubgroup1"/>
            </w:pPr>
            <w:r>
              <w:t>Data collection</w:t>
            </w:r>
          </w:p>
        </w:tc>
        <w:tc>
          <w:tcPr>
            <w:tcW w:w="2439" w:type="dxa"/>
          </w:tcPr>
          <w:p w:rsidR="00EF32C9" w:rsidRDefault="00EF32C9" w:rsidP="00B00332">
            <w:pPr>
              <w:pStyle w:val="Tablenumbers"/>
            </w:pPr>
            <w:r>
              <w:t>7/2012</w:t>
            </w:r>
          </w:p>
        </w:tc>
        <w:tc>
          <w:tcPr>
            <w:tcW w:w="2439" w:type="dxa"/>
          </w:tcPr>
          <w:p w:rsidR="00EF32C9" w:rsidRDefault="00EF32C9" w:rsidP="00B00332">
            <w:pPr>
              <w:pStyle w:val="Tablenumbers"/>
            </w:pPr>
            <w:r>
              <w:t>1/2013</w:t>
            </w:r>
          </w:p>
        </w:tc>
      </w:tr>
      <w:tr w:rsidR="00EF32C9" w:rsidTr="00B00332">
        <w:tc>
          <w:tcPr>
            <w:tcW w:w="4698" w:type="dxa"/>
          </w:tcPr>
          <w:p w:rsidR="00EF32C9" w:rsidRDefault="00EF32C9" w:rsidP="00B00332">
            <w:pPr>
              <w:pStyle w:val="Tabletext"/>
              <w:ind w:left="0" w:firstLine="0"/>
            </w:pPr>
            <w:r>
              <w:t>Transcript and Student Aid Data</w:t>
            </w:r>
          </w:p>
        </w:tc>
        <w:tc>
          <w:tcPr>
            <w:tcW w:w="2439" w:type="dxa"/>
          </w:tcPr>
          <w:p w:rsidR="00EF32C9" w:rsidRDefault="00EF32C9" w:rsidP="00B00332">
            <w:pPr>
              <w:pStyle w:val="Tablenumbers"/>
            </w:pPr>
          </w:p>
        </w:tc>
        <w:tc>
          <w:tcPr>
            <w:tcW w:w="2439" w:type="dxa"/>
          </w:tcPr>
          <w:p w:rsidR="00EF32C9" w:rsidRDefault="00EF32C9" w:rsidP="00B00332">
            <w:pPr>
              <w:pStyle w:val="Tablenumbers"/>
            </w:pPr>
          </w:p>
        </w:tc>
      </w:tr>
      <w:tr w:rsidR="00EF32C9" w:rsidTr="00B00332">
        <w:tc>
          <w:tcPr>
            <w:tcW w:w="4698" w:type="dxa"/>
          </w:tcPr>
          <w:p w:rsidR="00EF32C9" w:rsidRDefault="00EF32C9" w:rsidP="00B00332">
            <w:pPr>
              <w:pStyle w:val="2enspsubgroup1"/>
            </w:pPr>
            <w:r>
              <w:t xml:space="preserve">Pilot testing of operations </w:t>
            </w:r>
          </w:p>
        </w:tc>
        <w:tc>
          <w:tcPr>
            <w:tcW w:w="2439" w:type="dxa"/>
          </w:tcPr>
          <w:p w:rsidR="00EF32C9" w:rsidRDefault="00EF32C9" w:rsidP="00B00332">
            <w:pPr>
              <w:pStyle w:val="Tablenumbers"/>
            </w:pPr>
            <w:r>
              <w:t>2/2013</w:t>
            </w:r>
          </w:p>
        </w:tc>
        <w:tc>
          <w:tcPr>
            <w:tcW w:w="2439" w:type="dxa"/>
          </w:tcPr>
          <w:p w:rsidR="00EF32C9" w:rsidRDefault="00EF32C9" w:rsidP="00B00332">
            <w:pPr>
              <w:pStyle w:val="Tablenumbers"/>
            </w:pPr>
            <w:r>
              <w:t>8/2013</w:t>
            </w:r>
          </w:p>
        </w:tc>
      </w:tr>
      <w:tr w:rsidR="00EF32C9" w:rsidTr="00B00332">
        <w:tc>
          <w:tcPr>
            <w:tcW w:w="4698" w:type="dxa"/>
          </w:tcPr>
          <w:p w:rsidR="00EF32C9" w:rsidRDefault="00EF32C9" w:rsidP="00B00332">
            <w:pPr>
              <w:pStyle w:val="2enspsubgroup1"/>
            </w:pPr>
            <w:r>
              <w:t xml:space="preserve">Transcript and student aid data collection </w:t>
            </w:r>
          </w:p>
        </w:tc>
        <w:tc>
          <w:tcPr>
            <w:tcW w:w="2439" w:type="dxa"/>
          </w:tcPr>
          <w:p w:rsidR="00EF32C9" w:rsidRDefault="00EF32C9" w:rsidP="00B00332">
            <w:pPr>
              <w:pStyle w:val="Tablenumbers"/>
            </w:pPr>
            <w:r>
              <w:t>8/2013</w:t>
            </w:r>
          </w:p>
        </w:tc>
        <w:tc>
          <w:tcPr>
            <w:tcW w:w="2439" w:type="dxa"/>
          </w:tcPr>
          <w:p w:rsidR="00EF32C9" w:rsidRDefault="00EF32C9" w:rsidP="00B00332">
            <w:pPr>
              <w:pStyle w:val="Tablenumbers"/>
            </w:pPr>
            <w:r>
              <w:t>3/2014</w:t>
            </w:r>
          </w:p>
        </w:tc>
      </w:tr>
      <w:tr w:rsidR="00EF32C9" w:rsidTr="00B00332">
        <w:tc>
          <w:tcPr>
            <w:tcW w:w="4698" w:type="dxa"/>
          </w:tcPr>
          <w:p w:rsidR="00EF32C9" w:rsidRDefault="00EF32C9" w:rsidP="00B00332">
            <w:pPr>
              <w:pStyle w:val="2enspsubgroup1"/>
            </w:pPr>
            <w:r>
              <w:t xml:space="preserve">Transcript keying and coding </w:t>
            </w:r>
          </w:p>
        </w:tc>
        <w:tc>
          <w:tcPr>
            <w:tcW w:w="2439" w:type="dxa"/>
          </w:tcPr>
          <w:p w:rsidR="00EF32C9" w:rsidRDefault="00EF32C9" w:rsidP="00B00332">
            <w:pPr>
              <w:pStyle w:val="Tablenumbers"/>
            </w:pPr>
            <w:r>
              <w:t>11/2013</w:t>
            </w:r>
          </w:p>
        </w:tc>
        <w:tc>
          <w:tcPr>
            <w:tcW w:w="2439" w:type="dxa"/>
          </w:tcPr>
          <w:p w:rsidR="00EF32C9" w:rsidRDefault="00EF32C9" w:rsidP="00B00332">
            <w:pPr>
              <w:pStyle w:val="Tablenumbers"/>
            </w:pPr>
            <w:r>
              <w:t>8/2014</w:t>
            </w:r>
          </w:p>
        </w:tc>
      </w:tr>
    </w:tbl>
    <w:p w:rsidR="00EF32C9" w:rsidRPr="007D7A66" w:rsidRDefault="00EF32C9" w:rsidP="00336A56">
      <w:pPr>
        <w:spacing w:after="240" w:line="320" w:lineRule="atLeast"/>
        <w:ind w:firstLine="720"/>
        <w:rPr>
          <w:rFonts w:cs="Arial"/>
          <w:sz w:val="24"/>
        </w:rPr>
      </w:pPr>
    </w:p>
    <w:p w:rsidR="00EF32C9" w:rsidRPr="007D7A66" w:rsidRDefault="00EF32C9" w:rsidP="003B1C31">
      <w:pPr>
        <w:pStyle w:val="Heading2"/>
        <w:spacing w:before="480" w:after="120" w:line="360" w:lineRule="auto"/>
        <w:ind w:left="0"/>
        <w:rPr>
          <w:rFonts w:ascii="Arial" w:hAnsi="Arial" w:cs="Arial"/>
          <w:i w:val="0"/>
          <w:iCs w:val="0"/>
        </w:rPr>
      </w:pPr>
      <w:bookmarkStart w:id="5" w:name="_Toc223245309"/>
      <w:bookmarkEnd w:id="4"/>
      <w:r w:rsidRPr="007D7A66">
        <w:rPr>
          <w:rFonts w:ascii="Arial" w:hAnsi="Arial" w:cs="Arial"/>
          <w:i w:val="0"/>
          <w:iCs w:val="0"/>
        </w:rPr>
        <w:t>Estimate of Hour Burden</w:t>
      </w:r>
      <w:bookmarkEnd w:id="5"/>
      <w:r w:rsidRPr="007D7A66">
        <w:rPr>
          <w:rFonts w:ascii="Arial" w:hAnsi="Arial" w:cs="Arial"/>
          <w:i w:val="0"/>
          <w:iCs w:val="0"/>
        </w:rPr>
        <w:t xml:space="preserve"> </w:t>
      </w:r>
    </w:p>
    <w:p w:rsidR="00EF32C9" w:rsidRPr="007D7A66" w:rsidRDefault="00EF32C9" w:rsidP="00644DB8">
      <w:pPr>
        <w:pStyle w:val="bodytextpsg"/>
        <w:rPr>
          <w:rFonts w:ascii="Arial" w:hAnsi="Arial" w:cs="Arial"/>
          <w:noProof/>
          <w:sz w:val="24"/>
          <w:szCs w:val="24"/>
        </w:rPr>
      </w:pPr>
      <w:r>
        <w:rPr>
          <w:rFonts w:ascii="Arial" w:hAnsi="Arial" w:cs="Arial"/>
          <w:noProof/>
          <w:sz w:val="24"/>
          <w:szCs w:val="24"/>
        </w:rPr>
        <w:t>Thirty cognitive interviews</w:t>
      </w:r>
      <w:r w:rsidRPr="007D7A66">
        <w:rPr>
          <w:rFonts w:ascii="Arial" w:hAnsi="Arial" w:cs="Arial"/>
          <w:noProof/>
          <w:sz w:val="24"/>
          <w:szCs w:val="24"/>
        </w:rPr>
        <w:t xml:space="preserve"> are planned</w:t>
      </w:r>
      <w:r>
        <w:rPr>
          <w:rFonts w:ascii="Arial" w:hAnsi="Arial" w:cs="Arial"/>
          <w:noProof/>
          <w:sz w:val="24"/>
          <w:szCs w:val="24"/>
        </w:rPr>
        <w:t>.</w:t>
      </w:r>
      <w:r w:rsidRPr="007D7A66">
        <w:rPr>
          <w:rFonts w:ascii="Arial" w:hAnsi="Arial" w:cs="Arial"/>
          <w:noProof/>
          <w:sz w:val="24"/>
          <w:szCs w:val="24"/>
        </w:rPr>
        <w:t xml:space="preserve"> Each </w:t>
      </w:r>
      <w:r>
        <w:rPr>
          <w:rFonts w:ascii="Arial" w:hAnsi="Arial" w:cs="Arial"/>
          <w:noProof/>
          <w:sz w:val="24"/>
          <w:szCs w:val="24"/>
        </w:rPr>
        <w:t>interview</w:t>
      </w:r>
      <w:r w:rsidRPr="007D7A66">
        <w:rPr>
          <w:rFonts w:ascii="Arial" w:hAnsi="Arial" w:cs="Arial"/>
          <w:noProof/>
          <w:sz w:val="24"/>
          <w:szCs w:val="24"/>
        </w:rPr>
        <w:t xml:space="preserve"> session is expected to last approximately </w:t>
      </w:r>
      <w:r>
        <w:rPr>
          <w:rFonts w:ascii="Arial" w:hAnsi="Arial" w:cs="Arial"/>
          <w:noProof/>
          <w:sz w:val="24"/>
          <w:szCs w:val="24"/>
        </w:rPr>
        <w:t>60</w:t>
      </w:r>
      <w:r w:rsidRPr="007D7A66">
        <w:rPr>
          <w:rFonts w:ascii="Arial" w:hAnsi="Arial" w:cs="Arial"/>
          <w:noProof/>
          <w:sz w:val="24"/>
          <w:szCs w:val="24"/>
        </w:rPr>
        <w:t xml:space="preserve"> minutes. </w:t>
      </w:r>
      <w:r>
        <w:rPr>
          <w:rFonts w:ascii="Arial" w:hAnsi="Arial" w:cs="Arial"/>
          <w:noProof/>
          <w:sz w:val="24"/>
          <w:szCs w:val="24"/>
        </w:rPr>
        <w:t xml:space="preserve">  The interview burden is therefore 30 hours, exclusive of travel time.  However, there is also a screener and it is estimated that it will be completed by 60 individuals with an average completion time of 4 minutes; this constitutes 4 hours, for a total burden of 34 hours.</w:t>
      </w:r>
    </w:p>
    <w:p w:rsidR="00EF32C9" w:rsidRPr="007D7A66" w:rsidRDefault="00EF32C9" w:rsidP="00E741C0">
      <w:pPr>
        <w:pStyle w:val="Heading2"/>
        <w:spacing w:before="600" w:after="120" w:line="360" w:lineRule="auto"/>
        <w:ind w:left="0"/>
        <w:rPr>
          <w:rFonts w:ascii="Arial" w:hAnsi="Arial" w:cs="Arial"/>
          <w:i w:val="0"/>
          <w:iCs w:val="0"/>
        </w:rPr>
      </w:pPr>
      <w:bookmarkStart w:id="6" w:name="_Toc223245310"/>
      <w:r w:rsidRPr="007D7A66">
        <w:rPr>
          <w:rFonts w:ascii="Arial" w:hAnsi="Arial" w:cs="Arial"/>
          <w:i w:val="0"/>
          <w:iCs w:val="0"/>
        </w:rPr>
        <w:t>Estimate of Costs for Recruiting and Paying Respondents</w:t>
      </w:r>
    </w:p>
    <w:p w:rsidR="00EF32C9" w:rsidRPr="007D7A66" w:rsidRDefault="00EF32C9" w:rsidP="00F04BA0">
      <w:pPr>
        <w:spacing w:line="360" w:lineRule="auto"/>
        <w:rPr>
          <w:rFonts w:cs="Arial"/>
          <w:sz w:val="24"/>
        </w:rPr>
      </w:pPr>
      <w:r>
        <w:rPr>
          <w:rFonts w:cs="Arial"/>
          <w:sz w:val="24"/>
        </w:rPr>
        <w:t>To compensate the respondents for their time and effort, they will receive $40 for their participation.</w:t>
      </w:r>
    </w:p>
    <w:p w:rsidR="00EF32C9" w:rsidRPr="007D7A66" w:rsidRDefault="00EF32C9" w:rsidP="008B21B0">
      <w:pPr>
        <w:pStyle w:val="Heading2"/>
        <w:spacing w:before="600" w:after="120" w:line="360" w:lineRule="auto"/>
        <w:ind w:left="0"/>
        <w:rPr>
          <w:rFonts w:ascii="Arial" w:hAnsi="Arial" w:cs="Arial"/>
          <w:i w:val="0"/>
          <w:iCs w:val="0"/>
        </w:rPr>
      </w:pPr>
      <w:r w:rsidRPr="007D7A66">
        <w:rPr>
          <w:rFonts w:ascii="Arial" w:hAnsi="Arial" w:cs="Arial"/>
          <w:i w:val="0"/>
          <w:iCs w:val="0"/>
        </w:rPr>
        <w:t>Estimate of Cost Burden</w:t>
      </w:r>
    </w:p>
    <w:p w:rsidR="00EF32C9" w:rsidRPr="007D7A66" w:rsidRDefault="00EF32C9" w:rsidP="00D61DB8">
      <w:pPr>
        <w:spacing w:line="360" w:lineRule="auto"/>
        <w:rPr>
          <w:rFonts w:cs="Arial"/>
          <w:sz w:val="24"/>
        </w:rPr>
      </w:pPr>
      <w:r w:rsidRPr="007D7A66">
        <w:rPr>
          <w:rFonts w:cs="Arial"/>
          <w:sz w:val="24"/>
        </w:rPr>
        <w:t>There are n</w:t>
      </w:r>
      <w:r>
        <w:rPr>
          <w:rFonts w:cs="Arial"/>
          <w:sz w:val="24"/>
        </w:rPr>
        <w:t>o direct costs to participants.</w:t>
      </w:r>
    </w:p>
    <w:p w:rsidR="00EF32C9" w:rsidRPr="007D7A66" w:rsidRDefault="00EF32C9" w:rsidP="00E741C0">
      <w:pPr>
        <w:pStyle w:val="Heading2"/>
        <w:keepLines/>
        <w:spacing w:before="480" w:after="120" w:line="360" w:lineRule="auto"/>
        <w:ind w:left="0"/>
        <w:rPr>
          <w:rFonts w:ascii="Arial" w:hAnsi="Arial" w:cs="Arial"/>
          <w:i w:val="0"/>
          <w:iCs w:val="0"/>
        </w:rPr>
      </w:pPr>
      <w:r w:rsidRPr="007D7A66">
        <w:rPr>
          <w:rFonts w:ascii="Arial" w:hAnsi="Arial" w:cs="Arial"/>
          <w:i w:val="0"/>
          <w:iCs w:val="0"/>
        </w:rPr>
        <w:lastRenderedPageBreak/>
        <w:t xml:space="preserve">Cost to Federal Government </w:t>
      </w:r>
    </w:p>
    <w:p w:rsidR="00EF32C9" w:rsidRDefault="00EF32C9" w:rsidP="00F04BA0">
      <w:pPr>
        <w:keepNext/>
        <w:keepLines/>
        <w:rPr>
          <w:rFonts w:cs="Arial"/>
          <w:sz w:val="24"/>
        </w:rPr>
      </w:pPr>
      <w:r w:rsidRPr="007D7A66">
        <w:rPr>
          <w:rFonts w:cs="Arial"/>
          <w:sz w:val="24"/>
        </w:rPr>
        <w:tab/>
        <w:t xml:space="preserve">The cost of conducting the </w:t>
      </w:r>
      <w:r>
        <w:rPr>
          <w:rFonts w:cs="Arial"/>
          <w:sz w:val="24"/>
        </w:rPr>
        <w:t>cognitive interviews</w:t>
      </w:r>
      <w:r w:rsidRPr="007D7A66">
        <w:rPr>
          <w:rFonts w:cs="Arial"/>
          <w:sz w:val="24"/>
        </w:rPr>
        <w:t xml:space="preserve"> will be $</w:t>
      </w:r>
      <w:r>
        <w:rPr>
          <w:rFonts w:cs="Arial"/>
          <w:sz w:val="24"/>
        </w:rPr>
        <w:t>16,832, under the RSS subcontract to RTI International, including recruitment, interviewing, transcription, analysis, report writing, and a participant incentive of $40 each per cognitive interviewee.</w:t>
      </w:r>
    </w:p>
    <w:p w:rsidR="00EF32C9" w:rsidRDefault="00EF32C9" w:rsidP="00C8394E">
      <w:pPr>
        <w:keepNext/>
        <w:keepLines/>
        <w:rPr>
          <w:rFonts w:cs="Arial"/>
          <w:sz w:val="24"/>
        </w:rPr>
      </w:pPr>
    </w:p>
    <w:bookmarkEnd w:id="6"/>
    <w:p w:rsidR="00EF32C9" w:rsidRPr="007D7A66" w:rsidRDefault="00EF32C9" w:rsidP="00F076D0">
      <w:pPr>
        <w:pStyle w:val="Heading2"/>
        <w:keepLines/>
        <w:spacing w:before="480" w:after="120" w:line="360" w:lineRule="auto"/>
        <w:ind w:left="0"/>
        <w:rPr>
          <w:rFonts w:ascii="Arial" w:hAnsi="Arial" w:cs="Arial"/>
          <w:i w:val="0"/>
          <w:iCs w:val="0"/>
        </w:rPr>
      </w:pPr>
      <w:r>
        <w:rPr>
          <w:rFonts w:ascii="Arial" w:hAnsi="Arial" w:cs="Arial"/>
          <w:i w:val="0"/>
          <w:iCs w:val="0"/>
        </w:rPr>
        <w:t>References</w:t>
      </w:r>
    </w:p>
    <w:p w:rsidR="00EF32C9" w:rsidRDefault="00EF32C9" w:rsidP="00F076D0">
      <w:pPr>
        <w:keepNext/>
        <w:keepLines/>
        <w:rPr>
          <w:rFonts w:cs="Arial"/>
          <w:sz w:val="24"/>
        </w:rPr>
      </w:pPr>
      <w:r>
        <w:rPr>
          <w:rFonts w:cs="Arial"/>
          <w:sz w:val="24"/>
        </w:rPr>
        <w:t>Anderson, S.L., and Betz, N.E.   (2001)</w:t>
      </w:r>
      <w:proofErr w:type="gramStart"/>
      <w:r>
        <w:rPr>
          <w:rFonts w:cs="Arial"/>
          <w:sz w:val="24"/>
        </w:rPr>
        <w:t>.  “</w:t>
      </w:r>
      <w:proofErr w:type="gramEnd"/>
      <w:r>
        <w:rPr>
          <w:rFonts w:cs="Arial"/>
          <w:sz w:val="24"/>
        </w:rPr>
        <w:t>Sources of Social Self-efficacy Expectations:  Their Measurement and Relation to Career Development.”  Journal of Vocational Behavior, 58:  98-117.</w:t>
      </w:r>
    </w:p>
    <w:p w:rsidR="00EF32C9" w:rsidRDefault="00EF32C9" w:rsidP="00F076D0">
      <w:pPr>
        <w:keepNext/>
        <w:keepLines/>
        <w:rPr>
          <w:rFonts w:cs="Arial"/>
          <w:sz w:val="24"/>
        </w:rPr>
      </w:pPr>
    </w:p>
    <w:p w:rsidR="00EF32C9" w:rsidRDefault="00EF32C9" w:rsidP="00F076D0">
      <w:pPr>
        <w:keepNext/>
        <w:keepLines/>
        <w:rPr>
          <w:rFonts w:cs="Arial"/>
          <w:sz w:val="24"/>
        </w:rPr>
      </w:pPr>
      <w:proofErr w:type="spellStart"/>
      <w:proofErr w:type="gramStart"/>
      <w:r>
        <w:rPr>
          <w:rFonts w:cs="Arial"/>
          <w:sz w:val="24"/>
        </w:rPr>
        <w:t>Bandura</w:t>
      </w:r>
      <w:proofErr w:type="spellEnd"/>
      <w:r>
        <w:rPr>
          <w:rFonts w:cs="Arial"/>
          <w:sz w:val="24"/>
        </w:rPr>
        <w:t>, A.</w:t>
      </w:r>
      <w:proofErr w:type="gramEnd"/>
      <w:r>
        <w:rPr>
          <w:rFonts w:cs="Arial"/>
          <w:sz w:val="24"/>
        </w:rPr>
        <w:t xml:space="preserve">   (1997). Self-Efficacy:  The Exercise of Control.  New York:  W.H. Freeman &amp; Co.</w:t>
      </w:r>
    </w:p>
    <w:p w:rsidR="00EF32C9" w:rsidRDefault="00EF32C9" w:rsidP="00F076D0">
      <w:pPr>
        <w:keepNext/>
        <w:keepLines/>
        <w:rPr>
          <w:rFonts w:cs="Arial"/>
          <w:sz w:val="24"/>
        </w:rPr>
      </w:pPr>
    </w:p>
    <w:p w:rsidR="00EF32C9" w:rsidRDefault="00EF32C9" w:rsidP="007B45C7">
      <w:pPr>
        <w:keepNext/>
        <w:keepLines/>
        <w:rPr>
          <w:rFonts w:cs="Arial"/>
          <w:sz w:val="24"/>
        </w:rPr>
      </w:pPr>
      <w:r>
        <w:rPr>
          <w:rFonts w:cs="Arial"/>
          <w:sz w:val="24"/>
        </w:rPr>
        <w:t>Betz, N.E.  (2007)</w:t>
      </w:r>
      <w:proofErr w:type="gramStart"/>
      <w:r>
        <w:rPr>
          <w:rFonts w:cs="Arial"/>
          <w:sz w:val="24"/>
        </w:rPr>
        <w:t>.  “</w:t>
      </w:r>
      <w:proofErr w:type="gramEnd"/>
      <w:r>
        <w:rPr>
          <w:rFonts w:cs="Arial"/>
          <w:sz w:val="24"/>
        </w:rPr>
        <w:t>Career Self-efficacy:  Exemplary Recent Research and Emerging Directions.”   Journal of Career Assessment, 15:  403-422.</w:t>
      </w:r>
    </w:p>
    <w:p w:rsidR="00EF32C9" w:rsidRDefault="00EF32C9" w:rsidP="007B45C7">
      <w:pPr>
        <w:keepNext/>
        <w:keepLines/>
        <w:rPr>
          <w:rFonts w:cs="Arial"/>
          <w:sz w:val="24"/>
        </w:rPr>
      </w:pPr>
    </w:p>
    <w:p w:rsidR="00EF32C9" w:rsidRDefault="00EF32C9" w:rsidP="00F076D0">
      <w:pPr>
        <w:keepNext/>
        <w:keepLines/>
        <w:rPr>
          <w:rFonts w:cs="Arial"/>
          <w:sz w:val="24"/>
        </w:rPr>
      </w:pPr>
      <w:r>
        <w:rPr>
          <w:rFonts w:cs="Arial"/>
          <w:sz w:val="24"/>
        </w:rPr>
        <w:t>Duffy, R.D., and Lent, R.W.    (2009)</w:t>
      </w:r>
      <w:proofErr w:type="gramStart"/>
      <w:r>
        <w:rPr>
          <w:rFonts w:cs="Arial"/>
          <w:sz w:val="24"/>
        </w:rPr>
        <w:t>.  “</w:t>
      </w:r>
      <w:proofErr w:type="gramEnd"/>
      <w:r>
        <w:rPr>
          <w:rFonts w:cs="Arial"/>
          <w:sz w:val="24"/>
        </w:rPr>
        <w:t xml:space="preserve">Test of a Social Cognitive Model of Work Satisfaction in Teachers.”   Journal of Vocational Behavior 75:  212-233.  </w:t>
      </w:r>
    </w:p>
    <w:p w:rsidR="00EF32C9" w:rsidRDefault="00EF32C9" w:rsidP="00F076D0">
      <w:pPr>
        <w:keepNext/>
        <w:keepLines/>
        <w:rPr>
          <w:rFonts w:cs="Arial"/>
          <w:sz w:val="24"/>
        </w:rPr>
      </w:pPr>
    </w:p>
    <w:p w:rsidR="00EF32C9" w:rsidRDefault="00EF32C9" w:rsidP="00F076D0">
      <w:pPr>
        <w:keepNext/>
        <w:keepLines/>
        <w:rPr>
          <w:rFonts w:cs="Arial"/>
          <w:sz w:val="24"/>
        </w:rPr>
      </w:pPr>
      <w:r>
        <w:rPr>
          <w:rFonts w:cs="Arial"/>
          <w:sz w:val="24"/>
        </w:rPr>
        <w:t>Ingels, S.J., Curtin, T.R., Kaufman, P, Alt, M.N. and Chen, X.   (2002).   Coming of Age in the 1990s:  The Eighth-Grade Class of 1988 12 Years Later.  (NCES 2002-321).  Washington, DC:   National Center for Education Statistics.</w:t>
      </w:r>
    </w:p>
    <w:p w:rsidR="00EF32C9" w:rsidRDefault="00EF32C9" w:rsidP="00F076D0">
      <w:pPr>
        <w:keepNext/>
        <w:keepLines/>
        <w:rPr>
          <w:rFonts w:cs="Arial"/>
          <w:sz w:val="24"/>
        </w:rPr>
      </w:pPr>
    </w:p>
    <w:p w:rsidR="00EF32C9" w:rsidRDefault="00EF32C9" w:rsidP="00F076D0">
      <w:pPr>
        <w:keepNext/>
        <w:keepLines/>
        <w:rPr>
          <w:rFonts w:cs="Arial"/>
          <w:sz w:val="24"/>
        </w:rPr>
      </w:pPr>
      <w:proofErr w:type="gramStart"/>
      <w:r>
        <w:rPr>
          <w:rFonts w:cs="Arial"/>
          <w:sz w:val="24"/>
        </w:rPr>
        <w:t xml:space="preserve">Lent, R.W., Brown, S.D., Schmidt, J. Brenner, B., Lyons, H. and </w:t>
      </w:r>
      <w:proofErr w:type="spellStart"/>
      <w:r>
        <w:rPr>
          <w:rFonts w:cs="Arial"/>
          <w:sz w:val="24"/>
        </w:rPr>
        <w:t>Treistman</w:t>
      </w:r>
      <w:proofErr w:type="spellEnd"/>
      <w:r>
        <w:rPr>
          <w:rFonts w:cs="Arial"/>
          <w:sz w:val="24"/>
        </w:rPr>
        <w:t>, D.</w:t>
      </w:r>
      <w:proofErr w:type="gramEnd"/>
      <w:r>
        <w:rPr>
          <w:rFonts w:cs="Arial"/>
          <w:sz w:val="24"/>
        </w:rPr>
        <w:t xml:space="preserve">  (2003).   “Relation of Contextual Supports and Barriers to Choice Behavior in Engineering Majors:  Test of Alternative Social Cognitive Models.  Journal of Counseling Psychology, 30(4):  458-465.  </w:t>
      </w:r>
    </w:p>
    <w:p w:rsidR="00EF32C9" w:rsidRPr="00AC4E8C" w:rsidRDefault="00EF32C9" w:rsidP="00AC4E8C"/>
    <w:sectPr w:rsidR="00EF32C9" w:rsidRPr="00AC4E8C" w:rsidSect="009B0DA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2C9" w:rsidRDefault="00EF32C9">
      <w:r>
        <w:separator/>
      </w:r>
    </w:p>
  </w:endnote>
  <w:endnote w:type="continuationSeparator" w:id="0">
    <w:p w:rsidR="00EF32C9" w:rsidRDefault="00EF3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0000500000000000000"/>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2C9" w:rsidRDefault="00EF32C9">
      <w:r>
        <w:separator/>
      </w:r>
    </w:p>
  </w:footnote>
  <w:footnote w:type="continuationSeparator" w:id="0">
    <w:p w:rsidR="00EF32C9" w:rsidRDefault="00EF32C9">
      <w:r>
        <w:continuationSeparator/>
      </w:r>
    </w:p>
  </w:footnote>
  <w:footnote w:id="1">
    <w:p w:rsidR="00EF32C9" w:rsidRDefault="00EF32C9" w:rsidP="00332D50">
      <w:pPr>
        <w:pStyle w:val="FootnoteText"/>
      </w:pPr>
      <w:r>
        <w:rPr>
          <w:rStyle w:val="FootnoteReference"/>
        </w:rPr>
        <w:footnoteRef/>
      </w:r>
      <w:r>
        <w:t xml:space="preserve"> The following public domain sources have served as models for various scales, suggesting some of the dimensions that should be covered:  Job Satisfaction (</w:t>
      </w:r>
      <w:proofErr w:type="spellStart"/>
      <w:r>
        <w:t>Brayfield</w:t>
      </w:r>
      <w:proofErr w:type="spellEnd"/>
      <w:r>
        <w:t xml:space="preserve"> &amp; </w:t>
      </w:r>
      <w:proofErr w:type="spellStart"/>
      <w:r>
        <w:t>Rothe</w:t>
      </w:r>
      <w:proofErr w:type="spellEnd"/>
      <w:r>
        <w:t xml:space="preserve"> Index of Job Satisfaction 1951)</w:t>
      </w:r>
      <w:proofErr w:type="gramStart"/>
      <w:r>
        <w:t>;  Job</w:t>
      </w:r>
      <w:proofErr w:type="gramEnd"/>
      <w:r>
        <w:t xml:space="preserve"> Persistence (</w:t>
      </w:r>
      <w:proofErr w:type="spellStart"/>
      <w:r>
        <w:t>Camman</w:t>
      </w:r>
      <w:proofErr w:type="spellEnd"/>
      <w:r>
        <w:t xml:space="preserve"> et al. 1979); and Occupation Self-efficacy (Dunn &amp; O’Brien’s 2009 Self Efficacy in Work Domains scale).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C9" w:rsidRDefault="00EF32C9" w:rsidP="00F5652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8903A24"/>
    <w:multiLevelType w:val="hybridMultilevel"/>
    <w:tmpl w:val="8CB2EC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4">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60AD0"/>
    <w:multiLevelType w:val="hybridMultilevel"/>
    <w:tmpl w:val="535434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AD2331"/>
    <w:multiLevelType w:val="hybridMultilevel"/>
    <w:tmpl w:val="B0F2E14E"/>
    <w:lvl w:ilvl="0" w:tplc="90883904">
      <w:start w:val="3"/>
      <w:numFmt w:val="bullet"/>
      <w:lvlText w:val=""/>
      <w:lvlJc w:val="left"/>
      <w:pPr>
        <w:ind w:left="1440" w:hanging="360"/>
      </w:pPr>
      <w:rPr>
        <w:rFonts w:ascii="Wingdings" w:eastAsia="Times New Roman"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E33B19"/>
    <w:multiLevelType w:val="hybridMultilevel"/>
    <w:tmpl w:val="913414AA"/>
    <w:lvl w:ilvl="0" w:tplc="24A2CA9E">
      <w:start w:val="3"/>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7375501"/>
    <w:multiLevelType w:val="hybridMultilevel"/>
    <w:tmpl w:val="B1F6CC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39F4FFB"/>
    <w:multiLevelType w:val="hybridMultilevel"/>
    <w:tmpl w:val="AAE8219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527E4"/>
    <w:multiLevelType w:val="hybridMultilevel"/>
    <w:tmpl w:val="1FEC1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9A967A8"/>
    <w:multiLevelType w:val="hybridMultilevel"/>
    <w:tmpl w:val="CF883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3EA5B60"/>
    <w:multiLevelType w:val="hybridMultilevel"/>
    <w:tmpl w:val="515455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4B11660"/>
    <w:multiLevelType w:val="hybridMultilevel"/>
    <w:tmpl w:val="16669340"/>
    <w:lvl w:ilvl="0" w:tplc="E0803DBE">
      <w:start w:val="1"/>
      <w:numFmt w:val="bullet"/>
      <w:lvlText w:val="_"/>
      <w:lvlJc w:val="left"/>
      <w:pPr>
        <w:tabs>
          <w:tab w:val="num" w:pos="1080"/>
        </w:tabs>
        <w:ind w:left="1080" w:hanging="360"/>
      </w:pPr>
      <w:rPr>
        <w:rFonts w:ascii="Verdana" w:eastAsia="Times New Roman" w:hAnsi="Verdan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2F5A20"/>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AD704E0"/>
    <w:multiLevelType w:val="hybridMultilevel"/>
    <w:tmpl w:val="C4C68490"/>
    <w:lvl w:ilvl="0" w:tplc="64326EFA">
      <w:start w:val="2"/>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4">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42CC552A"/>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4F1182"/>
    <w:multiLevelType w:val="hybridMultilevel"/>
    <w:tmpl w:val="9EFEED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5C51BD0"/>
    <w:multiLevelType w:val="hybridMultilevel"/>
    <w:tmpl w:val="4B5C6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C044F5E"/>
    <w:multiLevelType w:val="hybridMultilevel"/>
    <w:tmpl w:val="52CE2514"/>
    <w:lvl w:ilvl="0" w:tplc="13BA4916">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25610B"/>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4F4031"/>
    <w:multiLevelType w:val="hybridMultilevel"/>
    <w:tmpl w:val="53100FA0"/>
    <w:lvl w:ilvl="0" w:tplc="E40408E4">
      <w:start w:val="4"/>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DB5915"/>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42"/>
  </w:num>
  <w:num w:numId="4">
    <w:abstractNumId w:val="20"/>
  </w:num>
  <w:num w:numId="5">
    <w:abstractNumId w:val="4"/>
  </w:num>
  <w:num w:numId="6">
    <w:abstractNumId w:val="11"/>
  </w:num>
  <w:num w:numId="7">
    <w:abstractNumId w:val="1"/>
  </w:num>
  <w:num w:numId="8">
    <w:abstractNumId w:val="8"/>
  </w:num>
  <w:num w:numId="9">
    <w:abstractNumId w:val="33"/>
  </w:num>
  <w:num w:numId="10">
    <w:abstractNumId w:val="35"/>
  </w:num>
  <w:num w:numId="11">
    <w:abstractNumId w:val="26"/>
  </w:num>
  <w:num w:numId="12">
    <w:abstractNumId w:val="31"/>
  </w:num>
  <w:num w:numId="13">
    <w:abstractNumId w:val="19"/>
  </w:num>
  <w:num w:numId="14">
    <w:abstractNumId w:val="13"/>
  </w:num>
  <w:num w:numId="15">
    <w:abstractNumId w:val="2"/>
  </w:num>
  <w:num w:numId="16">
    <w:abstractNumId w:val="38"/>
  </w:num>
  <w:num w:numId="17">
    <w:abstractNumId w:val="14"/>
  </w:num>
  <w:num w:numId="18">
    <w:abstractNumId w:val="40"/>
  </w:num>
  <w:num w:numId="19">
    <w:abstractNumId w:val="23"/>
  </w:num>
  <w:num w:numId="20">
    <w:abstractNumId w:val="39"/>
  </w:num>
  <w:num w:numId="21">
    <w:abstractNumId w:val="10"/>
  </w:num>
  <w:num w:numId="22">
    <w:abstractNumId w:val="41"/>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2"/>
  </w:num>
  <w:num w:numId="26">
    <w:abstractNumId w:val="28"/>
  </w:num>
  <w:num w:numId="27">
    <w:abstractNumId w:val="27"/>
  </w:num>
  <w:num w:numId="28">
    <w:abstractNumId w:val="22"/>
  </w:num>
  <w:num w:numId="29">
    <w:abstractNumId w:val="6"/>
  </w:num>
  <w:num w:numId="30">
    <w:abstractNumId w:val="7"/>
  </w:num>
  <w:num w:numId="31">
    <w:abstractNumId w:val="36"/>
  </w:num>
  <w:num w:numId="32">
    <w:abstractNumId w:val="32"/>
  </w:num>
  <w:num w:numId="33">
    <w:abstractNumId w:val="16"/>
  </w:num>
  <w:num w:numId="34">
    <w:abstractNumId w:val="3"/>
  </w:num>
  <w:num w:numId="35">
    <w:abstractNumId w:val="18"/>
  </w:num>
  <w:num w:numId="36">
    <w:abstractNumId w:val="21"/>
  </w:num>
  <w:num w:numId="37">
    <w:abstractNumId w:val="15"/>
  </w:num>
  <w:num w:numId="38">
    <w:abstractNumId w:val="34"/>
  </w:num>
  <w:num w:numId="39">
    <w:abstractNumId w:val="30"/>
  </w:num>
  <w:num w:numId="40">
    <w:abstractNumId w:val="29"/>
  </w:num>
  <w:num w:numId="41">
    <w:abstractNumId w:val="9"/>
  </w:num>
  <w:num w:numId="42">
    <w:abstractNumId w:val="5"/>
  </w:num>
  <w:num w:numId="43">
    <w:abstractNumId w:val="43"/>
  </w:num>
  <w:num w:numId="44">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32D8"/>
    <w:rsid w:val="0001263D"/>
    <w:rsid w:val="00013C24"/>
    <w:rsid w:val="00014EB0"/>
    <w:rsid w:val="00015635"/>
    <w:rsid w:val="00015A19"/>
    <w:rsid w:val="00022CCE"/>
    <w:rsid w:val="00023616"/>
    <w:rsid w:val="00023730"/>
    <w:rsid w:val="0002638F"/>
    <w:rsid w:val="00036179"/>
    <w:rsid w:val="00040559"/>
    <w:rsid w:val="00040EB7"/>
    <w:rsid w:val="00041E96"/>
    <w:rsid w:val="00042025"/>
    <w:rsid w:val="000475E8"/>
    <w:rsid w:val="000509D3"/>
    <w:rsid w:val="000517ED"/>
    <w:rsid w:val="0005267C"/>
    <w:rsid w:val="000530B5"/>
    <w:rsid w:val="0005651D"/>
    <w:rsid w:val="00057F68"/>
    <w:rsid w:val="00063876"/>
    <w:rsid w:val="00063FF2"/>
    <w:rsid w:val="00066DB3"/>
    <w:rsid w:val="0007431E"/>
    <w:rsid w:val="000865F4"/>
    <w:rsid w:val="00091FE5"/>
    <w:rsid w:val="0009326A"/>
    <w:rsid w:val="000945BD"/>
    <w:rsid w:val="000A1B9D"/>
    <w:rsid w:val="000A53CF"/>
    <w:rsid w:val="000B06F1"/>
    <w:rsid w:val="000B0A88"/>
    <w:rsid w:val="000B2F1F"/>
    <w:rsid w:val="000C1C3F"/>
    <w:rsid w:val="000C7D78"/>
    <w:rsid w:val="000E35F6"/>
    <w:rsid w:val="000E6788"/>
    <w:rsid w:val="000F1FFF"/>
    <w:rsid w:val="00101109"/>
    <w:rsid w:val="00104EC2"/>
    <w:rsid w:val="0010569E"/>
    <w:rsid w:val="00105A16"/>
    <w:rsid w:val="00112D82"/>
    <w:rsid w:val="0011391F"/>
    <w:rsid w:val="00122CC8"/>
    <w:rsid w:val="00123A74"/>
    <w:rsid w:val="001251FB"/>
    <w:rsid w:val="00126BFA"/>
    <w:rsid w:val="00127A97"/>
    <w:rsid w:val="001315A0"/>
    <w:rsid w:val="00133667"/>
    <w:rsid w:val="001359FE"/>
    <w:rsid w:val="001411D5"/>
    <w:rsid w:val="001457C3"/>
    <w:rsid w:val="0015037C"/>
    <w:rsid w:val="00154C62"/>
    <w:rsid w:val="001572A6"/>
    <w:rsid w:val="0016040E"/>
    <w:rsid w:val="001758DD"/>
    <w:rsid w:val="00182AF1"/>
    <w:rsid w:val="00185563"/>
    <w:rsid w:val="00185841"/>
    <w:rsid w:val="00192043"/>
    <w:rsid w:val="00192348"/>
    <w:rsid w:val="00192B92"/>
    <w:rsid w:val="001942EE"/>
    <w:rsid w:val="00195956"/>
    <w:rsid w:val="001A061D"/>
    <w:rsid w:val="001A7299"/>
    <w:rsid w:val="001B146F"/>
    <w:rsid w:val="001B54E4"/>
    <w:rsid w:val="001B5DAA"/>
    <w:rsid w:val="001C6D6D"/>
    <w:rsid w:val="001D482A"/>
    <w:rsid w:val="001D7F1E"/>
    <w:rsid w:val="001E175E"/>
    <w:rsid w:val="001E347E"/>
    <w:rsid w:val="001E5521"/>
    <w:rsid w:val="001E5B4B"/>
    <w:rsid w:val="001F236F"/>
    <w:rsid w:val="001F34F7"/>
    <w:rsid w:val="001F5383"/>
    <w:rsid w:val="0021055A"/>
    <w:rsid w:val="00210C32"/>
    <w:rsid w:val="00214A52"/>
    <w:rsid w:val="0021604F"/>
    <w:rsid w:val="002229E7"/>
    <w:rsid w:val="00226A6E"/>
    <w:rsid w:val="002310FB"/>
    <w:rsid w:val="00236301"/>
    <w:rsid w:val="00243FA6"/>
    <w:rsid w:val="0024506F"/>
    <w:rsid w:val="00246A53"/>
    <w:rsid w:val="0025097B"/>
    <w:rsid w:val="00250E08"/>
    <w:rsid w:val="00252A87"/>
    <w:rsid w:val="00253F7A"/>
    <w:rsid w:val="002559EB"/>
    <w:rsid w:val="00256493"/>
    <w:rsid w:val="00256CC9"/>
    <w:rsid w:val="0026071E"/>
    <w:rsid w:val="00263E0B"/>
    <w:rsid w:val="00274733"/>
    <w:rsid w:val="0029001A"/>
    <w:rsid w:val="00292524"/>
    <w:rsid w:val="00293359"/>
    <w:rsid w:val="0029725C"/>
    <w:rsid w:val="002A2140"/>
    <w:rsid w:val="002A4BA6"/>
    <w:rsid w:val="002B183B"/>
    <w:rsid w:val="002B1AD1"/>
    <w:rsid w:val="002B270E"/>
    <w:rsid w:val="002C1EBA"/>
    <w:rsid w:val="002E1557"/>
    <w:rsid w:val="002E1BD9"/>
    <w:rsid w:val="002F0296"/>
    <w:rsid w:val="002F2BFF"/>
    <w:rsid w:val="002F3C26"/>
    <w:rsid w:val="00303711"/>
    <w:rsid w:val="003044C7"/>
    <w:rsid w:val="00304F37"/>
    <w:rsid w:val="00313560"/>
    <w:rsid w:val="00313836"/>
    <w:rsid w:val="003222AB"/>
    <w:rsid w:val="00323092"/>
    <w:rsid w:val="00324080"/>
    <w:rsid w:val="00326BE7"/>
    <w:rsid w:val="00330A67"/>
    <w:rsid w:val="00331DE2"/>
    <w:rsid w:val="00332D50"/>
    <w:rsid w:val="0033507B"/>
    <w:rsid w:val="00336516"/>
    <w:rsid w:val="00336A56"/>
    <w:rsid w:val="003405F3"/>
    <w:rsid w:val="00351152"/>
    <w:rsid w:val="00365902"/>
    <w:rsid w:val="0036668E"/>
    <w:rsid w:val="00366CEC"/>
    <w:rsid w:val="00367D34"/>
    <w:rsid w:val="003775BC"/>
    <w:rsid w:val="00381D2B"/>
    <w:rsid w:val="00382C06"/>
    <w:rsid w:val="003838C4"/>
    <w:rsid w:val="00391003"/>
    <w:rsid w:val="003979C7"/>
    <w:rsid w:val="00397D66"/>
    <w:rsid w:val="003A6329"/>
    <w:rsid w:val="003A7F11"/>
    <w:rsid w:val="003B02EE"/>
    <w:rsid w:val="003B1C31"/>
    <w:rsid w:val="003B4358"/>
    <w:rsid w:val="003C21B0"/>
    <w:rsid w:val="003C7297"/>
    <w:rsid w:val="003C7339"/>
    <w:rsid w:val="003C7638"/>
    <w:rsid w:val="003D0EBF"/>
    <w:rsid w:val="003D220F"/>
    <w:rsid w:val="003D56B2"/>
    <w:rsid w:val="003D5AB5"/>
    <w:rsid w:val="003D6877"/>
    <w:rsid w:val="003E0A40"/>
    <w:rsid w:val="003E7854"/>
    <w:rsid w:val="004051A9"/>
    <w:rsid w:val="0041095C"/>
    <w:rsid w:val="00412B3C"/>
    <w:rsid w:val="00413234"/>
    <w:rsid w:val="00415639"/>
    <w:rsid w:val="004169B8"/>
    <w:rsid w:val="0042519F"/>
    <w:rsid w:val="0042772E"/>
    <w:rsid w:val="004344B7"/>
    <w:rsid w:val="00455EAE"/>
    <w:rsid w:val="00457252"/>
    <w:rsid w:val="004648F1"/>
    <w:rsid w:val="00472D72"/>
    <w:rsid w:val="004757DF"/>
    <w:rsid w:val="00477A90"/>
    <w:rsid w:val="00480350"/>
    <w:rsid w:val="00483149"/>
    <w:rsid w:val="00483C7C"/>
    <w:rsid w:val="004878BF"/>
    <w:rsid w:val="004947F8"/>
    <w:rsid w:val="00495B8D"/>
    <w:rsid w:val="00496D99"/>
    <w:rsid w:val="004977BF"/>
    <w:rsid w:val="004A0730"/>
    <w:rsid w:val="004A11BD"/>
    <w:rsid w:val="004A2714"/>
    <w:rsid w:val="004A40F6"/>
    <w:rsid w:val="004A711C"/>
    <w:rsid w:val="004B254F"/>
    <w:rsid w:val="004B2896"/>
    <w:rsid w:val="004B6C54"/>
    <w:rsid w:val="004B7CF0"/>
    <w:rsid w:val="004C0D96"/>
    <w:rsid w:val="004C37B9"/>
    <w:rsid w:val="004C4749"/>
    <w:rsid w:val="004C603B"/>
    <w:rsid w:val="004D1254"/>
    <w:rsid w:val="004E787B"/>
    <w:rsid w:val="004F0130"/>
    <w:rsid w:val="004F41E8"/>
    <w:rsid w:val="004F5388"/>
    <w:rsid w:val="0050145F"/>
    <w:rsid w:val="00507EF9"/>
    <w:rsid w:val="00512998"/>
    <w:rsid w:val="0051624A"/>
    <w:rsid w:val="00517FA9"/>
    <w:rsid w:val="00523A64"/>
    <w:rsid w:val="00524DB7"/>
    <w:rsid w:val="005270C7"/>
    <w:rsid w:val="00530C14"/>
    <w:rsid w:val="00532851"/>
    <w:rsid w:val="005376A1"/>
    <w:rsid w:val="0054169D"/>
    <w:rsid w:val="0054658B"/>
    <w:rsid w:val="00551D3C"/>
    <w:rsid w:val="00553309"/>
    <w:rsid w:val="00564DA2"/>
    <w:rsid w:val="0056712F"/>
    <w:rsid w:val="0057007C"/>
    <w:rsid w:val="00570117"/>
    <w:rsid w:val="00572036"/>
    <w:rsid w:val="00573802"/>
    <w:rsid w:val="00581493"/>
    <w:rsid w:val="00581E89"/>
    <w:rsid w:val="00591CD5"/>
    <w:rsid w:val="00593C8E"/>
    <w:rsid w:val="0059582A"/>
    <w:rsid w:val="005A0D26"/>
    <w:rsid w:val="005A0F04"/>
    <w:rsid w:val="005A1D74"/>
    <w:rsid w:val="005B0B5D"/>
    <w:rsid w:val="005B528C"/>
    <w:rsid w:val="005C0092"/>
    <w:rsid w:val="005C3164"/>
    <w:rsid w:val="005D21D7"/>
    <w:rsid w:val="005D31E6"/>
    <w:rsid w:val="005D6847"/>
    <w:rsid w:val="005D6BB5"/>
    <w:rsid w:val="005D70BE"/>
    <w:rsid w:val="005E10E9"/>
    <w:rsid w:val="005E18A4"/>
    <w:rsid w:val="005E6284"/>
    <w:rsid w:val="005F02B8"/>
    <w:rsid w:val="005F15BD"/>
    <w:rsid w:val="005F1C74"/>
    <w:rsid w:val="005F73C9"/>
    <w:rsid w:val="00600BAE"/>
    <w:rsid w:val="006027A5"/>
    <w:rsid w:val="00607F6E"/>
    <w:rsid w:val="0061070F"/>
    <w:rsid w:val="00612E9B"/>
    <w:rsid w:val="006142BD"/>
    <w:rsid w:val="00624A55"/>
    <w:rsid w:val="006279D1"/>
    <w:rsid w:val="006305B6"/>
    <w:rsid w:val="0063677E"/>
    <w:rsid w:val="00637592"/>
    <w:rsid w:val="006415AA"/>
    <w:rsid w:val="006423DD"/>
    <w:rsid w:val="0064404E"/>
    <w:rsid w:val="00644211"/>
    <w:rsid w:val="00644DB8"/>
    <w:rsid w:val="00645123"/>
    <w:rsid w:val="006461BE"/>
    <w:rsid w:val="00646FBE"/>
    <w:rsid w:val="00647FF9"/>
    <w:rsid w:val="00654A15"/>
    <w:rsid w:val="00655A23"/>
    <w:rsid w:val="00661EF7"/>
    <w:rsid w:val="00664329"/>
    <w:rsid w:val="006650E8"/>
    <w:rsid w:val="00667B03"/>
    <w:rsid w:val="00672A08"/>
    <w:rsid w:val="0067340F"/>
    <w:rsid w:val="0068168D"/>
    <w:rsid w:val="00685728"/>
    <w:rsid w:val="00686378"/>
    <w:rsid w:val="00691C53"/>
    <w:rsid w:val="006958C6"/>
    <w:rsid w:val="006B1B34"/>
    <w:rsid w:val="006B3D63"/>
    <w:rsid w:val="006B62B4"/>
    <w:rsid w:val="006B6BD4"/>
    <w:rsid w:val="006C4518"/>
    <w:rsid w:val="006D252E"/>
    <w:rsid w:val="006D6723"/>
    <w:rsid w:val="006E2D0B"/>
    <w:rsid w:val="006E6855"/>
    <w:rsid w:val="006F2C44"/>
    <w:rsid w:val="006F4B18"/>
    <w:rsid w:val="006F5169"/>
    <w:rsid w:val="006F55B8"/>
    <w:rsid w:val="006F7BA6"/>
    <w:rsid w:val="00700849"/>
    <w:rsid w:val="0070163C"/>
    <w:rsid w:val="00703C43"/>
    <w:rsid w:val="0071004E"/>
    <w:rsid w:val="00710DA2"/>
    <w:rsid w:val="00717073"/>
    <w:rsid w:val="007203E3"/>
    <w:rsid w:val="00722E6B"/>
    <w:rsid w:val="00724671"/>
    <w:rsid w:val="0073568F"/>
    <w:rsid w:val="0073633D"/>
    <w:rsid w:val="00737D4B"/>
    <w:rsid w:val="0074206A"/>
    <w:rsid w:val="007423F6"/>
    <w:rsid w:val="0074400B"/>
    <w:rsid w:val="007447FA"/>
    <w:rsid w:val="0075145C"/>
    <w:rsid w:val="0075536F"/>
    <w:rsid w:val="00757E5F"/>
    <w:rsid w:val="00760B66"/>
    <w:rsid w:val="007618C8"/>
    <w:rsid w:val="00771EED"/>
    <w:rsid w:val="00772082"/>
    <w:rsid w:val="00773AA6"/>
    <w:rsid w:val="00774089"/>
    <w:rsid w:val="00774737"/>
    <w:rsid w:val="007749A9"/>
    <w:rsid w:val="0078204B"/>
    <w:rsid w:val="0078612A"/>
    <w:rsid w:val="00786700"/>
    <w:rsid w:val="00786FC8"/>
    <w:rsid w:val="007929AD"/>
    <w:rsid w:val="007936CA"/>
    <w:rsid w:val="00794D35"/>
    <w:rsid w:val="0079727F"/>
    <w:rsid w:val="00797E71"/>
    <w:rsid w:val="007A48D3"/>
    <w:rsid w:val="007A52EF"/>
    <w:rsid w:val="007B2F1A"/>
    <w:rsid w:val="007B4550"/>
    <w:rsid w:val="007B45C7"/>
    <w:rsid w:val="007C5D7B"/>
    <w:rsid w:val="007D5F34"/>
    <w:rsid w:val="007D7A66"/>
    <w:rsid w:val="007D7E55"/>
    <w:rsid w:val="007E01D6"/>
    <w:rsid w:val="007E4EFD"/>
    <w:rsid w:val="007E5877"/>
    <w:rsid w:val="007E6DE6"/>
    <w:rsid w:val="007F505E"/>
    <w:rsid w:val="00800EAC"/>
    <w:rsid w:val="0080345E"/>
    <w:rsid w:val="00811143"/>
    <w:rsid w:val="00815FE4"/>
    <w:rsid w:val="00816213"/>
    <w:rsid w:val="00820670"/>
    <w:rsid w:val="00820B72"/>
    <w:rsid w:val="00824F90"/>
    <w:rsid w:val="0083166E"/>
    <w:rsid w:val="008322D9"/>
    <w:rsid w:val="00836BF8"/>
    <w:rsid w:val="00845CDA"/>
    <w:rsid w:val="00850155"/>
    <w:rsid w:val="00855F47"/>
    <w:rsid w:val="00861088"/>
    <w:rsid w:val="00861598"/>
    <w:rsid w:val="008617E9"/>
    <w:rsid w:val="00862206"/>
    <w:rsid w:val="0086308F"/>
    <w:rsid w:val="00867D99"/>
    <w:rsid w:val="0087119F"/>
    <w:rsid w:val="008721C0"/>
    <w:rsid w:val="0087357B"/>
    <w:rsid w:val="00887E4D"/>
    <w:rsid w:val="00891A74"/>
    <w:rsid w:val="00895B2B"/>
    <w:rsid w:val="008A0243"/>
    <w:rsid w:val="008A7C86"/>
    <w:rsid w:val="008B21B0"/>
    <w:rsid w:val="008B7722"/>
    <w:rsid w:val="008B7846"/>
    <w:rsid w:val="008C20CD"/>
    <w:rsid w:val="008C2358"/>
    <w:rsid w:val="008D3DAC"/>
    <w:rsid w:val="008D52EA"/>
    <w:rsid w:val="008E0449"/>
    <w:rsid w:val="008E5C4C"/>
    <w:rsid w:val="008E66B1"/>
    <w:rsid w:val="008F3517"/>
    <w:rsid w:val="008F4052"/>
    <w:rsid w:val="008F4EA1"/>
    <w:rsid w:val="008F5AA6"/>
    <w:rsid w:val="008F758A"/>
    <w:rsid w:val="009021B6"/>
    <w:rsid w:val="00902415"/>
    <w:rsid w:val="00904006"/>
    <w:rsid w:val="009050FE"/>
    <w:rsid w:val="0091228F"/>
    <w:rsid w:val="00915113"/>
    <w:rsid w:val="00917337"/>
    <w:rsid w:val="00922F62"/>
    <w:rsid w:val="00923CA3"/>
    <w:rsid w:val="009254C0"/>
    <w:rsid w:val="00933480"/>
    <w:rsid w:val="00933D76"/>
    <w:rsid w:val="0094054D"/>
    <w:rsid w:val="00941626"/>
    <w:rsid w:val="00944AEE"/>
    <w:rsid w:val="009457AD"/>
    <w:rsid w:val="009522C9"/>
    <w:rsid w:val="00952ED8"/>
    <w:rsid w:val="00957871"/>
    <w:rsid w:val="00957EB6"/>
    <w:rsid w:val="00961A55"/>
    <w:rsid w:val="009629F0"/>
    <w:rsid w:val="009636BA"/>
    <w:rsid w:val="009668D8"/>
    <w:rsid w:val="009721C1"/>
    <w:rsid w:val="00972AF1"/>
    <w:rsid w:val="009779AC"/>
    <w:rsid w:val="0099112F"/>
    <w:rsid w:val="00994F81"/>
    <w:rsid w:val="009953E9"/>
    <w:rsid w:val="009A66A6"/>
    <w:rsid w:val="009A7081"/>
    <w:rsid w:val="009B0DAE"/>
    <w:rsid w:val="009B0ECB"/>
    <w:rsid w:val="009C248D"/>
    <w:rsid w:val="009C47AB"/>
    <w:rsid w:val="009D0446"/>
    <w:rsid w:val="009D6C10"/>
    <w:rsid w:val="009D7BEE"/>
    <w:rsid w:val="009E0599"/>
    <w:rsid w:val="009E4653"/>
    <w:rsid w:val="009E7DC0"/>
    <w:rsid w:val="009F2220"/>
    <w:rsid w:val="009F77A7"/>
    <w:rsid w:val="00A018F5"/>
    <w:rsid w:val="00A03856"/>
    <w:rsid w:val="00A04B7B"/>
    <w:rsid w:val="00A05615"/>
    <w:rsid w:val="00A155A4"/>
    <w:rsid w:val="00A17B9F"/>
    <w:rsid w:val="00A20DA8"/>
    <w:rsid w:val="00A26204"/>
    <w:rsid w:val="00A349C4"/>
    <w:rsid w:val="00A35FC1"/>
    <w:rsid w:val="00A37C7E"/>
    <w:rsid w:val="00A439EB"/>
    <w:rsid w:val="00A43D38"/>
    <w:rsid w:val="00A455F0"/>
    <w:rsid w:val="00A46BD6"/>
    <w:rsid w:val="00A54586"/>
    <w:rsid w:val="00A65D19"/>
    <w:rsid w:val="00A673EF"/>
    <w:rsid w:val="00A717AB"/>
    <w:rsid w:val="00A73E2D"/>
    <w:rsid w:val="00A75679"/>
    <w:rsid w:val="00A7643B"/>
    <w:rsid w:val="00A7753C"/>
    <w:rsid w:val="00A85B61"/>
    <w:rsid w:val="00A877A0"/>
    <w:rsid w:val="00AA04A4"/>
    <w:rsid w:val="00AA395D"/>
    <w:rsid w:val="00AA40A3"/>
    <w:rsid w:val="00AA6113"/>
    <w:rsid w:val="00AA76B9"/>
    <w:rsid w:val="00AB1616"/>
    <w:rsid w:val="00AC4E8C"/>
    <w:rsid w:val="00AC4ECE"/>
    <w:rsid w:val="00AC5020"/>
    <w:rsid w:val="00AC50C7"/>
    <w:rsid w:val="00AD597B"/>
    <w:rsid w:val="00AD612E"/>
    <w:rsid w:val="00AE1D9D"/>
    <w:rsid w:val="00AE4745"/>
    <w:rsid w:val="00AE4965"/>
    <w:rsid w:val="00AE5E84"/>
    <w:rsid w:val="00AF06AF"/>
    <w:rsid w:val="00AF319C"/>
    <w:rsid w:val="00AF661B"/>
    <w:rsid w:val="00AF709D"/>
    <w:rsid w:val="00AF77AA"/>
    <w:rsid w:val="00AF7CCB"/>
    <w:rsid w:val="00AF7DD0"/>
    <w:rsid w:val="00B00006"/>
    <w:rsid w:val="00B00332"/>
    <w:rsid w:val="00B178B8"/>
    <w:rsid w:val="00B249D1"/>
    <w:rsid w:val="00B2601B"/>
    <w:rsid w:val="00B41626"/>
    <w:rsid w:val="00B418CC"/>
    <w:rsid w:val="00B41A76"/>
    <w:rsid w:val="00B41D57"/>
    <w:rsid w:val="00B433FC"/>
    <w:rsid w:val="00B46A6D"/>
    <w:rsid w:val="00B472F8"/>
    <w:rsid w:val="00B47E73"/>
    <w:rsid w:val="00B52067"/>
    <w:rsid w:val="00B85AB5"/>
    <w:rsid w:val="00B90057"/>
    <w:rsid w:val="00B92866"/>
    <w:rsid w:val="00B94BE6"/>
    <w:rsid w:val="00B96525"/>
    <w:rsid w:val="00BA0A9A"/>
    <w:rsid w:val="00BA2C66"/>
    <w:rsid w:val="00BA41F7"/>
    <w:rsid w:val="00BA6241"/>
    <w:rsid w:val="00BA7CFD"/>
    <w:rsid w:val="00BB06E5"/>
    <w:rsid w:val="00BB0DE5"/>
    <w:rsid w:val="00BB207F"/>
    <w:rsid w:val="00BB287C"/>
    <w:rsid w:val="00BB3ACF"/>
    <w:rsid w:val="00BB581C"/>
    <w:rsid w:val="00BC6B93"/>
    <w:rsid w:val="00BC6E1C"/>
    <w:rsid w:val="00BD2CB0"/>
    <w:rsid w:val="00BD3945"/>
    <w:rsid w:val="00BD673A"/>
    <w:rsid w:val="00BE6C24"/>
    <w:rsid w:val="00BF7070"/>
    <w:rsid w:val="00BF7CD2"/>
    <w:rsid w:val="00BF7E3E"/>
    <w:rsid w:val="00C00E1F"/>
    <w:rsid w:val="00C02DF6"/>
    <w:rsid w:val="00C1036C"/>
    <w:rsid w:val="00C15B65"/>
    <w:rsid w:val="00C21237"/>
    <w:rsid w:val="00C2325F"/>
    <w:rsid w:val="00C26E2D"/>
    <w:rsid w:val="00C32104"/>
    <w:rsid w:val="00C328E2"/>
    <w:rsid w:val="00C35614"/>
    <w:rsid w:val="00C46C41"/>
    <w:rsid w:val="00C521C6"/>
    <w:rsid w:val="00C5340B"/>
    <w:rsid w:val="00C54900"/>
    <w:rsid w:val="00C55277"/>
    <w:rsid w:val="00C62B9D"/>
    <w:rsid w:val="00C71325"/>
    <w:rsid w:val="00C753B6"/>
    <w:rsid w:val="00C758E2"/>
    <w:rsid w:val="00C766E0"/>
    <w:rsid w:val="00C80775"/>
    <w:rsid w:val="00C80868"/>
    <w:rsid w:val="00C8394E"/>
    <w:rsid w:val="00C86B3A"/>
    <w:rsid w:val="00C87C1A"/>
    <w:rsid w:val="00C90876"/>
    <w:rsid w:val="00CA1BFE"/>
    <w:rsid w:val="00CA4C2C"/>
    <w:rsid w:val="00CB4380"/>
    <w:rsid w:val="00CB452E"/>
    <w:rsid w:val="00CB65E2"/>
    <w:rsid w:val="00CD13D1"/>
    <w:rsid w:val="00CE0502"/>
    <w:rsid w:val="00CE3505"/>
    <w:rsid w:val="00CF0C5B"/>
    <w:rsid w:val="00CF29B3"/>
    <w:rsid w:val="00CF41D9"/>
    <w:rsid w:val="00D0132D"/>
    <w:rsid w:val="00D03958"/>
    <w:rsid w:val="00D06348"/>
    <w:rsid w:val="00D06D59"/>
    <w:rsid w:val="00D13E80"/>
    <w:rsid w:val="00D16680"/>
    <w:rsid w:val="00D16B6D"/>
    <w:rsid w:val="00D22011"/>
    <w:rsid w:val="00D32132"/>
    <w:rsid w:val="00D42C4E"/>
    <w:rsid w:val="00D474D2"/>
    <w:rsid w:val="00D5247D"/>
    <w:rsid w:val="00D55125"/>
    <w:rsid w:val="00D61DB8"/>
    <w:rsid w:val="00D70D8D"/>
    <w:rsid w:val="00D714D7"/>
    <w:rsid w:val="00D82AA7"/>
    <w:rsid w:val="00D8436E"/>
    <w:rsid w:val="00DA3469"/>
    <w:rsid w:val="00DA5DAB"/>
    <w:rsid w:val="00DA718C"/>
    <w:rsid w:val="00DB19D2"/>
    <w:rsid w:val="00DB5D90"/>
    <w:rsid w:val="00DC10F3"/>
    <w:rsid w:val="00DC71B9"/>
    <w:rsid w:val="00DD639C"/>
    <w:rsid w:val="00DE0274"/>
    <w:rsid w:val="00DE128B"/>
    <w:rsid w:val="00DE19B0"/>
    <w:rsid w:val="00DE51DF"/>
    <w:rsid w:val="00DE72FF"/>
    <w:rsid w:val="00DF6B09"/>
    <w:rsid w:val="00E00C4C"/>
    <w:rsid w:val="00E01200"/>
    <w:rsid w:val="00E02B79"/>
    <w:rsid w:val="00E03EC2"/>
    <w:rsid w:val="00E053DA"/>
    <w:rsid w:val="00E05CBF"/>
    <w:rsid w:val="00E06122"/>
    <w:rsid w:val="00E07F88"/>
    <w:rsid w:val="00E10917"/>
    <w:rsid w:val="00E11A65"/>
    <w:rsid w:val="00E11E25"/>
    <w:rsid w:val="00E151E6"/>
    <w:rsid w:val="00E15732"/>
    <w:rsid w:val="00E1584B"/>
    <w:rsid w:val="00E16145"/>
    <w:rsid w:val="00E17689"/>
    <w:rsid w:val="00E21914"/>
    <w:rsid w:val="00E24C27"/>
    <w:rsid w:val="00E25AC5"/>
    <w:rsid w:val="00E36B38"/>
    <w:rsid w:val="00E40C06"/>
    <w:rsid w:val="00E420C4"/>
    <w:rsid w:val="00E43768"/>
    <w:rsid w:val="00E43A86"/>
    <w:rsid w:val="00E44742"/>
    <w:rsid w:val="00E50E20"/>
    <w:rsid w:val="00E543C9"/>
    <w:rsid w:val="00E618B3"/>
    <w:rsid w:val="00E65E36"/>
    <w:rsid w:val="00E7411B"/>
    <w:rsid w:val="00E741C0"/>
    <w:rsid w:val="00E753BD"/>
    <w:rsid w:val="00E76CE8"/>
    <w:rsid w:val="00E83615"/>
    <w:rsid w:val="00E8670F"/>
    <w:rsid w:val="00E91774"/>
    <w:rsid w:val="00E949CD"/>
    <w:rsid w:val="00EA4731"/>
    <w:rsid w:val="00EA6B0E"/>
    <w:rsid w:val="00EB0823"/>
    <w:rsid w:val="00EB0C5C"/>
    <w:rsid w:val="00EC5959"/>
    <w:rsid w:val="00ED1F21"/>
    <w:rsid w:val="00EE07DD"/>
    <w:rsid w:val="00EE7FD1"/>
    <w:rsid w:val="00EF0A92"/>
    <w:rsid w:val="00EF3217"/>
    <w:rsid w:val="00EF32C9"/>
    <w:rsid w:val="00EF3A93"/>
    <w:rsid w:val="00EF6836"/>
    <w:rsid w:val="00F01B4C"/>
    <w:rsid w:val="00F03C83"/>
    <w:rsid w:val="00F04BA0"/>
    <w:rsid w:val="00F076D0"/>
    <w:rsid w:val="00F11DB8"/>
    <w:rsid w:val="00F16A81"/>
    <w:rsid w:val="00F20390"/>
    <w:rsid w:val="00F25142"/>
    <w:rsid w:val="00F30F4B"/>
    <w:rsid w:val="00F3288C"/>
    <w:rsid w:val="00F351B1"/>
    <w:rsid w:val="00F42E0E"/>
    <w:rsid w:val="00F440AC"/>
    <w:rsid w:val="00F45B38"/>
    <w:rsid w:val="00F51EBA"/>
    <w:rsid w:val="00F52124"/>
    <w:rsid w:val="00F539E6"/>
    <w:rsid w:val="00F56524"/>
    <w:rsid w:val="00F571D2"/>
    <w:rsid w:val="00F603F3"/>
    <w:rsid w:val="00F610B2"/>
    <w:rsid w:val="00F62570"/>
    <w:rsid w:val="00F70CF0"/>
    <w:rsid w:val="00F71D75"/>
    <w:rsid w:val="00F72EA1"/>
    <w:rsid w:val="00F74E0D"/>
    <w:rsid w:val="00F81647"/>
    <w:rsid w:val="00F8384D"/>
    <w:rsid w:val="00F83A37"/>
    <w:rsid w:val="00F847E4"/>
    <w:rsid w:val="00F85729"/>
    <w:rsid w:val="00F9143E"/>
    <w:rsid w:val="00F945B1"/>
    <w:rsid w:val="00F9494C"/>
    <w:rsid w:val="00FA12FB"/>
    <w:rsid w:val="00FA523E"/>
    <w:rsid w:val="00FB2E9E"/>
    <w:rsid w:val="00FC1990"/>
    <w:rsid w:val="00FC4FD0"/>
    <w:rsid w:val="00FC52BB"/>
    <w:rsid w:val="00FC5D49"/>
    <w:rsid w:val="00FD0D69"/>
    <w:rsid w:val="00FD26FA"/>
    <w:rsid w:val="00FD29EC"/>
    <w:rsid w:val="00FD3335"/>
    <w:rsid w:val="00FE72B5"/>
    <w:rsid w:val="00FF6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Cs w:val="20"/>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sz w:val="20"/>
      <w:szCs w:val="20"/>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r="http://schemas.openxmlformats.org/officeDocument/2006/relationships" xmlns:w="http://schemas.openxmlformats.org/wordprocessingml/2006/main">
  <w:divs>
    <w:div w:id="2009211719">
      <w:marLeft w:val="0"/>
      <w:marRight w:val="0"/>
      <w:marTop w:val="0"/>
      <w:marBottom w:val="0"/>
      <w:divBdr>
        <w:top w:val="none" w:sz="0" w:space="0" w:color="auto"/>
        <w:left w:val="none" w:sz="0" w:space="0" w:color="auto"/>
        <w:bottom w:val="none" w:sz="0" w:space="0" w:color="auto"/>
        <w:right w:val="none" w:sz="0" w:space="0" w:color="auto"/>
      </w:divBdr>
    </w:div>
    <w:div w:id="2009211721">
      <w:marLeft w:val="0"/>
      <w:marRight w:val="0"/>
      <w:marTop w:val="0"/>
      <w:marBottom w:val="0"/>
      <w:divBdr>
        <w:top w:val="none" w:sz="0" w:space="0" w:color="auto"/>
        <w:left w:val="none" w:sz="0" w:space="0" w:color="auto"/>
        <w:bottom w:val="none" w:sz="0" w:space="0" w:color="auto"/>
        <w:right w:val="none" w:sz="0" w:space="0" w:color="auto"/>
      </w:divBdr>
      <w:divsChild>
        <w:div w:id="2009211714">
          <w:marLeft w:val="0"/>
          <w:marRight w:val="0"/>
          <w:marTop w:val="0"/>
          <w:marBottom w:val="0"/>
          <w:divBdr>
            <w:top w:val="none" w:sz="0" w:space="0" w:color="auto"/>
            <w:left w:val="none" w:sz="0" w:space="0" w:color="auto"/>
            <w:bottom w:val="none" w:sz="0" w:space="0" w:color="auto"/>
            <w:right w:val="none" w:sz="0" w:space="0" w:color="auto"/>
          </w:divBdr>
        </w:div>
        <w:div w:id="2009211715">
          <w:marLeft w:val="0"/>
          <w:marRight w:val="0"/>
          <w:marTop w:val="0"/>
          <w:marBottom w:val="0"/>
          <w:divBdr>
            <w:top w:val="none" w:sz="0" w:space="0" w:color="auto"/>
            <w:left w:val="none" w:sz="0" w:space="0" w:color="auto"/>
            <w:bottom w:val="none" w:sz="0" w:space="0" w:color="auto"/>
            <w:right w:val="none" w:sz="0" w:space="0" w:color="auto"/>
          </w:divBdr>
        </w:div>
        <w:div w:id="2009211716">
          <w:marLeft w:val="0"/>
          <w:marRight w:val="0"/>
          <w:marTop w:val="0"/>
          <w:marBottom w:val="0"/>
          <w:divBdr>
            <w:top w:val="none" w:sz="0" w:space="0" w:color="auto"/>
            <w:left w:val="none" w:sz="0" w:space="0" w:color="auto"/>
            <w:bottom w:val="none" w:sz="0" w:space="0" w:color="auto"/>
            <w:right w:val="none" w:sz="0" w:space="0" w:color="auto"/>
          </w:divBdr>
        </w:div>
        <w:div w:id="2009211717">
          <w:marLeft w:val="0"/>
          <w:marRight w:val="0"/>
          <w:marTop w:val="0"/>
          <w:marBottom w:val="0"/>
          <w:divBdr>
            <w:top w:val="none" w:sz="0" w:space="0" w:color="auto"/>
            <w:left w:val="none" w:sz="0" w:space="0" w:color="auto"/>
            <w:bottom w:val="none" w:sz="0" w:space="0" w:color="auto"/>
            <w:right w:val="none" w:sz="0" w:space="0" w:color="auto"/>
          </w:divBdr>
        </w:div>
        <w:div w:id="2009211718">
          <w:marLeft w:val="0"/>
          <w:marRight w:val="0"/>
          <w:marTop w:val="0"/>
          <w:marBottom w:val="0"/>
          <w:divBdr>
            <w:top w:val="none" w:sz="0" w:space="0" w:color="auto"/>
            <w:left w:val="none" w:sz="0" w:space="0" w:color="auto"/>
            <w:bottom w:val="none" w:sz="0" w:space="0" w:color="auto"/>
            <w:right w:val="none" w:sz="0" w:space="0" w:color="auto"/>
          </w:divBdr>
        </w:div>
        <w:div w:id="2009211720">
          <w:marLeft w:val="0"/>
          <w:marRight w:val="0"/>
          <w:marTop w:val="0"/>
          <w:marBottom w:val="0"/>
          <w:divBdr>
            <w:top w:val="none" w:sz="0" w:space="0" w:color="auto"/>
            <w:left w:val="none" w:sz="0" w:space="0" w:color="auto"/>
            <w:bottom w:val="none" w:sz="0" w:space="0" w:color="auto"/>
            <w:right w:val="none" w:sz="0" w:space="0" w:color="auto"/>
          </w:divBdr>
        </w:div>
        <w:div w:id="2009211722">
          <w:marLeft w:val="0"/>
          <w:marRight w:val="0"/>
          <w:marTop w:val="0"/>
          <w:marBottom w:val="0"/>
          <w:divBdr>
            <w:top w:val="none" w:sz="0" w:space="0" w:color="auto"/>
            <w:left w:val="none" w:sz="0" w:space="0" w:color="auto"/>
            <w:bottom w:val="none" w:sz="0" w:space="0" w:color="auto"/>
            <w:right w:val="none" w:sz="0" w:space="0" w:color="auto"/>
          </w:divBdr>
        </w:div>
        <w:div w:id="2009211723">
          <w:marLeft w:val="0"/>
          <w:marRight w:val="0"/>
          <w:marTop w:val="0"/>
          <w:marBottom w:val="0"/>
          <w:divBdr>
            <w:top w:val="none" w:sz="0" w:space="0" w:color="auto"/>
            <w:left w:val="none" w:sz="0" w:space="0" w:color="auto"/>
            <w:bottom w:val="none" w:sz="0" w:space="0" w:color="auto"/>
            <w:right w:val="none" w:sz="0" w:space="0" w:color="auto"/>
          </w:divBdr>
        </w:div>
        <w:div w:id="200921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1999</Words>
  <Characters>11622</Characters>
  <Application>Microsoft Office Word</Application>
  <DocSecurity>0</DocSecurity>
  <Lines>96</Lines>
  <Paragraphs>27</Paragraphs>
  <ScaleCrop>false</ScaleCrop>
  <Company>RTI, International</Company>
  <LinksUpToDate>false</LinksUpToDate>
  <CharactersWithSpaces>13594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martinez_r</cp:lastModifiedBy>
  <cp:revision>2</cp:revision>
  <cp:lastPrinted>2010-06-14T19:29:00Z</cp:lastPrinted>
  <dcterms:created xsi:type="dcterms:W3CDTF">2010-07-08T19:33:00Z</dcterms:created>
  <dcterms:modified xsi:type="dcterms:W3CDTF">2010-07-08T19:33:00Z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