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BC3" w:rsidRDefault="00C34BC3">
      <w:pPr>
        <w:pStyle w:val="BodyText"/>
      </w:pPr>
      <w:r>
        <w:t>SUPPORTING STATEMENT FOR PAPERWORK REDUCTION ACT SUBMISSION</w:t>
      </w:r>
    </w:p>
    <w:p w:rsidR="00C34BC3" w:rsidRDefault="00C34BC3">
      <w:pPr>
        <w:jc w:val="center"/>
        <w:rPr>
          <w:b/>
          <w:bCs/>
          <w:sz w:val="32"/>
        </w:rPr>
      </w:pPr>
    </w:p>
    <w:p w:rsidR="00E225C3" w:rsidRDefault="00C34BC3">
      <w:pPr>
        <w:jc w:val="center"/>
        <w:rPr>
          <w:b/>
          <w:bCs/>
        </w:rPr>
      </w:pPr>
      <w:r>
        <w:rPr>
          <w:b/>
          <w:bCs/>
        </w:rPr>
        <w:t xml:space="preserve">APPLICATION FOR GRANTS UNDER THE </w:t>
      </w:r>
      <w:r w:rsidR="00F03620">
        <w:rPr>
          <w:b/>
          <w:bCs/>
        </w:rPr>
        <w:t>ASIAN AMERICAN AND NATIVE AMERICAN PACIFIC ISLANDER-SERVING INSTITUTIONS PROGRAM</w:t>
      </w:r>
    </w:p>
    <w:p w:rsidR="00E225C3" w:rsidRDefault="00305C81">
      <w:pPr>
        <w:jc w:val="center"/>
        <w:rPr>
          <w:b/>
          <w:bCs/>
        </w:rPr>
      </w:pPr>
      <w:r>
        <w:rPr>
          <w:b/>
          <w:bCs/>
        </w:rPr>
        <w:t xml:space="preserve">HIGHER EDUCATION ACT (HEA) OF </w:t>
      </w:r>
      <w:r w:rsidR="00E225C3">
        <w:rPr>
          <w:b/>
          <w:bCs/>
        </w:rPr>
        <w:t>1965</w:t>
      </w:r>
    </w:p>
    <w:p w:rsidR="00C34BC3" w:rsidRDefault="00111D54">
      <w:pPr>
        <w:jc w:val="center"/>
        <w:rPr>
          <w:b/>
          <w:bCs/>
        </w:rPr>
      </w:pPr>
      <w:r>
        <w:rPr>
          <w:b/>
          <w:bCs/>
        </w:rPr>
        <w:t>(CFDA # 84.031L</w:t>
      </w:r>
      <w:r w:rsidR="00C34BC3">
        <w:rPr>
          <w:b/>
          <w:bCs/>
        </w:rPr>
        <w:t>)</w:t>
      </w:r>
    </w:p>
    <w:p w:rsidR="00C34BC3" w:rsidRDefault="00C34BC3">
      <w:pPr>
        <w:rPr>
          <w:b/>
          <w:bCs/>
        </w:rPr>
      </w:pPr>
    </w:p>
    <w:p w:rsidR="00C34BC3" w:rsidRDefault="00C34BC3">
      <w:pPr>
        <w:rPr>
          <w:b/>
          <w:bCs/>
        </w:rPr>
      </w:pPr>
    </w:p>
    <w:p w:rsidR="00C34BC3" w:rsidRDefault="00C34BC3">
      <w:pPr>
        <w:pStyle w:val="Heading1"/>
        <w:numPr>
          <w:ilvl w:val="0"/>
          <w:numId w:val="1"/>
        </w:numPr>
      </w:pPr>
      <w:r>
        <w:t>JUSTIFICATION</w:t>
      </w:r>
    </w:p>
    <w:p w:rsidR="00C34BC3" w:rsidRDefault="00C34BC3"/>
    <w:p w:rsidR="00C34BC3" w:rsidRDefault="00C34BC3">
      <w:pPr>
        <w:numPr>
          <w:ilvl w:val="1"/>
          <w:numId w:val="1"/>
        </w:numPr>
      </w:pPr>
      <w:r>
        <w:t xml:space="preserve">Collection of information is necessary in order for the Secretary of </w:t>
      </w:r>
    </w:p>
    <w:p w:rsidR="00C34BC3" w:rsidRDefault="00C34BC3" w:rsidP="00305C81">
      <w:pPr>
        <w:ind w:left="1440"/>
      </w:pPr>
      <w:r>
        <w:t xml:space="preserve">Education to award grants under the </w:t>
      </w:r>
      <w:r w:rsidR="00305C81">
        <w:t>Higher Education Opportunity Act of 2008</w:t>
      </w:r>
      <w:r>
        <w:t>.</w:t>
      </w:r>
    </w:p>
    <w:p w:rsidR="00C34BC3" w:rsidRDefault="00C34BC3">
      <w:pPr>
        <w:ind w:left="1080"/>
      </w:pPr>
    </w:p>
    <w:p w:rsidR="00C34BC3" w:rsidRDefault="00305C81">
      <w:pPr>
        <w:ind w:left="1080"/>
      </w:pPr>
      <w:r>
        <w:t xml:space="preserve">The </w:t>
      </w:r>
      <w:r w:rsidR="00C34BC3">
        <w:t>Asian American and Native American Pacific Islander-Serving Institutions (AANAPISI)</w:t>
      </w:r>
      <w:r>
        <w:t xml:space="preserve"> Program</w:t>
      </w:r>
      <w:r w:rsidR="00C34BC3">
        <w:t xml:space="preserve"> </w:t>
      </w:r>
      <w:r>
        <w:t xml:space="preserve">was </w:t>
      </w:r>
      <w:r w:rsidR="00F03620">
        <w:t>established by the Higher Education Opportunity Act of 2008</w:t>
      </w:r>
      <w:r>
        <w:t xml:space="preserve"> </w:t>
      </w:r>
      <w:r w:rsidR="00F03620">
        <w:t>(</w:t>
      </w:r>
      <w:r>
        <w:t>HEOA</w:t>
      </w:r>
      <w:r w:rsidR="00F03620">
        <w:t>) and authorized under the Higher Education Act of 1965, as amended (HEA)</w:t>
      </w:r>
      <w:r>
        <w:t>.  The program</w:t>
      </w:r>
      <w:r w:rsidR="00C34BC3">
        <w:t xml:space="preserve"> award</w:t>
      </w:r>
      <w:r>
        <w:t>s</w:t>
      </w:r>
      <w:r w:rsidR="00C34BC3">
        <w:t xml:space="preserve"> discretionary grants to eligible institutions of higher education so that they might increase their self-sufficiency by improving academic programs, institutional management, and fiscal stability.</w:t>
      </w:r>
      <w:r w:rsidR="008C6FC3">
        <w:t xml:space="preserve">  </w:t>
      </w:r>
      <w:r w:rsidR="00C01887" w:rsidRPr="00C01887">
        <w:t>This information collection is being submitted under the Streamlined Clearance Process for Discretionary Grant Information Collections (1894–0001).</w:t>
      </w:r>
    </w:p>
    <w:p w:rsidR="00C34BC3" w:rsidRDefault="00C34BC3"/>
    <w:p w:rsidR="00C34BC3" w:rsidRDefault="00C34BC3">
      <w:pPr>
        <w:numPr>
          <w:ilvl w:val="1"/>
          <w:numId w:val="1"/>
        </w:numPr>
      </w:pPr>
      <w:r>
        <w:t>This collection of information is gathered electronically by the</w:t>
      </w:r>
    </w:p>
    <w:p w:rsidR="00C34BC3" w:rsidRDefault="00C34BC3">
      <w:pPr>
        <w:ind w:left="1440"/>
      </w:pPr>
      <w:r>
        <w:t>Department for the purpose of obtaining programmatic and budgetary information needed to evaluate applications and to make funding decision based on the authorizing statute and the published selection criteria.</w:t>
      </w:r>
    </w:p>
    <w:p w:rsidR="00C34BC3" w:rsidRDefault="00C34BC3">
      <w:pPr>
        <w:ind w:left="1080"/>
      </w:pPr>
    </w:p>
    <w:p w:rsidR="00C34BC3" w:rsidRDefault="00C34BC3">
      <w:pPr>
        <w:numPr>
          <w:ilvl w:val="1"/>
          <w:numId w:val="1"/>
        </w:numPr>
      </w:pPr>
      <w:r>
        <w:t>This is a</w:t>
      </w:r>
      <w:r w:rsidR="001A6124">
        <w:t xml:space="preserve">n existing </w:t>
      </w:r>
      <w:r>
        <w:t xml:space="preserve">collection.  </w:t>
      </w:r>
      <w:r w:rsidR="001A6124">
        <w:t xml:space="preserve">Previously this collection was </w:t>
      </w:r>
      <w:r w:rsidR="00686FEA">
        <w:t xml:space="preserve">used to collect information for grants under two </w:t>
      </w:r>
      <w:r w:rsidR="004207BC" w:rsidRPr="004207BC">
        <w:rPr>
          <w:b/>
        </w:rPr>
        <w:t>mandatory</w:t>
      </w:r>
      <w:r w:rsidR="00686FEA">
        <w:t xml:space="preserve"> programs:  AANAPISI and Native American Nontribal-serving Institutions program.  These programs were authorized in FYs 2008 and 2009 under Title III, Part F of the HEA (formerly </w:t>
      </w:r>
      <w:r w:rsidR="001A6124">
        <w:t xml:space="preserve">authorized under </w:t>
      </w:r>
      <w:r w:rsidR="00686FEA">
        <w:t xml:space="preserve">section 802 of </w:t>
      </w:r>
      <w:r w:rsidR="001A6124">
        <w:t>the C</w:t>
      </w:r>
      <w:r w:rsidR="00686FEA">
        <w:t xml:space="preserve">ollege </w:t>
      </w:r>
      <w:r w:rsidR="001A6124">
        <w:t>C</w:t>
      </w:r>
      <w:r w:rsidR="00686FEA">
        <w:t xml:space="preserve">ost </w:t>
      </w:r>
      <w:r w:rsidR="001A6124">
        <w:t>R</w:t>
      </w:r>
      <w:r w:rsidR="00686FEA">
        <w:t xml:space="preserve">eduction and </w:t>
      </w:r>
      <w:r w:rsidR="001A6124">
        <w:t>A</w:t>
      </w:r>
      <w:r w:rsidR="00686FEA">
        <w:t xml:space="preserve">ccess </w:t>
      </w:r>
      <w:r w:rsidR="001A6124">
        <w:t>A</w:t>
      </w:r>
      <w:r w:rsidR="00686FEA">
        <w:t>ct)</w:t>
      </w:r>
      <w:r w:rsidR="001A6124">
        <w:t xml:space="preserve">.    </w:t>
      </w:r>
      <w:r>
        <w:t>Electronic submission has reduced the burden of both the applicants and Department staff.</w:t>
      </w:r>
    </w:p>
    <w:p w:rsidR="00C34BC3" w:rsidRDefault="00C34BC3"/>
    <w:p w:rsidR="00C34BC3" w:rsidRDefault="00C34BC3">
      <w:pPr>
        <w:numPr>
          <w:ilvl w:val="1"/>
          <w:numId w:val="1"/>
        </w:numPr>
      </w:pPr>
      <w:r>
        <w:t>Since the information submitted in this application is unique to each respondent and to the authorization legislation, no duplication exists.</w:t>
      </w:r>
    </w:p>
    <w:p w:rsidR="00C34BC3" w:rsidRDefault="00C34BC3"/>
    <w:p w:rsidR="00C34BC3" w:rsidRDefault="00C34BC3">
      <w:pPr>
        <w:numPr>
          <w:ilvl w:val="1"/>
          <w:numId w:val="1"/>
        </w:numPr>
      </w:pPr>
      <w:r>
        <w:t>This collection of information does not involve small businesses or other small entities.</w:t>
      </w:r>
    </w:p>
    <w:p w:rsidR="00C34BC3" w:rsidRDefault="00C34BC3"/>
    <w:p w:rsidR="00C34BC3" w:rsidRDefault="00C34BC3">
      <w:pPr>
        <w:numPr>
          <w:ilvl w:val="1"/>
          <w:numId w:val="1"/>
        </w:numPr>
      </w:pPr>
      <w:r>
        <w:t xml:space="preserve">The </w:t>
      </w:r>
      <w:r w:rsidR="00F03620">
        <w:t>D</w:t>
      </w:r>
      <w:r>
        <w:t xml:space="preserve">epartment uses this information to make new multi-year grant awards.  If this information is not collected or collected less frequently, the </w:t>
      </w:r>
      <w:r w:rsidR="00F03620">
        <w:t>D</w:t>
      </w:r>
      <w:r>
        <w:t>epartment would not be able to evaluate applications and make funding decisions based on the provisions of the authorizing statute.  Data is only collected when the program appropriation amount is enough to fund new awards.</w:t>
      </w:r>
    </w:p>
    <w:p w:rsidR="00C34BC3" w:rsidRDefault="00C34BC3"/>
    <w:p w:rsidR="00C34BC3" w:rsidRDefault="00C34BC3">
      <w:pPr>
        <w:numPr>
          <w:ilvl w:val="1"/>
          <w:numId w:val="1"/>
        </w:numPr>
      </w:pPr>
      <w:r>
        <w:t>There are no special circumstances as outlined in #7 of the instructions.</w:t>
      </w:r>
    </w:p>
    <w:p w:rsidR="00C34BC3" w:rsidRDefault="00C34BC3"/>
    <w:p w:rsidR="00C34BC3" w:rsidRDefault="00C34BC3">
      <w:pPr>
        <w:numPr>
          <w:ilvl w:val="1"/>
          <w:numId w:val="1"/>
        </w:numPr>
      </w:pPr>
      <w:r>
        <w:t xml:space="preserve">The </w:t>
      </w:r>
      <w:r w:rsidR="00F03620">
        <w:t>D</w:t>
      </w:r>
      <w:r>
        <w:t xml:space="preserve">epartment’s Regulatory Information Management Group will solicit comments on this information collection in the </w:t>
      </w:r>
      <w:r>
        <w:rPr>
          <w:u w:val="single"/>
        </w:rPr>
        <w:t>Federal</w:t>
      </w:r>
      <w:r>
        <w:t xml:space="preserve"> </w:t>
      </w:r>
      <w:r>
        <w:rPr>
          <w:u w:val="single"/>
        </w:rPr>
        <w:t>Register</w:t>
      </w:r>
      <w:r>
        <w:t xml:space="preserve">.  Program staff will respond to any questions or comments resulting from the publication of the information collection in the </w:t>
      </w:r>
      <w:r w:rsidRPr="004B18B2">
        <w:rPr>
          <w:u w:val="single"/>
        </w:rPr>
        <w:t>Federal</w:t>
      </w:r>
      <w:r>
        <w:t xml:space="preserve"> </w:t>
      </w:r>
      <w:r w:rsidRPr="004B18B2">
        <w:rPr>
          <w:u w:val="single"/>
        </w:rPr>
        <w:t>Register</w:t>
      </w:r>
      <w:r>
        <w:t xml:space="preserve"> as required by 5 CFR 1320.8(d).</w:t>
      </w:r>
    </w:p>
    <w:p w:rsidR="00C34BC3" w:rsidRDefault="00C34BC3"/>
    <w:p w:rsidR="00C34BC3" w:rsidRDefault="00C34BC3">
      <w:pPr>
        <w:numPr>
          <w:ilvl w:val="1"/>
          <w:numId w:val="1"/>
        </w:numPr>
      </w:pPr>
      <w:r>
        <w:t>The Department will not provide payments or gifts to respondents.</w:t>
      </w:r>
    </w:p>
    <w:p w:rsidR="00C34BC3" w:rsidRDefault="00C34BC3"/>
    <w:p w:rsidR="00C34BC3" w:rsidRDefault="00C34BC3">
      <w:pPr>
        <w:numPr>
          <w:ilvl w:val="1"/>
          <w:numId w:val="1"/>
        </w:numPr>
      </w:pPr>
      <w:r>
        <w:t>The Department’s disclosure policies adhere to the provisions of the Privacy Act.</w:t>
      </w:r>
    </w:p>
    <w:p w:rsidR="00C34BC3" w:rsidRDefault="00C34BC3"/>
    <w:p w:rsidR="00C34BC3" w:rsidRDefault="00C34BC3">
      <w:pPr>
        <w:numPr>
          <w:ilvl w:val="1"/>
          <w:numId w:val="1"/>
        </w:numPr>
      </w:pPr>
      <w:r>
        <w:t>Questions of a sensitive nature are not included in this information collection.</w:t>
      </w:r>
    </w:p>
    <w:p w:rsidR="00C34BC3" w:rsidRDefault="00C34BC3"/>
    <w:p w:rsidR="00C34BC3" w:rsidRDefault="00C34BC3" w:rsidP="004D3954">
      <w:pPr>
        <w:numPr>
          <w:ilvl w:val="1"/>
          <w:numId w:val="1"/>
        </w:numPr>
      </w:pPr>
      <w:r>
        <w:t>Estimated burden hour of this</w:t>
      </w:r>
      <w:r w:rsidR="0010052C">
        <w:t xml:space="preserve"> collection of information is </w:t>
      </w:r>
      <w:r w:rsidR="004472B0">
        <w:t>4</w:t>
      </w:r>
      <w:r w:rsidR="0010052C">
        <w:t xml:space="preserve">0 hours.  We estimate </w:t>
      </w:r>
      <w:r w:rsidR="004472B0">
        <w:t>5</w:t>
      </w:r>
      <w:r w:rsidR="0010052C">
        <w:t>0</w:t>
      </w:r>
      <w:r>
        <w:t xml:space="preserve"> respondents.  </w:t>
      </w:r>
      <w:r w:rsidR="004D3954">
        <w:t>The Department estimates the following average time for the completion of the application.</w:t>
      </w:r>
    </w:p>
    <w:p w:rsidR="004D3954" w:rsidRPr="000B7357" w:rsidRDefault="004D3954" w:rsidP="004D3954">
      <w:pPr>
        <w:ind w:left="1440"/>
        <w:rPr>
          <w:rFonts w:ascii="Arial" w:hAnsi="Arial" w:cs="Arial"/>
        </w:rPr>
      </w:pP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14"/>
        <w:gridCol w:w="2214"/>
        <w:gridCol w:w="2214"/>
        <w:gridCol w:w="2466"/>
      </w:tblGrid>
      <w:tr w:rsidR="000B7357" w:rsidRPr="000B7357" w:rsidTr="000B7357">
        <w:tc>
          <w:tcPr>
            <w:tcW w:w="2214" w:type="dxa"/>
          </w:tcPr>
          <w:p w:rsidR="000B7357" w:rsidRPr="000B7357" w:rsidRDefault="000B7357" w:rsidP="000B7357">
            <w:pPr>
              <w:jc w:val="center"/>
              <w:rPr>
                <w:rFonts w:ascii="Arial" w:hAnsi="Arial" w:cs="Arial"/>
                <w:b/>
                <w:bCs/>
              </w:rPr>
            </w:pPr>
          </w:p>
        </w:tc>
        <w:tc>
          <w:tcPr>
            <w:tcW w:w="2214" w:type="dxa"/>
          </w:tcPr>
          <w:p w:rsidR="000B7357" w:rsidRPr="000B7357" w:rsidRDefault="000B7357" w:rsidP="000B7357">
            <w:pPr>
              <w:jc w:val="center"/>
              <w:rPr>
                <w:rFonts w:ascii="Arial" w:hAnsi="Arial" w:cs="Arial"/>
                <w:b/>
                <w:bCs/>
              </w:rPr>
            </w:pPr>
            <w:r w:rsidRPr="000B7357">
              <w:rPr>
                <w:rFonts w:ascii="Arial" w:hAnsi="Arial" w:cs="Arial"/>
                <w:b/>
                <w:bCs/>
              </w:rPr>
              <w:t>INDIVIDUAL DEV. GRANTS</w:t>
            </w:r>
          </w:p>
        </w:tc>
        <w:tc>
          <w:tcPr>
            <w:tcW w:w="2214" w:type="dxa"/>
          </w:tcPr>
          <w:p w:rsidR="000B7357" w:rsidRPr="000B7357" w:rsidRDefault="000B7357" w:rsidP="000B7357">
            <w:pPr>
              <w:jc w:val="center"/>
              <w:rPr>
                <w:rFonts w:ascii="Arial" w:hAnsi="Arial" w:cs="Arial"/>
                <w:b/>
                <w:bCs/>
              </w:rPr>
            </w:pPr>
            <w:r w:rsidRPr="000B7357">
              <w:rPr>
                <w:rFonts w:ascii="Arial" w:hAnsi="Arial" w:cs="Arial"/>
                <w:b/>
                <w:bCs/>
              </w:rPr>
              <w:t>COOPERATIVE ARRANGEMENT DEV. GRANTS</w:t>
            </w:r>
          </w:p>
        </w:tc>
        <w:tc>
          <w:tcPr>
            <w:tcW w:w="2466" w:type="dxa"/>
          </w:tcPr>
          <w:p w:rsidR="000B7357" w:rsidRPr="000B7357" w:rsidRDefault="000B7357" w:rsidP="000B7357">
            <w:pPr>
              <w:jc w:val="center"/>
              <w:rPr>
                <w:rFonts w:ascii="Arial" w:hAnsi="Arial" w:cs="Arial"/>
                <w:b/>
                <w:bCs/>
              </w:rPr>
            </w:pPr>
            <w:r w:rsidRPr="000B7357">
              <w:rPr>
                <w:rFonts w:ascii="Arial" w:hAnsi="Arial" w:cs="Arial"/>
                <w:b/>
                <w:bCs/>
              </w:rPr>
              <w:t>TOTALS</w:t>
            </w:r>
          </w:p>
        </w:tc>
      </w:tr>
      <w:tr w:rsidR="000B7357" w:rsidRPr="000B7357" w:rsidTr="000B7357">
        <w:tc>
          <w:tcPr>
            <w:tcW w:w="2214" w:type="dxa"/>
          </w:tcPr>
          <w:p w:rsidR="000B7357" w:rsidRPr="000B7357" w:rsidRDefault="000B7357" w:rsidP="000B7357">
            <w:pPr>
              <w:jc w:val="center"/>
              <w:rPr>
                <w:rFonts w:ascii="Arial" w:hAnsi="Arial" w:cs="Arial"/>
                <w:b/>
                <w:bCs/>
              </w:rPr>
            </w:pPr>
            <w:r w:rsidRPr="000B7357">
              <w:rPr>
                <w:rFonts w:ascii="Arial" w:hAnsi="Arial" w:cs="Arial"/>
                <w:b/>
                <w:bCs/>
              </w:rPr>
              <w:t># of Respondents</w:t>
            </w:r>
          </w:p>
        </w:tc>
        <w:tc>
          <w:tcPr>
            <w:tcW w:w="2214" w:type="dxa"/>
          </w:tcPr>
          <w:p w:rsidR="000B7357" w:rsidRPr="000B7357" w:rsidRDefault="000B7357" w:rsidP="00697004">
            <w:pPr>
              <w:rPr>
                <w:rFonts w:ascii="Arial" w:hAnsi="Arial" w:cs="Arial"/>
                <w:b/>
                <w:bCs/>
              </w:rPr>
            </w:pPr>
            <w:r w:rsidRPr="000B7357">
              <w:rPr>
                <w:rFonts w:ascii="Arial" w:hAnsi="Arial" w:cs="Arial"/>
                <w:b/>
                <w:bCs/>
              </w:rPr>
              <w:t>49</w:t>
            </w:r>
          </w:p>
        </w:tc>
        <w:tc>
          <w:tcPr>
            <w:tcW w:w="2214" w:type="dxa"/>
          </w:tcPr>
          <w:p w:rsidR="000B7357" w:rsidRPr="000B7357" w:rsidRDefault="000B7357" w:rsidP="00697004">
            <w:pPr>
              <w:rPr>
                <w:rFonts w:ascii="Arial" w:hAnsi="Arial" w:cs="Arial"/>
                <w:b/>
                <w:bCs/>
              </w:rPr>
            </w:pPr>
            <w:r w:rsidRPr="000B7357">
              <w:rPr>
                <w:rFonts w:ascii="Arial" w:hAnsi="Arial" w:cs="Arial"/>
                <w:b/>
                <w:bCs/>
              </w:rPr>
              <w:t>1</w:t>
            </w:r>
          </w:p>
        </w:tc>
        <w:tc>
          <w:tcPr>
            <w:tcW w:w="2466" w:type="dxa"/>
          </w:tcPr>
          <w:p w:rsidR="000B7357" w:rsidRPr="000B7357" w:rsidRDefault="000B7357" w:rsidP="00697004">
            <w:pPr>
              <w:rPr>
                <w:rFonts w:ascii="Arial" w:hAnsi="Arial" w:cs="Arial"/>
                <w:b/>
                <w:bCs/>
              </w:rPr>
            </w:pPr>
            <w:r w:rsidRPr="000B7357">
              <w:rPr>
                <w:rFonts w:ascii="Arial" w:hAnsi="Arial" w:cs="Arial"/>
                <w:b/>
                <w:bCs/>
              </w:rPr>
              <w:t>50</w:t>
            </w:r>
          </w:p>
          <w:p w:rsidR="000B7357" w:rsidRPr="000B7357" w:rsidRDefault="000B7357" w:rsidP="00697004">
            <w:pPr>
              <w:rPr>
                <w:rFonts w:ascii="Arial" w:hAnsi="Arial" w:cs="Arial"/>
                <w:b/>
                <w:bCs/>
              </w:rPr>
            </w:pPr>
          </w:p>
        </w:tc>
      </w:tr>
      <w:tr w:rsidR="000B7357" w:rsidRPr="000B7357" w:rsidTr="000B7357">
        <w:tc>
          <w:tcPr>
            <w:tcW w:w="2214" w:type="dxa"/>
          </w:tcPr>
          <w:p w:rsidR="000B7357" w:rsidRPr="000B7357" w:rsidRDefault="000B7357" w:rsidP="000B7357">
            <w:pPr>
              <w:jc w:val="center"/>
              <w:rPr>
                <w:rFonts w:ascii="Arial" w:hAnsi="Arial" w:cs="Arial"/>
                <w:b/>
                <w:bCs/>
              </w:rPr>
            </w:pPr>
            <w:r w:rsidRPr="000B7357">
              <w:rPr>
                <w:rFonts w:ascii="Arial" w:hAnsi="Arial" w:cs="Arial"/>
                <w:b/>
                <w:bCs/>
              </w:rPr>
              <w:t>Frequency of Responses</w:t>
            </w:r>
          </w:p>
        </w:tc>
        <w:tc>
          <w:tcPr>
            <w:tcW w:w="2214" w:type="dxa"/>
          </w:tcPr>
          <w:p w:rsidR="000B7357" w:rsidRPr="000B7357" w:rsidRDefault="000B7357" w:rsidP="00697004">
            <w:pPr>
              <w:rPr>
                <w:rFonts w:ascii="Arial" w:hAnsi="Arial" w:cs="Arial"/>
                <w:b/>
                <w:bCs/>
              </w:rPr>
            </w:pPr>
            <w:r w:rsidRPr="000B7357">
              <w:rPr>
                <w:rFonts w:ascii="Arial" w:hAnsi="Arial" w:cs="Arial"/>
                <w:b/>
                <w:bCs/>
              </w:rPr>
              <w:t>1</w:t>
            </w:r>
          </w:p>
        </w:tc>
        <w:tc>
          <w:tcPr>
            <w:tcW w:w="2214" w:type="dxa"/>
          </w:tcPr>
          <w:p w:rsidR="000B7357" w:rsidRPr="000B7357" w:rsidRDefault="000B7357" w:rsidP="00697004">
            <w:pPr>
              <w:rPr>
                <w:rFonts w:ascii="Arial" w:hAnsi="Arial" w:cs="Arial"/>
                <w:b/>
                <w:bCs/>
              </w:rPr>
            </w:pPr>
            <w:r w:rsidRPr="000B7357">
              <w:rPr>
                <w:rFonts w:ascii="Arial" w:hAnsi="Arial" w:cs="Arial"/>
                <w:b/>
                <w:bCs/>
              </w:rPr>
              <w:t>1</w:t>
            </w:r>
          </w:p>
        </w:tc>
        <w:tc>
          <w:tcPr>
            <w:tcW w:w="2466" w:type="dxa"/>
          </w:tcPr>
          <w:p w:rsidR="000B7357" w:rsidRPr="000B7357" w:rsidRDefault="007D2177" w:rsidP="00697004">
            <w:pPr>
              <w:rPr>
                <w:rFonts w:ascii="Arial" w:hAnsi="Arial" w:cs="Arial"/>
                <w:b/>
                <w:bCs/>
              </w:rPr>
            </w:pPr>
            <w:r>
              <w:rPr>
                <w:rFonts w:ascii="Arial" w:hAnsi="Arial" w:cs="Arial"/>
                <w:b/>
                <w:bCs/>
              </w:rPr>
              <w:t>N/A</w:t>
            </w:r>
          </w:p>
          <w:p w:rsidR="000B7357" w:rsidRPr="000B7357" w:rsidRDefault="000B7357" w:rsidP="00697004">
            <w:pPr>
              <w:rPr>
                <w:rFonts w:ascii="Arial" w:hAnsi="Arial" w:cs="Arial"/>
                <w:b/>
                <w:bCs/>
              </w:rPr>
            </w:pPr>
          </w:p>
        </w:tc>
      </w:tr>
      <w:tr w:rsidR="000B7357" w:rsidRPr="000B7357" w:rsidTr="000B7357">
        <w:tc>
          <w:tcPr>
            <w:tcW w:w="2214" w:type="dxa"/>
          </w:tcPr>
          <w:p w:rsidR="000B7357" w:rsidRPr="000B7357" w:rsidRDefault="000B7357" w:rsidP="000B7357">
            <w:pPr>
              <w:jc w:val="center"/>
              <w:rPr>
                <w:rFonts w:ascii="Arial" w:hAnsi="Arial" w:cs="Arial"/>
                <w:b/>
                <w:bCs/>
              </w:rPr>
            </w:pPr>
            <w:r w:rsidRPr="000B7357">
              <w:rPr>
                <w:rFonts w:ascii="Arial" w:hAnsi="Arial" w:cs="Arial"/>
                <w:b/>
                <w:bCs/>
              </w:rPr>
              <w:t>Burden Hours</w:t>
            </w:r>
          </w:p>
        </w:tc>
        <w:tc>
          <w:tcPr>
            <w:tcW w:w="2214" w:type="dxa"/>
          </w:tcPr>
          <w:p w:rsidR="000B7357" w:rsidRPr="000B7357" w:rsidRDefault="000B7357" w:rsidP="00697004">
            <w:pPr>
              <w:rPr>
                <w:rFonts w:ascii="Arial" w:hAnsi="Arial" w:cs="Arial"/>
                <w:b/>
                <w:bCs/>
              </w:rPr>
            </w:pPr>
            <w:r w:rsidRPr="000B7357">
              <w:rPr>
                <w:rFonts w:ascii="Arial" w:hAnsi="Arial" w:cs="Arial"/>
                <w:b/>
                <w:bCs/>
              </w:rPr>
              <w:t>40</w:t>
            </w:r>
          </w:p>
        </w:tc>
        <w:tc>
          <w:tcPr>
            <w:tcW w:w="2214" w:type="dxa"/>
          </w:tcPr>
          <w:p w:rsidR="000B7357" w:rsidRPr="000B7357" w:rsidRDefault="000B7357" w:rsidP="00697004">
            <w:pPr>
              <w:rPr>
                <w:rFonts w:ascii="Arial" w:hAnsi="Arial" w:cs="Arial"/>
                <w:b/>
                <w:bCs/>
              </w:rPr>
            </w:pPr>
            <w:r w:rsidRPr="000B7357">
              <w:rPr>
                <w:rFonts w:ascii="Arial" w:hAnsi="Arial" w:cs="Arial"/>
                <w:b/>
                <w:bCs/>
              </w:rPr>
              <w:t>40</w:t>
            </w:r>
          </w:p>
        </w:tc>
        <w:tc>
          <w:tcPr>
            <w:tcW w:w="2466" w:type="dxa"/>
          </w:tcPr>
          <w:p w:rsidR="000B7357" w:rsidRPr="000B7357" w:rsidRDefault="007D2177" w:rsidP="00697004">
            <w:pPr>
              <w:rPr>
                <w:rFonts w:ascii="Arial" w:hAnsi="Arial" w:cs="Arial"/>
                <w:b/>
                <w:bCs/>
              </w:rPr>
            </w:pPr>
            <w:r>
              <w:rPr>
                <w:rFonts w:ascii="Arial" w:hAnsi="Arial" w:cs="Arial"/>
                <w:b/>
                <w:bCs/>
              </w:rPr>
              <w:t>N/A</w:t>
            </w:r>
          </w:p>
          <w:p w:rsidR="000B7357" w:rsidRPr="000B7357" w:rsidRDefault="000B7357" w:rsidP="00697004">
            <w:pPr>
              <w:rPr>
                <w:rFonts w:ascii="Arial" w:hAnsi="Arial" w:cs="Arial"/>
                <w:b/>
                <w:bCs/>
              </w:rPr>
            </w:pPr>
          </w:p>
        </w:tc>
      </w:tr>
      <w:tr w:rsidR="000B7357" w:rsidRPr="000B7357" w:rsidTr="000B7357">
        <w:tc>
          <w:tcPr>
            <w:tcW w:w="2214" w:type="dxa"/>
          </w:tcPr>
          <w:p w:rsidR="000B7357" w:rsidRPr="000B7357" w:rsidRDefault="000B7357" w:rsidP="000B7357">
            <w:pPr>
              <w:jc w:val="center"/>
              <w:rPr>
                <w:rFonts w:ascii="Arial" w:hAnsi="Arial" w:cs="Arial"/>
                <w:b/>
                <w:bCs/>
              </w:rPr>
            </w:pPr>
            <w:r w:rsidRPr="000B7357">
              <w:rPr>
                <w:rFonts w:ascii="Arial" w:hAnsi="Arial" w:cs="Arial"/>
                <w:b/>
                <w:bCs/>
              </w:rPr>
              <w:t>Annual Burden Hr.</w:t>
            </w:r>
          </w:p>
        </w:tc>
        <w:tc>
          <w:tcPr>
            <w:tcW w:w="2214" w:type="dxa"/>
          </w:tcPr>
          <w:p w:rsidR="000B7357" w:rsidRPr="000B7357" w:rsidRDefault="000B7357" w:rsidP="00697004">
            <w:pPr>
              <w:rPr>
                <w:rFonts w:ascii="Arial" w:hAnsi="Arial" w:cs="Arial"/>
                <w:b/>
                <w:bCs/>
              </w:rPr>
            </w:pPr>
            <w:r w:rsidRPr="000B7357">
              <w:rPr>
                <w:rFonts w:ascii="Arial" w:hAnsi="Arial" w:cs="Arial"/>
                <w:b/>
                <w:bCs/>
              </w:rPr>
              <w:t>1,960</w:t>
            </w:r>
          </w:p>
        </w:tc>
        <w:tc>
          <w:tcPr>
            <w:tcW w:w="2214" w:type="dxa"/>
          </w:tcPr>
          <w:p w:rsidR="000B7357" w:rsidRPr="000B7357" w:rsidRDefault="000B7357" w:rsidP="00697004">
            <w:pPr>
              <w:rPr>
                <w:rFonts w:ascii="Arial" w:hAnsi="Arial" w:cs="Arial"/>
                <w:b/>
                <w:bCs/>
              </w:rPr>
            </w:pPr>
            <w:r w:rsidRPr="000B7357">
              <w:rPr>
                <w:rFonts w:ascii="Arial" w:hAnsi="Arial" w:cs="Arial"/>
                <w:b/>
                <w:bCs/>
              </w:rPr>
              <w:t>45</w:t>
            </w:r>
          </w:p>
        </w:tc>
        <w:tc>
          <w:tcPr>
            <w:tcW w:w="2466" w:type="dxa"/>
          </w:tcPr>
          <w:p w:rsidR="000B7357" w:rsidRPr="000B7357" w:rsidRDefault="000B7357" w:rsidP="00697004">
            <w:pPr>
              <w:rPr>
                <w:rFonts w:ascii="Arial" w:hAnsi="Arial" w:cs="Arial"/>
                <w:b/>
                <w:bCs/>
              </w:rPr>
            </w:pPr>
            <w:r w:rsidRPr="000B7357">
              <w:rPr>
                <w:rFonts w:ascii="Arial" w:hAnsi="Arial" w:cs="Arial"/>
                <w:b/>
                <w:bCs/>
              </w:rPr>
              <w:t>2,005</w:t>
            </w:r>
          </w:p>
          <w:p w:rsidR="000B7357" w:rsidRPr="000B7357" w:rsidRDefault="000B7357" w:rsidP="00697004">
            <w:pPr>
              <w:rPr>
                <w:rFonts w:ascii="Arial" w:hAnsi="Arial" w:cs="Arial"/>
                <w:b/>
                <w:bCs/>
              </w:rPr>
            </w:pPr>
          </w:p>
        </w:tc>
      </w:tr>
      <w:tr w:rsidR="000B7357" w:rsidRPr="000B7357" w:rsidTr="000B7357">
        <w:tc>
          <w:tcPr>
            <w:tcW w:w="2214" w:type="dxa"/>
          </w:tcPr>
          <w:p w:rsidR="000B7357" w:rsidRPr="000B7357" w:rsidRDefault="000B7357" w:rsidP="000B7357">
            <w:pPr>
              <w:jc w:val="center"/>
              <w:rPr>
                <w:rFonts w:ascii="Arial" w:hAnsi="Arial" w:cs="Arial"/>
                <w:b/>
                <w:bCs/>
              </w:rPr>
            </w:pPr>
            <w:r w:rsidRPr="000B7357">
              <w:rPr>
                <w:rFonts w:ascii="Arial" w:hAnsi="Arial" w:cs="Arial"/>
                <w:b/>
                <w:bCs/>
              </w:rPr>
              <w:t>Estimated Costs to Respondents*</w:t>
            </w:r>
          </w:p>
        </w:tc>
        <w:tc>
          <w:tcPr>
            <w:tcW w:w="2214" w:type="dxa"/>
          </w:tcPr>
          <w:p w:rsidR="000B7357" w:rsidRPr="000B7357" w:rsidRDefault="000B7357" w:rsidP="00697004">
            <w:pPr>
              <w:rPr>
                <w:rFonts w:ascii="Arial" w:hAnsi="Arial" w:cs="Arial"/>
                <w:b/>
                <w:bCs/>
              </w:rPr>
            </w:pPr>
            <w:r w:rsidRPr="000B7357">
              <w:rPr>
                <w:rFonts w:ascii="Arial" w:hAnsi="Arial" w:cs="Arial"/>
                <w:b/>
                <w:bCs/>
              </w:rPr>
              <w:t>$88,200</w:t>
            </w:r>
          </w:p>
        </w:tc>
        <w:tc>
          <w:tcPr>
            <w:tcW w:w="2214" w:type="dxa"/>
          </w:tcPr>
          <w:p w:rsidR="000B7357" w:rsidRPr="000B7357" w:rsidRDefault="000B7357" w:rsidP="00697004">
            <w:pPr>
              <w:rPr>
                <w:rFonts w:ascii="Arial" w:hAnsi="Arial" w:cs="Arial"/>
                <w:b/>
                <w:bCs/>
              </w:rPr>
            </w:pPr>
            <w:r w:rsidRPr="000B7357">
              <w:rPr>
                <w:rFonts w:ascii="Arial" w:hAnsi="Arial" w:cs="Arial"/>
                <w:b/>
                <w:bCs/>
              </w:rPr>
              <w:t>$1,800</w:t>
            </w:r>
          </w:p>
        </w:tc>
        <w:tc>
          <w:tcPr>
            <w:tcW w:w="2466" w:type="dxa"/>
          </w:tcPr>
          <w:p w:rsidR="000B7357" w:rsidRPr="000B7357" w:rsidRDefault="000B7357" w:rsidP="00697004">
            <w:pPr>
              <w:rPr>
                <w:rFonts w:ascii="Arial" w:hAnsi="Arial" w:cs="Arial"/>
                <w:b/>
                <w:bCs/>
              </w:rPr>
            </w:pPr>
            <w:r w:rsidRPr="000B7357">
              <w:rPr>
                <w:rFonts w:ascii="Arial" w:hAnsi="Arial" w:cs="Arial"/>
                <w:b/>
                <w:bCs/>
              </w:rPr>
              <w:t>$90,000</w:t>
            </w:r>
          </w:p>
        </w:tc>
      </w:tr>
    </w:tbl>
    <w:p w:rsidR="003411ED" w:rsidRPr="00A0601A" w:rsidRDefault="003411ED" w:rsidP="00A0601A">
      <w:pPr>
        <w:numPr>
          <w:ilvl w:val="1"/>
          <w:numId w:val="1"/>
        </w:numPr>
        <w:rPr>
          <w:b/>
        </w:rPr>
      </w:pPr>
      <w:r w:rsidRPr="000B7357">
        <w:rPr>
          <w:rFonts w:ascii="Arial" w:hAnsi="Arial" w:cs="Arial"/>
        </w:rPr>
        <w:br w:type="page"/>
      </w:r>
      <w:r w:rsidR="00A0601A">
        <w:lastRenderedPageBreak/>
        <w:t xml:space="preserve"> </w:t>
      </w:r>
      <w:r w:rsidR="0053271C">
        <w:t xml:space="preserve">There </w:t>
      </w:r>
      <w:r w:rsidR="00F95E82">
        <w:t>is no additional cost</w:t>
      </w:r>
      <w:r w:rsidR="0053271C">
        <w:t xml:space="preserve"> to respondents. </w:t>
      </w:r>
    </w:p>
    <w:p w:rsidR="00C34BC3" w:rsidRDefault="00C34BC3"/>
    <w:p w:rsidR="00C34BC3" w:rsidRPr="0053271C" w:rsidRDefault="00C34BC3">
      <w:pPr>
        <w:numPr>
          <w:ilvl w:val="1"/>
          <w:numId w:val="1"/>
        </w:numPr>
      </w:pPr>
      <w:r w:rsidRPr="0053271C">
        <w:t>Estimated annual cost to the Federal Government:</w:t>
      </w:r>
    </w:p>
    <w:p w:rsidR="00C34BC3" w:rsidRDefault="00C34BC3"/>
    <w:tbl>
      <w:tblPr>
        <w:tblW w:w="864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0"/>
        <w:gridCol w:w="1890"/>
      </w:tblGrid>
      <w:tr w:rsidR="00DD4B71" w:rsidRPr="00DD4B71" w:rsidTr="006D70B2">
        <w:tc>
          <w:tcPr>
            <w:tcW w:w="6750" w:type="dxa"/>
          </w:tcPr>
          <w:p w:rsidR="00DD4B71" w:rsidRDefault="00DD4B71" w:rsidP="008317E3">
            <w:r w:rsidRPr="00DD4B71">
              <w:t>Development and Approval Process</w:t>
            </w:r>
          </w:p>
          <w:p w:rsidR="00DD4B71" w:rsidRPr="00DD4B71" w:rsidRDefault="00DD4B71" w:rsidP="008317E3">
            <w:r w:rsidRPr="00DD4B71">
              <w:t>(2 staff x 40 hours x $</w:t>
            </w:r>
            <w:r>
              <w:t>40 per hour)</w:t>
            </w:r>
            <w:r w:rsidRPr="00DD4B71">
              <w:tab/>
            </w:r>
            <w:r w:rsidRPr="00DD4B71">
              <w:tab/>
            </w:r>
          </w:p>
        </w:tc>
        <w:tc>
          <w:tcPr>
            <w:tcW w:w="1890" w:type="dxa"/>
          </w:tcPr>
          <w:p w:rsidR="00DD4B71" w:rsidRPr="00DD4B71" w:rsidRDefault="00DD4B71" w:rsidP="006D70B2">
            <w:pPr>
              <w:jc w:val="right"/>
            </w:pPr>
            <w:r w:rsidRPr="00DD4B71">
              <w:t>$   3,200</w:t>
            </w:r>
          </w:p>
        </w:tc>
      </w:tr>
      <w:tr w:rsidR="00DD4B71" w:rsidRPr="00DD4B71" w:rsidTr="006D70B2">
        <w:tc>
          <w:tcPr>
            <w:tcW w:w="6750" w:type="dxa"/>
          </w:tcPr>
          <w:p w:rsidR="00DD4B71" w:rsidRDefault="00DD4B71" w:rsidP="008317E3">
            <w:r w:rsidRPr="00DD4B71">
              <w:t>Printing</w:t>
            </w:r>
          </w:p>
          <w:p w:rsidR="00DD4B71" w:rsidRPr="00DD4B71" w:rsidRDefault="00DD4B71" w:rsidP="008317E3">
            <w:r w:rsidRPr="00DD4B71">
              <w:t>(25 applications x $3 per app)</w:t>
            </w:r>
          </w:p>
        </w:tc>
        <w:tc>
          <w:tcPr>
            <w:tcW w:w="1890" w:type="dxa"/>
          </w:tcPr>
          <w:p w:rsidR="00DD4B71" w:rsidRPr="00DD4B71" w:rsidRDefault="00DD4B71" w:rsidP="006D70B2">
            <w:pPr>
              <w:jc w:val="right"/>
            </w:pPr>
            <w:r w:rsidRPr="00DD4B71">
              <w:t>$        75</w:t>
            </w:r>
          </w:p>
        </w:tc>
      </w:tr>
      <w:tr w:rsidR="00DD4B71" w:rsidRPr="00DD4B71" w:rsidTr="006D70B2">
        <w:tc>
          <w:tcPr>
            <w:tcW w:w="6750" w:type="dxa"/>
          </w:tcPr>
          <w:p w:rsidR="00DD4B71" w:rsidRDefault="00DD4B71" w:rsidP="008317E3">
            <w:r w:rsidRPr="00DD4B71">
              <w:t>Peer Review Planning and Coordination</w:t>
            </w:r>
          </w:p>
          <w:p w:rsidR="00DD4B71" w:rsidRPr="00DD4B71" w:rsidRDefault="00DD4B71" w:rsidP="008317E3">
            <w:r w:rsidRPr="00DD4B71">
              <w:t>(15 days x 4 staff x $280 per day)</w:t>
            </w:r>
          </w:p>
        </w:tc>
        <w:tc>
          <w:tcPr>
            <w:tcW w:w="1890" w:type="dxa"/>
          </w:tcPr>
          <w:p w:rsidR="00DD4B71" w:rsidRPr="00DD4B71" w:rsidRDefault="00DD4B71" w:rsidP="006D70B2">
            <w:pPr>
              <w:jc w:val="right"/>
            </w:pPr>
            <w:r w:rsidRPr="00DD4B71">
              <w:t>$ 16,800</w:t>
            </w:r>
          </w:p>
        </w:tc>
      </w:tr>
      <w:tr w:rsidR="00DD4B71" w:rsidRPr="00DD4B71" w:rsidTr="006D70B2">
        <w:tc>
          <w:tcPr>
            <w:tcW w:w="6750" w:type="dxa"/>
          </w:tcPr>
          <w:p w:rsidR="00006D37" w:rsidRDefault="00DD4B71" w:rsidP="008317E3">
            <w:r w:rsidRPr="00DD4B71">
              <w:t xml:space="preserve">Peer Review </w:t>
            </w:r>
          </w:p>
          <w:p w:rsidR="00006D37" w:rsidRDefault="00DD4B71" w:rsidP="008317E3">
            <w:r w:rsidRPr="00DD4B71">
              <w:t>(Stipends and Training)</w:t>
            </w:r>
            <w:r w:rsidRPr="00DD4B71">
              <w:tab/>
            </w:r>
          </w:p>
          <w:p w:rsidR="00DD4B71" w:rsidRPr="00DD4B71" w:rsidRDefault="00006D37" w:rsidP="008317E3">
            <w:r w:rsidRPr="00DD4B71">
              <w:t>(50 peer reviewers x $1,000)</w:t>
            </w:r>
            <w:r w:rsidR="00DD4B71" w:rsidRPr="00DD4B71">
              <w:tab/>
            </w:r>
          </w:p>
        </w:tc>
        <w:tc>
          <w:tcPr>
            <w:tcW w:w="1890" w:type="dxa"/>
          </w:tcPr>
          <w:p w:rsidR="00DD4B71" w:rsidRPr="00DD4B71" w:rsidRDefault="00DD4B71" w:rsidP="006D70B2">
            <w:pPr>
              <w:jc w:val="right"/>
            </w:pPr>
            <w:r w:rsidRPr="00DD4B71">
              <w:t>$ 50,000</w:t>
            </w:r>
          </w:p>
        </w:tc>
      </w:tr>
      <w:tr w:rsidR="00DD4B71" w:rsidRPr="00DD4B71" w:rsidTr="006D70B2">
        <w:tc>
          <w:tcPr>
            <w:tcW w:w="6750" w:type="dxa"/>
          </w:tcPr>
          <w:p w:rsidR="00006D37" w:rsidRDefault="00DD4B71" w:rsidP="008317E3">
            <w:r w:rsidRPr="00DD4B71">
              <w:t>Analyses and Evaluation</w:t>
            </w:r>
          </w:p>
          <w:p w:rsidR="00DD4B71" w:rsidRPr="00DD4B71" w:rsidRDefault="00006D37" w:rsidP="008317E3">
            <w:r w:rsidRPr="00DD4B71">
              <w:t>(15 days x 3 staff x $ 280 per day)</w:t>
            </w:r>
          </w:p>
        </w:tc>
        <w:tc>
          <w:tcPr>
            <w:tcW w:w="1890" w:type="dxa"/>
          </w:tcPr>
          <w:p w:rsidR="00DD4B71" w:rsidRPr="00DD4B71" w:rsidRDefault="00DD4B71" w:rsidP="006D70B2">
            <w:pPr>
              <w:jc w:val="right"/>
            </w:pPr>
            <w:r w:rsidRPr="00DD4B71">
              <w:t>$  12,600</w:t>
            </w:r>
          </w:p>
        </w:tc>
      </w:tr>
      <w:tr w:rsidR="00DD4B71" w:rsidRPr="00DD4B71" w:rsidTr="006D70B2">
        <w:tc>
          <w:tcPr>
            <w:tcW w:w="6750" w:type="dxa"/>
          </w:tcPr>
          <w:p w:rsidR="00006D37" w:rsidRDefault="00DD4B71" w:rsidP="008317E3">
            <w:r w:rsidRPr="00DD4B71">
              <w:t>Monitoring of Grants</w:t>
            </w:r>
          </w:p>
          <w:p w:rsidR="00DD4B71" w:rsidRPr="00DD4B71" w:rsidRDefault="00006D37" w:rsidP="008317E3">
            <w:r w:rsidRPr="00DD4B71">
              <w:t>(160 days x 1 staff x 40 per hour)</w:t>
            </w:r>
          </w:p>
        </w:tc>
        <w:tc>
          <w:tcPr>
            <w:tcW w:w="1890" w:type="dxa"/>
          </w:tcPr>
          <w:p w:rsidR="00DD4B71" w:rsidRPr="00DD4B71" w:rsidRDefault="00DD4B71" w:rsidP="006D70B2">
            <w:pPr>
              <w:jc w:val="right"/>
            </w:pPr>
            <w:r w:rsidRPr="00DD4B71">
              <w:t>$    6,400</w:t>
            </w:r>
          </w:p>
        </w:tc>
      </w:tr>
      <w:tr w:rsidR="00DD4B71" w:rsidRPr="00DD4B71" w:rsidTr="006D70B2">
        <w:tc>
          <w:tcPr>
            <w:tcW w:w="6750" w:type="dxa"/>
          </w:tcPr>
          <w:p w:rsidR="00006D37" w:rsidRDefault="00DD4B71" w:rsidP="008317E3">
            <w:r w:rsidRPr="00DD4B71">
              <w:t>World Wide Web Preparation for Posting</w:t>
            </w:r>
            <w:r w:rsidRPr="00DD4B71">
              <w:tab/>
            </w:r>
          </w:p>
          <w:p w:rsidR="00DD4B71" w:rsidRPr="00DD4B71" w:rsidRDefault="00006D37" w:rsidP="008317E3">
            <w:r w:rsidRPr="00DD4B71">
              <w:t>(4 hours x 1 staff x $35 per hour)</w:t>
            </w:r>
          </w:p>
        </w:tc>
        <w:tc>
          <w:tcPr>
            <w:tcW w:w="1890" w:type="dxa"/>
          </w:tcPr>
          <w:p w:rsidR="00DD4B71" w:rsidRPr="00DD4B71" w:rsidRDefault="00DD4B71" w:rsidP="006D70B2">
            <w:pPr>
              <w:jc w:val="right"/>
            </w:pPr>
            <w:r w:rsidRPr="00DD4B71">
              <w:t>$       140</w:t>
            </w:r>
          </w:p>
        </w:tc>
      </w:tr>
      <w:tr w:rsidR="00DD4B71" w:rsidRPr="00DD4B71" w:rsidTr="006D70B2">
        <w:tc>
          <w:tcPr>
            <w:tcW w:w="6750" w:type="dxa"/>
          </w:tcPr>
          <w:p w:rsidR="00DD4B71" w:rsidRPr="00DD4B71" w:rsidRDefault="00DD4B71" w:rsidP="00006D37">
            <w:r w:rsidRPr="006D70B2">
              <w:rPr>
                <w:b/>
              </w:rPr>
              <w:t>Total estimated cost to the Federal Government</w:t>
            </w:r>
            <w:r w:rsidRPr="006D70B2">
              <w:rPr>
                <w:b/>
              </w:rPr>
              <w:tab/>
              <w:t xml:space="preserve">        </w:t>
            </w:r>
          </w:p>
        </w:tc>
        <w:tc>
          <w:tcPr>
            <w:tcW w:w="1890" w:type="dxa"/>
          </w:tcPr>
          <w:p w:rsidR="00DD4B71" w:rsidRPr="00DD4B71" w:rsidRDefault="00006D37" w:rsidP="006D70B2">
            <w:pPr>
              <w:jc w:val="right"/>
            </w:pPr>
            <w:r w:rsidRPr="006D70B2">
              <w:rPr>
                <w:b/>
              </w:rPr>
              <w:t>$  89,215</w:t>
            </w:r>
          </w:p>
        </w:tc>
      </w:tr>
    </w:tbl>
    <w:p w:rsidR="00C34BC3" w:rsidRDefault="00C34BC3"/>
    <w:p w:rsidR="00C34BC3" w:rsidRDefault="00854662" w:rsidP="004472B0">
      <w:pPr>
        <w:numPr>
          <w:ilvl w:val="1"/>
          <w:numId w:val="1"/>
        </w:numPr>
      </w:pPr>
      <w:r>
        <w:t xml:space="preserve">A separate clearance is being requested for this application. In the previous clearance, the number of respondents represented the estimated number of schools that could apply for the program. </w:t>
      </w:r>
      <w:r w:rsidR="007D4579">
        <w:t xml:space="preserve">The number of burden hours requested was incorrect. </w:t>
      </w:r>
      <w:r w:rsidR="00996690">
        <w:t>The</w:t>
      </w:r>
      <w:r>
        <w:t xml:space="preserve"> reduction in respondents for this request </w:t>
      </w:r>
      <w:r w:rsidR="00996690">
        <w:t>more clo</w:t>
      </w:r>
      <w:r w:rsidR="006D2B20">
        <w:t xml:space="preserve">sely reflects the current </w:t>
      </w:r>
      <w:r w:rsidR="00CE2567">
        <w:t xml:space="preserve">number of </w:t>
      </w:r>
      <w:r w:rsidR="006D2B20">
        <w:t>applicant</w:t>
      </w:r>
      <w:r w:rsidR="00CE2567">
        <w:t>s</w:t>
      </w:r>
      <w:r w:rsidR="006D2B20">
        <w:t>.</w:t>
      </w:r>
      <w:r w:rsidR="007D4579">
        <w:t xml:space="preserve"> The increase in burden accurately reflects the number of hours associated with this individual collection.</w:t>
      </w:r>
      <w:r w:rsidR="00C34BC3">
        <w:t xml:space="preserve">        </w:t>
      </w:r>
    </w:p>
    <w:p w:rsidR="00C34BC3" w:rsidRDefault="00C34BC3"/>
    <w:p w:rsidR="00C34BC3" w:rsidRDefault="00C34BC3">
      <w:pPr>
        <w:numPr>
          <w:ilvl w:val="1"/>
          <w:numId w:val="1"/>
        </w:numPr>
      </w:pPr>
      <w:r>
        <w:t xml:space="preserve">There </w:t>
      </w:r>
      <w:r w:rsidR="004472B0">
        <w:t>are</w:t>
      </w:r>
      <w:r>
        <w:t xml:space="preserve"> no </w:t>
      </w:r>
      <w:r w:rsidR="004472B0">
        <w:t>plans to publish the results.  The</w:t>
      </w:r>
      <w:r>
        <w:t xml:space="preserve"> </w:t>
      </w:r>
      <w:r w:rsidR="004472B0">
        <w:t>information collected will be used for internal purposes only.</w:t>
      </w:r>
    </w:p>
    <w:p w:rsidR="00C34BC3" w:rsidRDefault="00C34BC3"/>
    <w:p w:rsidR="00C34BC3" w:rsidRDefault="00C34BC3">
      <w:pPr>
        <w:numPr>
          <w:ilvl w:val="1"/>
          <w:numId w:val="1"/>
        </w:numPr>
      </w:pPr>
      <w:r>
        <w:t xml:space="preserve">There </w:t>
      </w:r>
      <w:r w:rsidR="004472B0">
        <w:t>is no request to omit the OMB expiration date.  The Department will display the expiration date for the OMB approval on the form, as required.</w:t>
      </w:r>
    </w:p>
    <w:p w:rsidR="00C34BC3" w:rsidRDefault="00C34BC3"/>
    <w:p w:rsidR="00C34BC3" w:rsidRPr="007D2177" w:rsidRDefault="00C01887" w:rsidP="00355E19">
      <w:pPr>
        <w:numPr>
          <w:ilvl w:val="1"/>
          <w:numId w:val="1"/>
        </w:numPr>
        <w:ind w:left="720" w:firstLine="360"/>
      </w:pPr>
      <w:r w:rsidRPr="00C01887">
        <w:t xml:space="preserve"> There are no exceptions to the certification statement</w:t>
      </w:r>
      <w:r w:rsidR="00C34BC3" w:rsidRPr="007D2177">
        <w:t>.</w:t>
      </w:r>
    </w:p>
    <w:p w:rsidR="00C34BC3" w:rsidRDefault="00C34BC3"/>
    <w:p w:rsidR="00C34BC3" w:rsidRDefault="00C34BC3">
      <w:r>
        <w:tab/>
      </w:r>
      <w:r>
        <w:tab/>
      </w:r>
    </w:p>
    <w:sectPr w:rsidR="00C34BC3" w:rsidSect="002A3BF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C97B03"/>
    <w:multiLevelType w:val="hybridMultilevel"/>
    <w:tmpl w:val="118456B6"/>
    <w:lvl w:ilvl="0" w:tplc="C5F85A6E">
      <w:start w:val="1"/>
      <w:numFmt w:val="upperLetter"/>
      <w:lvlText w:val="%1."/>
      <w:lvlJc w:val="left"/>
      <w:pPr>
        <w:tabs>
          <w:tab w:val="num" w:pos="1080"/>
        </w:tabs>
        <w:ind w:left="1080" w:hanging="720"/>
      </w:pPr>
      <w:rPr>
        <w:rFonts w:hint="default"/>
      </w:rPr>
    </w:lvl>
    <w:lvl w:ilvl="1" w:tplc="0FF465A6">
      <w:start w:val="1"/>
      <w:numFmt w:val="decimal"/>
      <w:lvlText w:val="%2."/>
      <w:lvlJc w:val="left"/>
      <w:pPr>
        <w:tabs>
          <w:tab w:val="num" w:pos="1440"/>
        </w:tabs>
        <w:ind w:left="1440" w:hanging="360"/>
      </w:pPr>
      <w:rPr>
        <w:rFonts w:hint="default"/>
        <w:b w:val="0"/>
      </w:rPr>
    </w:lvl>
    <w:lvl w:ilvl="2" w:tplc="FD6499D2">
      <w:start w:val="1"/>
      <w:numFmt w:val="lowerLetter"/>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20"/>
  <w:displayHorizontalDrawingGridEvery w:val="2"/>
  <w:displayVerticalDrawingGridEvery w:val="2"/>
  <w:noPunctuationKerning/>
  <w:characterSpacingControl w:val="doNotCompress"/>
  <w:compat/>
  <w:rsids>
    <w:rsidRoot w:val="00305C81"/>
    <w:rsid w:val="00006D37"/>
    <w:rsid w:val="00084FEE"/>
    <w:rsid w:val="000B7357"/>
    <w:rsid w:val="0010052C"/>
    <w:rsid w:val="00111D54"/>
    <w:rsid w:val="001126DE"/>
    <w:rsid w:val="001A1754"/>
    <w:rsid w:val="001A6124"/>
    <w:rsid w:val="001C6893"/>
    <w:rsid w:val="00200ACB"/>
    <w:rsid w:val="00210CFE"/>
    <w:rsid w:val="00252322"/>
    <w:rsid w:val="002A3BFD"/>
    <w:rsid w:val="002E3CED"/>
    <w:rsid w:val="00305C81"/>
    <w:rsid w:val="00337B44"/>
    <w:rsid w:val="003411ED"/>
    <w:rsid w:val="00355E19"/>
    <w:rsid w:val="003F7B3C"/>
    <w:rsid w:val="004207BC"/>
    <w:rsid w:val="004472B0"/>
    <w:rsid w:val="00480042"/>
    <w:rsid w:val="004B18B2"/>
    <w:rsid w:val="004C1122"/>
    <w:rsid w:val="004D3954"/>
    <w:rsid w:val="00516AC3"/>
    <w:rsid w:val="0053110C"/>
    <w:rsid w:val="0053271C"/>
    <w:rsid w:val="00577C1C"/>
    <w:rsid w:val="005C22B3"/>
    <w:rsid w:val="005D2DAD"/>
    <w:rsid w:val="005D74BB"/>
    <w:rsid w:val="006131C3"/>
    <w:rsid w:val="006423AB"/>
    <w:rsid w:val="0065536F"/>
    <w:rsid w:val="00676206"/>
    <w:rsid w:val="00686FEA"/>
    <w:rsid w:val="00697004"/>
    <w:rsid w:val="006D2B20"/>
    <w:rsid w:val="006D70B2"/>
    <w:rsid w:val="006E7F1B"/>
    <w:rsid w:val="006F10C0"/>
    <w:rsid w:val="006F3577"/>
    <w:rsid w:val="00716EF4"/>
    <w:rsid w:val="00765E06"/>
    <w:rsid w:val="007C401A"/>
    <w:rsid w:val="007D2177"/>
    <w:rsid w:val="007D4579"/>
    <w:rsid w:val="00806482"/>
    <w:rsid w:val="00817899"/>
    <w:rsid w:val="008317E3"/>
    <w:rsid w:val="00854662"/>
    <w:rsid w:val="008A7445"/>
    <w:rsid w:val="008C6FC3"/>
    <w:rsid w:val="00916EA5"/>
    <w:rsid w:val="00992D9A"/>
    <w:rsid w:val="00996690"/>
    <w:rsid w:val="009B4ECB"/>
    <w:rsid w:val="00A0601A"/>
    <w:rsid w:val="00A30D2C"/>
    <w:rsid w:val="00A82195"/>
    <w:rsid w:val="00B2290D"/>
    <w:rsid w:val="00BB2949"/>
    <w:rsid w:val="00BE1CF3"/>
    <w:rsid w:val="00BF6924"/>
    <w:rsid w:val="00C01887"/>
    <w:rsid w:val="00C34BC3"/>
    <w:rsid w:val="00C45C16"/>
    <w:rsid w:val="00C62C2E"/>
    <w:rsid w:val="00CA3822"/>
    <w:rsid w:val="00CB61DF"/>
    <w:rsid w:val="00CE2567"/>
    <w:rsid w:val="00CF19A1"/>
    <w:rsid w:val="00DD4B71"/>
    <w:rsid w:val="00DD5797"/>
    <w:rsid w:val="00DF3927"/>
    <w:rsid w:val="00E06916"/>
    <w:rsid w:val="00E225C3"/>
    <w:rsid w:val="00F00BB1"/>
    <w:rsid w:val="00F03620"/>
    <w:rsid w:val="00F87E03"/>
    <w:rsid w:val="00F95E82"/>
    <w:rsid w:val="00FE14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BFD"/>
    <w:rPr>
      <w:sz w:val="24"/>
      <w:szCs w:val="24"/>
    </w:rPr>
  </w:style>
  <w:style w:type="paragraph" w:styleId="Heading1">
    <w:name w:val="heading 1"/>
    <w:basedOn w:val="Normal"/>
    <w:next w:val="Normal"/>
    <w:qFormat/>
    <w:rsid w:val="002A3BFD"/>
    <w:pPr>
      <w:keepNext/>
      <w:outlineLvl w:val="0"/>
    </w:pPr>
    <w:rPr>
      <w:b/>
      <w:bCs/>
    </w:rPr>
  </w:style>
  <w:style w:type="paragraph" w:styleId="Heading2">
    <w:name w:val="heading 2"/>
    <w:basedOn w:val="Normal"/>
    <w:next w:val="Normal"/>
    <w:link w:val="Heading2Char"/>
    <w:uiPriority w:val="9"/>
    <w:semiHidden/>
    <w:unhideWhenUsed/>
    <w:qFormat/>
    <w:rsid w:val="00992D9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3411ED"/>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2A3BFD"/>
    <w:pPr>
      <w:jc w:val="center"/>
    </w:pPr>
    <w:rPr>
      <w:b/>
      <w:bCs/>
      <w:sz w:val="32"/>
    </w:rPr>
  </w:style>
  <w:style w:type="paragraph" w:styleId="ListParagraph">
    <w:name w:val="List Paragraph"/>
    <w:basedOn w:val="Normal"/>
    <w:uiPriority w:val="34"/>
    <w:qFormat/>
    <w:rsid w:val="004D3954"/>
    <w:pPr>
      <w:ind w:left="720"/>
    </w:pPr>
  </w:style>
  <w:style w:type="character" w:customStyle="1" w:styleId="Heading3Char">
    <w:name w:val="Heading 3 Char"/>
    <w:basedOn w:val="DefaultParagraphFont"/>
    <w:link w:val="Heading3"/>
    <w:uiPriority w:val="9"/>
    <w:semiHidden/>
    <w:rsid w:val="003411ED"/>
    <w:rPr>
      <w:rFonts w:ascii="Cambria" w:eastAsia="Times New Roman" w:hAnsi="Cambria" w:cs="Times New Roman"/>
      <w:b/>
      <w:bCs/>
      <w:sz w:val="26"/>
      <w:szCs w:val="26"/>
    </w:rPr>
  </w:style>
  <w:style w:type="character" w:customStyle="1" w:styleId="Heading2Char">
    <w:name w:val="Heading 2 Char"/>
    <w:basedOn w:val="DefaultParagraphFont"/>
    <w:link w:val="Heading2"/>
    <w:uiPriority w:val="9"/>
    <w:semiHidden/>
    <w:rsid w:val="00992D9A"/>
    <w:rPr>
      <w:rFonts w:ascii="Cambria" w:eastAsia="Times New Roman" w:hAnsi="Cambria" w:cs="Times New Roman"/>
      <w:b/>
      <w:bCs/>
      <w:i/>
      <w:iCs/>
      <w:sz w:val="28"/>
      <w:szCs w:val="28"/>
    </w:rPr>
  </w:style>
  <w:style w:type="table" w:styleId="TableGrid">
    <w:name w:val="Table Grid"/>
    <w:basedOn w:val="TableNormal"/>
    <w:uiPriority w:val="59"/>
    <w:rsid w:val="00DD4B7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86FEA"/>
    <w:rPr>
      <w:rFonts w:ascii="Tahoma" w:hAnsi="Tahoma" w:cs="Tahoma"/>
      <w:sz w:val="16"/>
      <w:szCs w:val="16"/>
    </w:rPr>
  </w:style>
  <w:style w:type="character" w:customStyle="1" w:styleId="BalloonTextChar">
    <w:name w:val="Balloon Text Char"/>
    <w:basedOn w:val="DefaultParagraphFont"/>
    <w:link w:val="BalloonText"/>
    <w:uiPriority w:val="99"/>
    <w:semiHidden/>
    <w:rsid w:val="00686F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745</Words>
  <Characters>4136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Department of Education</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Allison.Brown</dc:creator>
  <cp:lastModifiedBy>Authorised User</cp:lastModifiedBy>
  <cp:revision>2</cp:revision>
  <cp:lastPrinted>2010-01-08T15:11:00Z</cp:lastPrinted>
  <dcterms:created xsi:type="dcterms:W3CDTF">2010-03-30T15:49:00Z</dcterms:created>
  <dcterms:modified xsi:type="dcterms:W3CDTF">2010-03-30T15:49:00Z</dcterms:modified>
</cp:coreProperties>
</file>