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99" w:rsidRDefault="00FB6B99">
      <w:pPr>
        <w:pStyle w:val="Title"/>
      </w:pPr>
      <w:r>
        <w:t>SUPPORTING STATEMENT</w:t>
      </w:r>
    </w:p>
    <w:p w:rsidR="00FB6B99" w:rsidRDefault="00FB6B99">
      <w:pPr>
        <w:pStyle w:val="Heading1"/>
        <w:rPr>
          <w:rFonts w:ascii="Arial" w:hAnsi="Arial" w:cs="Arial"/>
          <w:sz w:val="24"/>
        </w:rPr>
      </w:pPr>
    </w:p>
    <w:p w:rsidR="00FB6B99" w:rsidRDefault="00FB6B99">
      <w:pPr>
        <w:pStyle w:val="Heading1"/>
        <w:rPr>
          <w:rFonts w:ascii="Arial" w:hAnsi="Arial" w:cs="Arial"/>
          <w:sz w:val="24"/>
        </w:rPr>
      </w:pPr>
      <w:r>
        <w:rPr>
          <w:rFonts w:ascii="Arial" w:hAnsi="Arial" w:cs="Arial"/>
          <w:sz w:val="24"/>
        </w:rPr>
        <w:t>Arrival and Departure Record</w:t>
      </w:r>
    </w:p>
    <w:p w:rsidR="00FB6B99" w:rsidRDefault="00FB6B99">
      <w:pPr>
        <w:jc w:val="center"/>
        <w:rPr>
          <w:rFonts w:ascii="Arial" w:hAnsi="Arial" w:cs="Arial"/>
          <w:b/>
          <w:sz w:val="24"/>
        </w:rPr>
      </w:pPr>
      <w:r>
        <w:rPr>
          <w:rFonts w:ascii="Arial" w:hAnsi="Arial" w:cs="Arial"/>
          <w:b/>
          <w:sz w:val="24"/>
        </w:rPr>
        <w:t>(Forms I-94, I-94W)</w:t>
      </w:r>
    </w:p>
    <w:p w:rsidR="00FB6B99" w:rsidRDefault="005B5931">
      <w:pPr>
        <w:jc w:val="center"/>
        <w:rPr>
          <w:rFonts w:ascii="Arial" w:hAnsi="Arial" w:cs="Arial"/>
          <w:b/>
          <w:sz w:val="24"/>
        </w:rPr>
      </w:pPr>
      <w:r>
        <w:rPr>
          <w:rFonts w:ascii="Arial" w:hAnsi="Arial" w:cs="Arial"/>
          <w:b/>
          <w:sz w:val="24"/>
        </w:rPr>
        <w:t>and</w:t>
      </w:r>
    </w:p>
    <w:p w:rsidR="005B5931" w:rsidRDefault="005B5931">
      <w:pPr>
        <w:jc w:val="center"/>
        <w:rPr>
          <w:rFonts w:ascii="Arial" w:hAnsi="Arial" w:cs="Arial"/>
          <w:b/>
          <w:sz w:val="24"/>
        </w:rPr>
      </w:pPr>
      <w:r>
        <w:rPr>
          <w:rFonts w:ascii="Arial" w:hAnsi="Arial" w:cs="Arial"/>
          <w:b/>
          <w:sz w:val="24"/>
        </w:rPr>
        <w:t>Electronic System for Travel Authorization-ESTA</w:t>
      </w:r>
    </w:p>
    <w:p w:rsidR="00FB6B99" w:rsidRDefault="00FB6B99">
      <w:pPr>
        <w:jc w:val="center"/>
        <w:rPr>
          <w:rFonts w:ascii="Arial" w:hAnsi="Arial" w:cs="Arial"/>
          <w:b/>
          <w:sz w:val="24"/>
        </w:rPr>
      </w:pPr>
      <w:r>
        <w:rPr>
          <w:rFonts w:ascii="Arial" w:hAnsi="Arial" w:cs="Arial"/>
          <w:b/>
          <w:sz w:val="24"/>
        </w:rPr>
        <w:t>OMB No. 1651-0111</w:t>
      </w:r>
    </w:p>
    <w:p w:rsidR="00FB6B99" w:rsidRDefault="00FB6B99">
      <w:pPr>
        <w:jc w:val="both"/>
        <w:rPr>
          <w:rFonts w:ascii="Arial" w:hAnsi="Arial" w:cs="Arial"/>
          <w:b/>
          <w:sz w:val="24"/>
        </w:rPr>
      </w:pPr>
    </w:p>
    <w:p w:rsidR="003C627E" w:rsidRPr="003C627E" w:rsidRDefault="003C627E"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3C627E" w:rsidRPr="003C627E" w:rsidRDefault="003C627E" w:rsidP="003C627E">
      <w:pPr>
        <w:rPr>
          <w:rFonts w:ascii="Arial" w:hAnsi="Arial" w:cs="Arial"/>
          <w:sz w:val="24"/>
          <w:szCs w:val="24"/>
        </w:rPr>
      </w:pPr>
    </w:p>
    <w:p w:rsidR="003C627E" w:rsidRPr="003C627E" w:rsidRDefault="003C627E" w:rsidP="00E64E06">
      <w:pPr>
        <w:widowControl w:val="0"/>
        <w:numPr>
          <w:ilvl w:val="0"/>
          <w:numId w:val="10"/>
        </w:numPr>
        <w:ind w:hanging="720"/>
        <w:rPr>
          <w:rFonts w:ascii="Arial" w:hAnsi="Arial" w:cs="Arial"/>
          <w:b/>
          <w:bCs/>
          <w:sz w:val="24"/>
          <w:szCs w:val="24"/>
        </w:rPr>
      </w:pPr>
      <w:r w:rsidRPr="003C627E">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3C627E" w:rsidRDefault="003C627E" w:rsidP="003C627E">
      <w:pPr>
        <w:tabs>
          <w:tab w:val="left" w:pos="-1440"/>
        </w:tabs>
        <w:ind w:left="720" w:hanging="720"/>
        <w:rPr>
          <w:rFonts w:ascii="Arial" w:hAnsi="Arial" w:cs="Arial"/>
          <w:sz w:val="24"/>
          <w:szCs w:val="24"/>
        </w:rPr>
      </w:pPr>
    </w:p>
    <w:p w:rsidR="00284F79" w:rsidRDefault="005B5931" w:rsidP="003C2FB3">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sidR="003C2FB3">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w:t>
      </w:r>
    </w:p>
    <w:p w:rsidR="00B05EDA" w:rsidRDefault="00B05EDA" w:rsidP="003C2FB3">
      <w:pPr>
        <w:ind w:left="720"/>
        <w:rPr>
          <w:rFonts w:ascii="Arial" w:hAnsi="Arial" w:cs="Arial"/>
          <w:sz w:val="24"/>
          <w:szCs w:val="24"/>
        </w:rPr>
      </w:pPr>
    </w:p>
    <w:p w:rsidR="003C2FB3" w:rsidRDefault="00284F79" w:rsidP="003C2FB3">
      <w:pPr>
        <w:ind w:left="720"/>
        <w:rPr>
          <w:rFonts w:ascii="Arial" w:hAnsi="Arial" w:cs="Arial"/>
          <w:sz w:val="24"/>
          <w:szCs w:val="24"/>
        </w:rPr>
      </w:pPr>
      <w:r>
        <w:rPr>
          <w:rFonts w:ascii="Arial" w:hAnsi="Arial" w:cs="Arial"/>
          <w:sz w:val="24"/>
          <w:szCs w:val="24"/>
        </w:rPr>
        <w:t>Aliens traveling under the V</w:t>
      </w:r>
      <w:r w:rsidR="00956B74">
        <w:rPr>
          <w:rFonts w:ascii="Arial" w:hAnsi="Arial" w:cs="Arial"/>
          <w:sz w:val="24"/>
          <w:szCs w:val="24"/>
        </w:rPr>
        <w:t>isa Waiver Program (V</w:t>
      </w:r>
      <w:r>
        <w:rPr>
          <w:rFonts w:ascii="Arial" w:hAnsi="Arial" w:cs="Arial"/>
          <w:sz w:val="24"/>
          <w:szCs w:val="24"/>
        </w:rPr>
        <w:t>WP</w:t>
      </w:r>
      <w:r w:rsidR="00956B74">
        <w:rPr>
          <w:rFonts w:ascii="Arial" w:hAnsi="Arial" w:cs="Arial"/>
          <w:sz w:val="24"/>
          <w:szCs w:val="24"/>
        </w:rPr>
        <w:t>)</w:t>
      </w:r>
      <w:r>
        <w:rPr>
          <w:rFonts w:ascii="Arial" w:hAnsi="Arial" w:cs="Arial"/>
          <w:sz w:val="24"/>
          <w:szCs w:val="24"/>
        </w:rPr>
        <w:t xml:space="preserve"> program are currently required to present a completed, signed</w:t>
      </w:r>
      <w:r w:rsidR="0023625B">
        <w:rPr>
          <w:rFonts w:ascii="Arial" w:hAnsi="Arial" w:cs="Arial"/>
          <w:sz w:val="24"/>
          <w:szCs w:val="24"/>
        </w:rPr>
        <w:t xml:space="preserve"> Nonimmigrant Visa Waiver Arrival Departure,</w:t>
      </w:r>
      <w:r w:rsidR="003C2FB3">
        <w:rPr>
          <w:rFonts w:ascii="Arial" w:hAnsi="Arial" w:cs="Arial"/>
          <w:sz w:val="24"/>
          <w:szCs w:val="24"/>
        </w:rPr>
        <w:t xml:space="preserve"> Form</w:t>
      </w:r>
      <w:r w:rsidR="0023625B">
        <w:rPr>
          <w:rFonts w:ascii="Arial" w:hAnsi="Arial" w:cs="Arial"/>
          <w:sz w:val="24"/>
          <w:szCs w:val="24"/>
        </w:rPr>
        <w:t xml:space="preserve"> </w:t>
      </w:r>
      <w:r>
        <w:rPr>
          <w:rFonts w:ascii="Arial" w:hAnsi="Arial" w:cs="Arial"/>
          <w:sz w:val="24"/>
          <w:szCs w:val="24"/>
        </w:rPr>
        <w:t>I-94W</w:t>
      </w:r>
      <w:r w:rsidR="0023625B">
        <w:rPr>
          <w:rFonts w:ascii="Arial" w:hAnsi="Arial" w:cs="Arial"/>
          <w:sz w:val="24"/>
          <w:szCs w:val="24"/>
        </w:rPr>
        <w:t>,</w:t>
      </w:r>
      <w:r>
        <w:rPr>
          <w:rFonts w:ascii="Arial" w:hAnsi="Arial" w:cs="Arial"/>
          <w:sz w:val="24"/>
          <w:szCs w:val="24"/>
        </w:rPr>
        <w:t xml:space="preserve"> as a condition of admission pursuant to 8 C.F.R. § 217.2(b)(1).</w:t>
      </w:r>
      <w:r w:rsidR="003C2FB3">
        <w:rPr>
          <w:rFonts w:ascii="Arial" w:hAnsi="Arial" w:cs="Arial"/>
          <w:sz w:val="24"/>
          <w:szCs w:val="24"/>
        </w:rPr>
        <w:t xml:space="preserve"> However, so long as these travelers are traveling in the air or sea environment and have a travel authorization obtained through the Electronic System for Travel Authorization (ESTA, see below), they may forgo completing the paper I-94W form. ESTA is not available for VWP travelers at land border crossings, though it should be noted that the overwhelming majority of VWP travelers (approximately 99 percent) arrive into the </w:t>
      </w:r>
      <w:smartTag w:uri="urn:schemas-microsoft-com:office:smarttags" w:element="country-region">
        <w:smartTag w:uri="urn:schemas-microsoft-com:office:smarttags" w:element="place">
          <w:r w:rsidR="003C2FB3">
            <w:rPr>
              <w:rFonts w:ascii="Arial" w:hAnsi="Arial" w:cs="Arial"/>
              <w:sz w:val="24"/>
              <w:szCs w:val="24"/>
            </w:rPr>
            <w:t>United States</w:t>
          </w:r>
        </w:smartTag>
      </w:smartTag>
      <w:r w:rsidR="003C2FB3">
        <w:rPr>
          <w:rFonts w:ascii="Arial" w:hAnsi="Arial" w:cs="Arial"/>
          <w:sz w:val="24"/>
          <w:szCs w:val="24"/>
        </w:rPr>
        <w:t xml:space="preserve"> in the air environment. </w:t>
      </w:r>
    </w:p>
    <w:p w:rsidR="003C2FB3" w:rsidRDefault="003C2FB3" w:rsidP="003C2FB3">
      <w:pPr>
        <w:ind w:left="720"/>
        <w:rPr>
          <w:rFonts w:ascii="Arial" w:hAnsi="Arial" w:cs="Arial"/>
          <w:sz w:val="24"/>
          <w:szCs w:val="24"/>
        </w:rPr>
      </w:pPr>
    </w:p>
    <w:p w:rsidR="005B5931" w:rsidRPr="00C31E16" w:rsidRDefault="005B5931" w:rsidP="003C2FB3">
      <w:pPr>
        <w:ind w:left="720"/>
        <w:rPr>
          <w:rFonts w:ascii="Arial" w:hAnsi="Arial" w:cs="Arial"/>
          <w:sz w:val="24"/>
          <w:szCs w:val="24"/>
        </w:rPr>
      </w:pPr>
      <w:r w:rsidRPr="00C31E16">
        <w:rPr>
          <w:rFonts w:ascii="Arial" w:hAnsi="Arial" w:cs="Arial"/>
          <w:sz w:val="24"/>
          <w:szCs w:val="24"/>
        </w:rPr>
        <w:t>The data elements collected on these forms</w:t>
      </w:r>
      <w:r w:rsidR="003C2FB3">
        <w:rPr>
          <w:rFonts w:ascii="Arial" w:hAnsi="Arial" w:cs="Arial"/>
          <w:sz w:val="24"/>
          <w:szCs w:val="24"/>
        </w:rPr>
        <w:t xml:space="preserve"> and through ESTA</w:t>
      </w:r>
      <w:r w:rsidRPr="00C31E16">
        <w:rPr>
          <w:rFonts w:ascii="Arial" w:hAnsi="Arial" w:cs="Arial"/>
          <w:sz w:val="24"/>
          <w:szCs w:val="24"/>
        </w:rPr>
        <w:t xml:space="preserve"> enable the Department of Homeland Security (DHS) to perform its mission requirements as they relate to the screening of the alien traveler for potential risks to national security, the determination of admissibility to the United States, the timely and accurate capture of alien visitor biographic data</w:t>
      </w:r>
      <w:r w:rsidR="00761588">
        <w:rPr>
          <w:rFonts w:ascii="Arial" w:hAnsi="Arial" w:cs="Arial"/>
          <w:sz w:val="24"/>
          <w:szCs w:val="24"/>
        </w:rPr>
        <w:t>,</w:t>
      </w:r>
      <w:r w:rsidRPr="00C31E16">
        <w:rPr>
          <w:rFonts w:ascii="Arial" w:hAnsi="Arial" w:cs="Arial"/>
          <w:sz w:val="24"/>
          <w:szCs w:val="24"/>
        </w:rPr>
        <w:t xml:space="preserve"> and the matching of the alien’s arrival and departure records </w:t>
      </w:r>
      <w:r w:rsidR="009B7400">
        <w:rPr>
          <w:rFonts w:ascii="Arial" w:hAnsi="Arial" w:cs="Arial"/>
          <w:sz w:val="24"/>
          <w:szCs w:val="24"/>
        </w:rPr>
        <w:t>to</w:t>
      </w:r>
      <w:r w:rsidR="009B7400" w:rsidRPr="00C31E16">
        <w:rPr>
          <w:rFonts w:ascii="Arial" w:hAnsi="Arial" w:cs="Arial"/>
          <w:sz w:val="24"/>
          <w:szCs w:val="24"/>
        </w:rPr>
        <w:t xml:space="preserve"> </w:t>
      </w:r>
      <w:r w:rsidRPr="00C31E16">
        <w:rPr>
          <w:rFonts w:ascii="Arial" w:hAnsi="Arial" w:cs="Arial"/>
          <w:sz w:val="24"/>
          <w:szCs w:val="24"/>
        </w:rPr>
        <w:lastRenderedPageBreak/>
        <w:t>enable the monitoring of</w:t>
      </w:r>
      <w:r w:rsidR="009B7400">
        <w:rPr>
          <w:rFonts w:ascii="Arial" w:hAnsi="Arial" w:cs="Arial"/>
          <w:sz w:val="24"/>
          <w:szCs w:val="24"/>
        </w:rPr>
        <w:t xml:space="preserve"> an</w:t>
      </w:r>
      <w:r w:rsidRPr="00C31E16">
        <w:rPr>
          <w:rFonts w:ascii="Arial" w:hAnsi="Arial" w:cs="Arial"/>
          <w:sz w:val="24"/>
          <w:szCs w:val="24"/>
        </w:rPr>
        <w:t xml:space="preserve"> alien’s compliance with applicable United States law. </w:t>
      </w:r>
    </w:p>
    <w:p w:rsidR="005B5931" w:rsidRPr="00C31E16" w:rsidRDefault="005B5931" w:rsidP="003C2FB3">
      <w:pPr>
        <w:ind w:left="720"/>
        <w:rPr>
          <w:rFonts w:ascii="Arial" w:hAnsi="Arial" w:cs="Arial"/>
          <w:sz w:val="24"/>
          <w:szCs w:val="24"/>
        </w:rPr>
      </w:pPr>
    </w:p>
    <w:p w:rsidR="003C2FB3" w:rsidRDefault="005B5931" w:rsidP="003C2FB3">
      <w:pPr>
        <w:ind w:left="720"/>
        <w:rPr>
          <w:rFonts w:ascii="Arial" w:hAnsi="Arial" w:cs="Arial"/>
          <w:sz w:val="24"/>
          <w:szCs w:val="24"/>
        </w:rPr>
      </w:pPr>
      <w:r w:rsidRPr="00C31E16">
        <w:rPr>
          <w:rFonts w:ascii="Arial" w:hAnsi="Arial" w:cs="Arial"/>
          <w:sz w:val="24"/>
          <w:szCs w:val="24"/>
        </w:rPr>
        <w:t xml:space="preserve">The data provided by an alien </w:t>
      </w:r>
      <w:r w:rsidR="003C2FB3">
        <w:rPr>
          <w:rFonts w:ascii="Arial" w:hAnsi="Arial" w:cs="Arial"/>
          <w:sz w:val="24"/>
          <w:szCs w:val="24"/>
        </w:rPr>
        <w:t>through ESTA</w:t>
      </w:r>
      <w:r w:rsidR="00E21209">
        <w:rPr>
          <w:rFonts w:ascii="Arial" w:hAnsi="Arial" w:cs="Arial"/>
          <w:sz w:val="24"/>
          <w:szCs w:val="24"/>
        </w:rPr>
        <w:t xml:space="preserve"> </w:t>
      </w:r>
      <w:r w:rsidRPr="00C31E16">
        <w:rPr>
          <w:rFonts w:ascii="Arial" w:hAnsi="Arial" w:cs="Arial"/>
          <w:sz w:val="24"/>
          <w:szCs w:val="24"/>
        </w:rPr>
        <w:t xml:space="preserve">answer questions that may assist in determining the alien’s admissibility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These questions do not appear on Form I-94</w:t>
      </w:r>
      <w:r w:rsidR="00FD055A">
        <w:rPr>
          <w:rFonts w:ascii="Arial" w:hAnsi="Arial" w:cs="Arial"/>
          <w:sz w:val="24"/>
          <w:szCs w:val="24"/>
        </w:rPr>
        <w:t>,</w:t>
      </w:r>
      <w:r w:rsidRPr="00C31E16">
        <w:rPr>
          <w:rFonts w:ascii="Arial" w:hAnsi="Arial" w:cs="Arial"/>
          <w:sz w:val="24"/>
          <w:szCs w:val="24"/>
        </w:rPr>
        <w:t xml:space="preserve"> as the alien has undergone the process administered by the Department of State to</w:t>
      </w:r>
      <w:r w:rsidR="003C2FB3">
        <w:rPr>
          <w:rFonts w:ascii="Arial" w:hAnsi="Arial" w:cs="Arial"/>
          <w:sz w:val="24"/>
          <w:szCs w:val="24"/>
        </w:rPr>
        <w:t xml:space="preserve"> </w:t>
      </w:r>
      <w:r w:rsidRPr="00C31E16">
        <w:rPr>
          <w:rFonts w:ascii="Arial" w:hAnsi="Arial" w:cs="Arial"/>
          <w:sz w:val="24"/>
          <w:szCs w:val="24"/>
        </w:rPr>
        <w:t xml:space="preserve">secure a visa to visit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009B7400">
        <w:rPr>
          <w:rFonts w:ascii="Arial" w:hAnsi="Arial" w:cs="Arial"/>
          <w:sz w:val="24"/>
          <w:szCs w:val="24"/>
        </w:rPr>
        <w:t>.</w:t>
      </w:r>
    </w:p>
    <w:p w:rsidR="003C2FB3" w:rsidRDefault="003C2FB3" w:rsidP="003C2FB3">
      <w:pPr>
        <w:ind w:left="720"/>
        <w:rPr>
          <w:rFonts w:ascii="Arial" w:hAnsi="Arial" w:cs="Arial"/>
          <w:sz w:val="24"/>
          <w:szCs w:val="24"/>
        </w:rPr>
      </w:pPr>
    </w:p>
    <w:p w:rsidR="00DC22A3" w:rsidRDefault="003C2FB3" w:rsidP="00E64E06">
      <w:pPr>
        <w:ind w:left="720"/>
        <w:rPr>
          <w:rFonts w:ascii="Arial" w:hAnsi="Arial" w:cs="Arial"/>
          <w:sz w:val="24"/>
          <w:szCs w:val="24"/>
        </w:rPr>
      </w:pPr>
      <w:r>
        <w:rPr>
          <w:rFonts w:ascii="Arial" w:hAnsi="Arial" w:cs="Arial"/>
          <w:sz w:val="24"/>
          <w:szCs w:val="24"/>
        </w:rPr>
        <w:t>As of June 29, 2010, CBP is able to use ESTA</w:t>
      </w:r>
      <w:r w:rsidR="005B5931"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the I-94W, but it cannot be eliminated completely at this time. As noted previously, ESTA is not available in the land environment. Additionally, travelers will occasionally have to complete an I-94W if there is an outage either at the port or with ESTA, though CBP believes that by the end of 2010 enough redundancy will be built into ESTA that outages will rarely, if ever, be an issue. Thus, this collection of information is being substantially</w:t>
      </w:r>
      <w:r w:rsidR="00E64E06">
        <w:rPr>
          <w:rFonts w:ascii="Arial" w:hAnsi="Arial" w:cs="Arial"/>
          <w:sz w:val="24"/>
          <w:szCs w:val="24"/>
        </w:rPr>
        <w:t xml:space="preserve"> modified to eliminate the </w:t>
      </w:r>
      <w:r w:rsidR="00340530">
        <w:rPr>
          <w:rFonts w:ascii="Arial" w:hAnsi="Arial" w:cs="Arial"/>
          <w:sz w:val="24"/>
          <w:szCs w:val="24"/>
        </w:rPr>
        <w:t xml:space="preserve">burden for the </w:t>
      </w:r>
      <w:r w:rsidR="00E64E06">
        <w:rPr>
          <w:rFonts w:ascii="Arial" w:hAnsi="Arial" w:cs="Arial"/>
          <w:sz w:val="24"/>
          <w:szCs w:val="24"/>
        </w:rPr>
        <w:t>vast majority of I-94W forms.</w:t>
      </w:r>
    </w:p>
    <w:p w:rsidR="004B4D5A" w:rsidRPr="00C31E16" w:rsidRDefault="004B4D5A" w:rsidP="005B5931">
      <w:pPr>
        <w:ind w:left="720" w:hanging="360"/>
        <w:jc w:val="both"/>
        <w:rPr>
          <w:rFonts w:ascii="Arial" w:hAnsi="Arial" w:cs="Arial"/>
          <w:sz w:val="24"/>
          <w:szCs w:val="24"/>
        </w:rPr>
      </w:pPr>
      <w:r>
        <w:rPr>
          <w:rFonts w:ascii="Arial" w:hAnsi="Arial" w:cs="Arial"/>
          <w:sz w:val="24"/>
          <w:szCs w:val="24"/>
        </w:rPr>
        <w:t xml:space="preserve"> </w:t>
      </w:r>
    </w:p>
    <w:p w:rsidR="005B5931" w:rsidRPr="00C31E16" w:rsidRDefault="00284F79" w:rsidP="00E64E06">
      <w:pPr>
        <w:ind w:left="720"/>
        <w:jc w:val="both"/>
        <w:rPr>
          <w:rFonts w:ascii="Arial" w:hAnsi="Arial" w:cs="Arial"/>
          <w:b/>
          <w:sz w:val="24"/>
          <w:szCs w:val="24"/>
        </w:rPr>
      </w:pPr>
      <w:r>
        <w:rPr>
          <w:rFonts w:ascii="Arial" w:hAnsi="Arial" w:cs="Arial"/>
          <w:b/>
          <w:sz w:val="24"/>
          <w:szCs w:val="24"/>
        </w:rPr>
        <w:t>The Electronic System for Travel Authorization</w:t>
      </w:r>
      <w:r w:rsidR="005B5931" w:rsidRPr="00C31E16">
        <w:rPr>
          <w:rFonts w:ascii="Arial" w:hAnsi="Arial" w:cs="Arial"/>
          <w:b/>
          <w:sz w:val="24"/>
          <w:szCs w:val="24"/>
        </w:rPr>
        <w:t xml:space="preserve"> </w:t>
      </w:r>
    </w:p>
    <w:p w:rsidR="005B5931" w:rsidRPr="00C31E16" w:rsidRDefault="005B5931" w:rsidP="00E64E06">
      <w:pPr>
        <w:ind w:left="720"/>
        <w:jc w:val="both"/>
        <w:rPr>
          <w:rFonts w:ascii="Arial" w:hAnsi="Arial" w:cs="Arial"/>
          <w:b/>
          <w:sz w:val="24"/>
          <w:szCs w:val="24"/>
        </w:rPr>
      </w:pPr>
      <w:r w:rsidRPr="00C31E16">
        <w:rPr>
          <w:rFonts w:ascii="Arial" w:hAnsi="Arial" w:cs="Arial"/>
          <w:b/>
          <w:sz w:val="24"/>
          <w:szCs w:val="24"/>
        </w:rPr>
        <w:tab/>
      </w:r>
    </w:p>
    <w:p w:rsidR="005B5931" w:rsidRPr="00C31E16" w:rsidRDefault="005B5931" w:rsidP="00E64E06">
      <w:pPr>
        <w:ind w:left="720"/>
        <w:rPr>
          <w:rFonts w:ascii="Arial" w:hAnsi="Arial" w:cs="Arial"/>
          <w:sz w:val="24"/>
          <w:szCs w:val="24"/>
        </w:rPr>
      </w:pPr>
      <w:r w:rsidRPr="00C31E16">
        <w:rPr>
          <w:rFonts w:ascii="Arial" w:hAnsi="Arial" w:cs="Arial"/>
          <w:sz w:val="24"/>
          <w:szCs w:val="24"/>
        </w:rPr>
        <w:t xml:space="preserve">On August 3, 2007, the </w:t>
      </w:r>
      <w:r w:rsidRPr="00C31E16">
        <w:rPr>
          <w:rFonts w:ascii="Arial" w:hAnsi="Arial" w:cs="Arial"/>
          <w:bCs/>
          <w:sz w:val="24"/>
          <w:szCs w:val="24"/>
        </w:rPr>
        <w:t xml:space="preserve">President signed into law </w:t>
      </w:r>
      <w:r w:rsidRPr="00C31E16">
        <w:rPr>
          <w:rFonts w:ascii="Arial" w:hAnsi="Arial" w:cs="Arial"/>
          <w:sz w:val="24"/>
          <w:szCs w:val="24"/>
        </w:rPr>
        <w:t xml:space="preserve">the </w:t>
      </w:r>
      <w:r w:rsidRPr="00C31E16">
        <w:rPr>
          <w:rFonts w:ascii="Arial" w:hAnsi="Arial" w:cs="Arial"/>
          <w:i/>
          <w:sz w:val="24"/>
          <w:szCs w:val="24"/>
        </w:rPr>
        <w:t xml:space="preserve">Recommendations of the 9/11 Commission Act of 2007 </w:t>
      </w:r>
      <w:r w:rsidRPr="00C31E16">
        <w:rPr>
          <w:rFonts w:ascii="Arial" w:hAnsi="Arial" w:cs="Arial"/>
          <w:sz w:val="24"/>
          <w:szCs w:val="24"/>
        </w:rPr>
        <w:t>(9/11 Act)</w:t>
      </w:r>
      <w:r w:rsidRPr="00C31E16">
        <w:rPr>
          <w:rFonts w:ascii="Arial" w:hAnsi="Arial" w:cs="Arial"/>
          <w:bCs/>
          <w:sz w:val="24"/>
          <w:szCs w:val="24"/>
        </w:rPr>
        <w:t xml:space="preserve">, </w:t>
      </w:r>
      <w:r w:rsidRPr="00C31E16">
        <w:rPr>
          <w:rFonts w:ascii="Arial" w:hAnsi="Arial" w:cs="Arial"/>
          <w:sz w:val="24"/>
          <w:szCs w:val="24"/>
        </w:rPr>
        <w:t>Public Law 110-53.  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 xml:space="preserve">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 </w:t>
      </w:r>
      <w:r w:rsidRPr="00C31E16">
        <w:rPr>
          <w:rFonts w:ascii="Arial" w:hAnsi="Arial" w:cs="Arial"/>
          <w:sz w:val="24"/>
          <w:szCs w:val="24"/>
        </w:rPr>
        <w:t xml:space="preserve">To satisfy the requirements of section 711 of the 9/11 Act, </w:t>
      </w:r>
      <w:r w:rsidRPr="00C31E16">
        <w:rPr>
          <w:rFonts w:ascii="Arial" w:hAnsi="Arial" w:cs="Arial"/>
          <w:bCs/>
          <w:sz w:val="24"/>
          <w:szCs w:val="24"/>
        </w:rPr>
        <w:t xml:space="preserve">DHS has </w:t>
      </w:r>
      <w:r w:rsidRPr="00C31E16">
        <w:rPr>
          <w:rFonts w:ascii="Arial" w:hAnsi="Arial" w:cs="Arial"/>
          <w:sz w:val="24"/>
          <w:szCs w:val="24"/>
        </w:rPr>
        <w:t xml:space="preserve">implemented the Electronic System for Travel Authorization. </w:t>
      </w:r>
      <w:r w:rsidR="00DC22A3">
        <w:rPr>
          <w:rFonts w:ascii="Arial" w:hAnsi="Arial" w:cs="Arial"/>
          <w:sz w:val="24"/>
          <w:szCs w:val="24"/>
        </w:rPr>
        <w:t>Unlike the I-94W</w:t>
      </w:r>
      <w:r w:rsidR="00E64E06">
        <w:rPr>
          <w:rFonts w:ascii="Arial" w:hAnsi="Arial" w:cs="Arial"/>
          <w:sz w:val="24"/>
          <w:szCs w:val="24"/>
        </w:rPr>
        <w:t>,</w:t>
      </w:r>
      <w:r w:rsidR="00DC22A3">
        <w:rPr>
          <w:rFonts w:ascii="Arial" w:hAnsi="Arial" w:cs="Arial"/>
          <w:sz w:val="24"/>
          <w:szCs w:val="24"/>
        </w:rPr>
        <w:t xml:space="preserve"> which </w:t>
      </w:r>
      <w:r w:rsidR="00E64E06">
        <w:rPr>
          <w:rFonts w:ascii="Arial" w:hAnsi="Arial" w:cs="Arial"/>
          <w:sz w:val="24"/>
          <w:szCs w:val="24"/>
        </w:rPr>
        <w:t>wa</w:t>
      </w:r>
      <w:r w:rsidR="00DC22A3">
        <w:rPr>
          <w:rFonts w:ascii="Arial" w:hAnsi="Arial" w:cs="Arial"/>
          <w:sz w:val="24"/>
          <w:szCs w:val="24"/>
        </w:rPr>
        <w:t xml:space="preserve">s presented to the CBP officer upon arrival at the </w:t>
      </w:r>
      <w:smartTag w:uri="urn:schemas-microsoft-com:office:smarttags" w:element="country-region">
        <w:r w:rsidR="00DC22A3">
          <w:rPr>
            <w:rFonts w:ascii="Arial" w:hAnsi="Arial" w:cs="Arial"/>
            <w:sz w:val="24"/>
            <w:szCs w:val="24"/>
          </w:rPr>
          <w:t>U.S.</w:t>
        </w:r>
      </w:smartTag>
      <w:r w:rsidR="00DC22A3">
        <w:rPr>
          <w:rFonts w:ascii="Arial" w:hAnsi="Arial" w:cs="Arial"/>
          <w:sz w:val="24"/>
          <w:szCs w:val="24"/>
        </w:rPr>
        <w:t xml:space="preserve"> port of entry, </w:t>
      </w:r>
      <w:r w:rsidRPr="00C31E16">
        <w:rPr>
          <w:rFonts w:ascii="Arial" w:hAnsi="Arial" w:cs="Arial"/>
          <w:sz w:val="24"/>
          <w:szCs w:val="24"/>
        </w:rPr>
        <w:t xml:space="preserve">ESTA screens travelers seeking to enter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under the VWP prior to their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00E64E06">
        <w:rPr>
          <w:rFonts w:ascii="Arial" w:hAnsi="Arial" w:cs="Arial"/>
          <w:sz w:val="24"/>
          <w:szCs w:val="24"/>
        </w:rPr>
        <w:t>. It</w:t>
      </w:r>
      <w:r w:rsidR="00DC22A3">
        <w:rPr>
          <w:rFonts w:ascii="Arial" w:hAnsi="Arial" w:cs="Arial"/>
          <w:sz w:val="24"/>
          <w:szCs w:val="24"/>
        </w:rPr>
        <w:t xml:space="preserve"> is completed </w:t>
      </w:r>
      <w:r w:rsidR="003E41E4">
        <w:rPr>
          <w:rFonts w:ascii="Arial" w:hAnsi="Arial" w:cs="Arial"/>
          <w:sz w:val="24"/>
          <w:szCs w:val="24"/>
        </w:rPr>
        <w:t xml:space="preserve">electronically </w:t>
      </w:r>
      <w:r w:rsidR="00DC22A3">
        <w:rPr>
          <w:rFonts w:ascii="Arial" w:hAnsi="Arial" w:cs="Arial"/>
          <w:sz w:val="24"/>
          <w:szCs w:val="24"/>
        </w:rPr>
        <w:t xml:space="preserve">prior to boarding the plane to travel to the </w:t>
      </w:r>
      <w:smartTag w:uri="urn:schemas-microsoft-com:office:smarttags" w:element="country-region">
        <w:smartTag w:uri="urn:schemas-microsoft-com:office:smarttags" w:element="place">
          <w:r w:rsidR="00DC22A3">
            <w:rPr>
              <w:rFonts w:ascii="Arial" w:hAnsi="Arial" w:cs="Arial"/>
              <w:sz w:val="24"/>
              <w:szCs w:val="24"/>
            </w:rPr>
            <w:t>United States</w:t>
          </w:r>
        </w:smartTag>
      </w:smartTag>
      <w:r w:rsidR="00E64E06">
        <w:rPr>
          <w:rFonts w:ascii="Arial" w:hAnsi="Arial" w:cs="Arial"/>
          <w:sz w:val="24"/>
          <w:szCs w:val="24"/>
        </w:rPr>
        <w:t xml:space="preserve">. </w:t>
      </w:r>
      <w:r w:rsidR="00DC22A3">
        <w:rPr>
          <w:rFonts w:ascii="Arial" w:hAnsi="Arial" w:cs="Arial"/>
          <w:sz w:val="24"/>
          <w:szCs w:val="24"/>
        </w:rPr>
        <w:t>ESTA is intended</w:t>
      </w:r>
      <w:r w:rsidR="00392DB8">
        <w:rPr>
          <w:rFonts w:ascii="Arial" w:hAnsi="Arial" w:cs="Arial"/>
          <w:sz w:val="24"/>
          <w:szCs w:val="24"/>
        </w:rPr>
        <w:t xml:space="preserve"> </w:t>
      </w:r>
      <w:r w:rsidR="00DC22A3">
        <w:rPr>
          <w:rFonts w:ascii="Arial" w:hAnsi="Arial" w:cs="Arial"/>
          <w:sz w:val="24"/>
          <w:szCs w:val="24"/>
        </w:rPr>
        <w:t>to prevent</w:t>
      </w:r>
      <w:r w:rsidRPr="00C31E16">
        <w:rPr>
          <w:rFonts w:ascii="Arial" w:hAnsi="Arial" w:cs="Arial"/>
          <w:sz w:val="24"/>
          <w:szCs w:val="24"/>
        </w:rPr>
        <w:t xml:space="preserve"> ineligible travelers from departing for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00E64E06">
        <w:rPr>
          <w:rFonts w:ascii="Arial" w:hAnsi="Arial" w:cs="Arial"/>
          <w:sz w:val="24"/>
          <w:szCs w:val="24"/>
        </w:rPr>
        <w:t xml:space="preserve">. </w:t>
      </w:r>
      <w:r w:rsidRPr="00C31E16">
        <w:rPr>
          <w:rFonts w:ascii="Arial" w:hAnsi="Arial" w:cs="Arial"/>
          <w:sz w:val="24"/>
          <w:szCs w:val="24"/>
        </w:rPr>
        <w:t xml:space="preserve">DHS notes that </w:t>
      </w:r>
      <w:r w:rsidR="00E64E06">
        <w:rPr>
          <w:rFonts w:ascii="Arial" w:hAnsi="Arial" w:cs="Arial"/>
          <w:sz w:val="24"/>
          <w:szCs w:val="24"/>
        </w:rPr>
        <w:t>ESTA provides an</w:t>
      </w:r>
      <w:r w:rsidRPr="00C31E16">
        <w:rPr>
          <w:rFonts w:ascii="Arial" w:hAnsi="Arial" w:cs="Arial"/>
          <w:sz w:val="24"/>
          <w:szCs w:val="24"/>
        </w:rPr>
        <w:t xml:space="preserve"> author</w:t>
      </w:r>
      <w:r w:rsidR="00E64E06">
        <w:rPr>
          <w:rFonts w:ascii="Arial" w:hAnsi="Arial" w:cs="Arial"/>
          <w:sz w:val="24"/>
          <w:szCs w:val="24"/>
        </w:rPr>
        <w:t xml:space="preserve">ization to travel to the </w:t>
      </w:r>
      <w:smartTag w:uri="urn:schemas-microsoft-com:office:smarttags" w:element="country-region">
        <w:smartTag w:uri="urn:schemas-microsoft-com:office:smarttags" w:element="place">
          <w:r w:rsidR="00E64E06">
            <w:rPr>
              <w:rFonts w:ascii="Arial" w:hAnsi="Arial" w:cs="Arial"/>
              <w:sz w:val="24"/>
              <w:szCs w:val="24"/>
            </w:rPr>
            <w:t xml:space="preserve">United </w:t>
          </w:r>
          <w:r w:rsidRPr="00C31E16">
            <w:rPr>
              <w:rFonts w:ascii="Arial" w:hAnsi="Arial" w:cs="Arial"/>
              <w:sz w:val="24"/>
              <w:szCs w:val="24"/>
            </w:rPr>
            <w:t>States</w:t>
          </w:r>
        </w:smartTag>
      </w:smartTag>
      <w:r w:rsidR="00E64E06">
        <w:rPr>
          <w:rFonts w:ascii="Arial" w:hAnsi="Arial" w:cs="Arial"/>
          <w:sz w:val="24"/>
          <w:szCs w:val="24"/>
        </w:rPr>
        <w:t>;</w:t>
      </w:r>
      <w:r w:rsidRPr="00C31E16">
        <w:rPr>
          <w:rFonts w:ascii="Arial" w:hAnsi="Arial" w:cs="Arial"/>
          <w:sz w:val="24"/>
          <w:szCs w:val="24"/>
        </w:rPr>
        <w:t xml:space="preserve"> </w:t>
      </w:r>
      <w:r w:rsidR="00956B74">
        <w:rPr>
          <w:rFonts w:ascii="Arial" w:hAnsi="Arial" w:cs="Arial"/>
          <w:sz w:val="24"/>
          <w:szCs w:val="24"/>
        </w:rPr>
        <w:t>however</w:t>
      </w:r>
      <w:r w:rsidR="00E64E06">
        <w:rPr>
          <w:rFonts w:ascii="Arial" w:hAnsi="Arial" w:cs="Arial"/>
          <w:sz w:val="24"/>
          <w:szCs w:val="24"/>
        </w:rPr>
        <w:t>,</w:t>
      </w:r>
      <w:r w:rsidRPr="00C31E16">
        <w:rPr>
          <w:rFonts w:ascii="Arial" w:hAnsi="Arial" w:cs="Arial"/>
          <w:sz w:val="24"/>
          <w:szCs w:val="24"/>
        </w:rPr>
        <w:t xml:space="preserve"> ESTA is not a determination</w:t>
      </w:r>
      <w:r w:rsidR="00E64E06">
        <w:rPr>
          <w:rFonts w:ascii="Arial" w:hAnsi="Arial" w:cs="Arial"/>
          <w:sz w:val="24"/>
          <w:szCs w:val="24"/>
        </w:rPr>
        <w:t xml:space="preserve"> that the alien is admissible. The</w:t>
      </w:r>
      <w:r w:rsidRPr="00C31E16">
        <w:rPr>
          <w:rFonts w:ascii="Arial" w:hAnsi="Arial" w:cs="Arial"/>
          <w:sz w:val="24"/>
          <w:szCs w:val="24"/>
        </w:rPr>
        <w:t xml:space="preserve"> determination of admissibility is made only after an applicant is inspected by a CBP officer at a </w:t>
      </w:r>
      <w:smartTag w:uri="urn:schemas-microsoft-com:office:smarttags" w:element="country-region">
        <w:smartTag w:uri="urn:schemas-microsoft-com:office:smarttags" w:element="place">
          <w:r w:rsidRPr="00C31E16">
            <w:rPr>
              <w:rFonts w:ascii="Arial" w:hAnsi="Arial" w:cs="Arial"/>
              <w:sz w:val="24"/>
              <w:szCs w:val="24"/>
            </w:rPr>
            <w:t>U.S.</w:t>
          </w:r>
        </w:smartTag>
      </w:smartTag>
      <w:r w:rsidRPr="00C31E16">
        <w:rPr>
          <w:rFonts w:ascii="Arial" w:hAnsi="Arial" w:cs="Arial"/>
          <w:sz w:val="24"/>
          <w:szCs w:val="24"/>
        </w:rPr>
        <w:t xml:space="preserve"> port of entry.</w:t>
      </w:r>
    </w:p>
    <w:p w:rsidR="001319F6" w:rsidRDefault="001319F6" w:rsidP="003C627E">
      <w:pPr>
        <w:ind w:left="720" w:hanging="570"/>
        <w:rPr>
          <w:rFonts w:ascii="Arial" w:hAnsi="Arial" w:cs="Arial"/>
          <w:b/>
          <w:bCs/>
          <w:sz w:val="24"/>
          <w:szCs w:val="24"/>
        </w:rPr>
      </w:pPr>
    </w:p>
    <w:p w:rsidR="003C627E" w:rsidRPr="003C627E" w:rsidRDefault="003C627E" w:rsidP="00E64E06">
      <w:pPr>
        <w:ind w:left="720" w:hanging="720"/>
        <w:rPr>
          <w:rFonts w:ascii="Arial" w:hAnsi="Arial" w:cs="Arial"/>
          <w:sz w:val="24"/>
          <w:szCs w:val="24"/>
        </w:rPr>
      </w:pPr>
      <w:r w:rsidRPr="003C627E">
        <w:rPr>
          <w:rFonts w:ascii="Arial" w:hAnsi="Arial" w:cs="Arial"/>
          <w:b/>
          <w:bCs/>
          <w:sz w:val="24"/>
          <w:szCs w:val="24"/>
        </w:rPr>
        <w:t>2.</w:t>
      </w:r>
      <w:r w:rsidRPr="003C627E">
        <w:rPr>
          <w:rFonts w:ascii="Arial" w:hAnsi="Arial" w:cs="Arial"/>
          <w:sz w:val="24"/>
          <w:szCs w:val="24"/>
        </w:rPr>
        <w:tab/>
      </w:r>
      <w:r w:rsidRPr="003C627E">
        <w:rPr>
          <w:rFonts w:ascii="Arial" w:hAnsi="Arial" w:cs="Arial"/>
          <w:b/>
          <w:bCs/>
          <w:sz w:val="24"/>
          <w:szCs w:val="24"/>
        </w:rPr>
        <w:t xml:space="preserve">Indicate how, by whom, and for what purpose the information is to be used.  Except for a new collection, indicate the actual use the </w:t>
      </w:r>
      <w:r w:rsidRPr="003C627E">
        <w:rPr>
          <w:rFonts w:ascii="Arial" w:hAnsi="Arial" w:cs="Arial"/>
          <w:b/>
          <w:bCs/>
          <w:sz w:val="24"/>
          <w:szCs w:val="24"/>
        </w:rPr>
        <w:lastRenderedPageBreak/>
        <w:t>agency has made of the information received from the current collection</w:t>
      </w:r>
      <w:r w:rsidRPr="003C627E">
        <w:rPr>
          <w:rFonts w:ascii="Arial" w:hAnsi="Arial" w:cs="Arial"/>
          <w:sz w:val="24"/>
          <w:szCs w:val="24"/>
        </w:rPr>
        <w:t>.</w:t>
      </w:r>
    </w:p>
    <w:p w:rsidR="003C627E" w:rsidRPr="003C627E" w:rsidRDefault="003C627E" w:rsidP="003C627E">
      <w:pPr>
        <w:jc w:val="both"/>
        <w:rPr>
          <w:rFonts w:ascii="Arial" w:hAnsi="Arial" w:cs="Arial"/>
          <w:sz w:val="24"/>
          <w:szCs w:val="24"/>
        </w:rPr>
      </w:pPr>
    </w:p>
    <w:p w:rsidR="00B86D5A" w:rsidRPr="00C31E16" w:rsidRDefault="00B86D5A" w:rsidP="00E64E06">
      <w:pPr>
        <w:ind w:left="720"/>
        <w:rPr>
          <w:rFonts w:ascii="Arial" w:hAnsi="Arial" w:cs="Arial"/>
          <w:sz w:val="24"/>
          <w:szCs w:val="24"/>
        </w:rPr>
      </w:pPr>
      <w:r w:rsidRPr="00C31E16">
        <w:rPr>
          <w:rFonts w:ascii="Arial" w:hAnsi="Arial" w:cs="Arial"/>
          <w:sz w:val="24"/>
          <w:szCs w:val="24"/>
        </w:rPr>
        <w:t xml:space="preserve">The data collected on Forms I-94/94W and </w:t>
      </w:r>
      <w:r w:rsidR="00D057D1">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00E64E06">
        <w:rPr>
          <w:rFonts w:ascii="Arial" w:hAnsi="Arial" w:cs="Arial"/>
          <w:sz w:val="24"/>
          <w:szCs w:val="24"/>
        </w:rPr>
        <w:t xml:space="preserve">. </w:t>
      </w:r>
      <w:r w:rsidR="00317485">
        <w:rPr>
          <w:rFonts w:ascii="Arial" w:hAnsi="Arial" w:cs="Arial"/>
          <w:sz w:val="24"/>
          <w:szCs w:val="24"/>
        </w:rPr>
        <w:t>Specifically, the information collected is used for</w:t>
      </w:r>
      <w:r w:rsidRPr="00C31E16">
        <w:rPr>
          <w:rFonts w:ascii="Arial" w:hAnsi="Arial" w:cs="Arial"/>
          <w:sz w:val="24"/>
          <w:szCs w:val="24"/>
        </w:rPr>
        <w:t xml:space="preserve"> potential law enforcement and national security risk, the timely and accurate capture of</w:t>
      </w:r>
      <w:r w:rsidR="00175DB4">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law</w:t>
      </w:r>
      <w:r w:rsidR="00175DB4">
        <w:rPr>
          <w:rFonts w:ascii="Arial" w:hAnsi="Arial" w:cs="Arial"/>
          <w:sz w:val="24"/>
          <w:szCs w:val="24"/>
        </w:rPr>
        <w:t>,</w:t>
      </w:r>
      <w:r w:rsidRPr="00C31E16">
        <w:rPr>
          <w:rFonts w:ascii="Arial" w:hAnsi="Arial" w:cs="Arial"/>
          <w:sz w:val="24"/>
          <w:szCs w:val="24"/>
        </w:rPr>
        <w:t xml:space="preserve"> and the support of the development of automated solutions intended to further streamline document handling and information processing. ESTA is mandated by Congress to enhance national security by increasing the amount of information available to DHS regarding VWP travelers before such travelers embark on a carrier destined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00E64E06">
        <w:rPr>
          <w:rFonts w:ascii="Arial" w:hAnsi="Arial" w:cs="Arial"/>
          <w:sz w:val="24"/>
          <w:szCs w:val="24"/>
        </w:rPr>
        <w:t>. Therefore, these</w:t>
      </w:r>
      <w:r w:rsidRPr="00C31E16">
        <w:rPr>
          <w:rFonts w:ascii="Arial" w:hAnsi="Arial" w:cs="Arial"/>
          <w:sz w:val="24"/>
          <w:szCs w:val="24"/>
        </w:rPr>
        <w:t xml:space="preserve"> data </w:t>
      </w:r>
      <w:r w:rsidR="00E64E06">
        <w:rPr>
          <w:rFonts w:ascii="Arial" w:hAnsi="Arial" w:cs="Arial"/>
          <w:sz w:val="24"/>
          <w:szCs w:val="24"/>
        </w:rPr>
        <w:t>are</w:t>
      </w:r>
      <w:r w:rsidRPr="00C31E16">
        <w:rPr>
          <w:rFonts w:ascii="Arial" w:hAnsi="Arial" w:cs="Arial"/>
          <w:sz w:val="24"/>
          <w:szCs w:val="24"/>
        </w:rPr>
        <w:t xml:space="preserve"> being collected via ESTA in order to mitigate the security vulnerabilities of the VWP, whereby travelers seeking to avoid the scrutiny of the visa issuance process or circumvent immigration laws may attempt to enter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VWP.</w:t>
      </w:r>
    </w:p>
    <w:p w:rsidR="00B86D5A" w:rsidRPr="003C627E" w:rsidRDefault="00B86D5A" w:rsidP="003C627E">
      <w:pPr>
        <w:pStyle w:val="BodyTextIndent"/>
        <w:tabs>
          <w:tab w:val="left" w:pos="720"/>
        </w:tabs>
        <w:rPr>
          <w:rFonts w:cs="Arial"/>
          <w:szCs w:val="24"/>
        </w:rPr>
      </w:pPr>
    </w:p>
    <w:p w:rsidR="003C627E" w:rsidRPr="003C627E" w:rsidRDefault="003C627E" w:rsidP="003C627E">
      <w:pPr>
        <w:ind w:left="720" w:hanging="720"/>
        <w:rPr>
          <w:rFonts w:ascii="Arial" w:hAnsi="Arial" w:cs="Arial"/>
          <w:sz w:val="24"/>
          <w:szCs w:val="24"/>
        </w:rPr>
      </w:pPr>
      <w:r w:rsidRPr="003C627E">
        <w:rPr>
          <w:rFonts w:ascii="Arial" w:hAnsi="Arial" w:cs="Arial"/>
          <w:b/>
          <w:bCs/>
          <w:sz w:val="24"/>
          <w:szCs w:val="24"/>
        </w:rPr>
        <w:t>3.</w:t>
      </w:r>
      <w:r w:rsidRPr="003C627E">
        <w:rPr>
          <w:rFonts w:ascii="Arial" w:hAnsi="Arial" w:cs="Arial"/>
          <w:sz w:val="24"/>
          <w:szCs w:val="24"/>
        </w:rPr>
        <w:tab/>
      </w:r>
      <w:r w:rsidRPr="003C627E">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C627E">
        <w:rPr>
          <w:rFonts w:ascii="Arial" w:hAnsi="Arial" w:cs="Arial"/>
          <w:sz w:val="24"/>
          <w:szCs w:val="24"/>
        </w:rPr>
        <w:t xml:space="preserve">.  </w:t>
      </w:r>
    </w:p>
    <w:p w:rsidR="003C627E" w:rsidRDefault="003C627E" w:rsidP="003C627E">
      <w:pPr>
        <w:rPr>
          <w:rFonts w:ascii="Arial" w:hAnsi="Arial" w:cs="Arial"/>
          <w:sz w:val="24"/>
          <w:szCs w:val="24"/>
        </w:rPr>
      </w:pPr>
      <w:r w:rsidRPr="003C627E">
        <w:rPr>
          <w:rFonts w:ascii="Arial" w:hAnsi="Arial" w:cs="Arial"/>
          <w:sz w:val="24"/>
          <w:szCs w:val="24"/>
        </w:rPr>
        <w:tab/>
      </w:r>
    </w:p>
    <w:p w:rsidR="00284F79" w:rsidRDefault="00C06AE0" w:rsidP="00E64E06">
      <w:pPr>
        <w:ind w:left="720"/>
        <w:rPr>
          <w:rFonts w:ascii="Arial" w:hAnsi="Arial" w:cs="Arial"/>
          <w:sz w:val="24"/>
          <w:szCs w:val="24"/>
        </w:rPr>
      </w:pPr>
      <w:r w:rsidRPr="00C31E16">
        <w:rPr>
          <w:rFonts w:ascii="Arial" w:hAnsi="Arial" w:cs="Arial"/>
          <w:sz w:val="24"/>
          <w:szCs w:val="24"/>
        </w:rPr>
        <w:t xml:space="preserve">Forms I-94 and I-94W are paper documents prepared by most aliens traveling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00E64E06">
        <w:rPr>
          <w:rFonts w:ascii="Arial" w:hAnsi="Arial" w:cs="Arial"/>
          <w:sz w:val="24"/>
          <w:szCs w:val="24"/>
        </w:rPr>
        <w:t xml:space="preserve"> (though now most VWP travelers will forgo completing the I-94W)</w:t>
      </w:r>
      <w:r w:rsidRPr="00C31E16">
        <w:rPr>
          <w:rFonts w:ascii="Arial" w:hAnsi="Arial" w:cs="Arial"/>
          <w:sz w:val="24"/>
          <w:szCs w:val="24"/>
        </w:rPr>
        <w:t xml:space="preserve">. ESTA is a </w:t>
      </w:r>
      <w:r w:rsidR="009B7400">
        <w:rPr>
          <w:rFonts w:ascii="Arial" w:hAnsi="Arial" w:cs="Arial"/>
          <w:sz w:val="24"/>
          <w:szCs w:val="24"/>
        </w:rPr>
        <w:t>web</w:t>
      </w:r>
      <w:r w:rsidRPr="00C31E16">
        <w:rPr>
          <w:rFonts w:ascii="Arial" w:hAnsi="Arial" w:cs="Arial"/>
          <w:sz w:val="24"/>
          <w:szCs w:val="24"/>
        </w:rPr>
        <w:t xml:space="preserve">-based system that enables VWP travelers to electronically enter applications for authorization to travel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via the VWP.  </w:t>
      </w:r>
    </w:p>
    <w:p w:rsidR="00284F79" w:rsidRDefault="00284F79" w:rsidP="00E64E06">
      <w:pPr>
        <w:ind w:left="720"/>
        <w:rPr>
          <w:rFonts w:ascii="Arial" w:hAnsi="Arial" w:cs="Arial"/>
          <w:sz w:val="24"/>
          <w:szCs w:val="24"/>
        </w:rPr>
      </w:pPr>
    </w:p>
    <w:p w:rsidR="003C627E" w:rsidRPr="003C627E" w:rsidRDefault="003C627E" w:rsidP="00E64E06">
      <w:pPr>
        <w:ind w:left="720" w:hanging="720"/>
        <w:rPr>
          <w:rFonts w:ascii="Arial" w:hAnsi="Arial" w:cs="Arial"/>
          <w:b/>
          <w:bCs/>
          <w:sz w:val="24"/>
          <w:szCs w:val="24"/>
        </w:rPr>
      </w:pPr>
      <w:r w:rsidRPr="003C627E">
        <w:rPr>
          <w:rFonts w:ascii="Arial" w:hAnsi="Arial" w:cs="Arial"/>
          <w:b/>
          <w:bCs/>
          <w:sz w:val="24"/>
          <w:szCs w:val="24"/>
        </w:rPr>
        <w:t>4.</w:t>
      </w:r>
      <w:r w:rsidRPr="003C627E">
        <w:rPr>
          <w:rFonts w:ascii="Arial" w:hAnsi="Arial" w:cs="Arial"/>
          <w:sz w:val="24"/>
          <w:szCs w:val="24"/>
        </w:rPr>
        <w:tab/>
      </w:r>
      <w:r w:rsidRPr="003C627E">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3C627E" w:rsidRPr="003C627E" w:rsidRDefault="003C627E" w:rsidP="003C627E">
      <w:pPr>
        <w:tabs>
          <w:tab w:val="left" w:pos="-1440"/>
        </w:tabs>
        <w:ind w:left="720" w:hanging="720"/>
        <w:rPr>
          <w:rFonts w:ascii="Arial" w:hAnsi="Arial" w:cs="Arial"/>
          <w:sz w:val="24"/>
          <w:szCs w:val="24"/>
        </w:rPr>
      </w:pPr>
    </w:p>
    <w:p w:rsidR="00846153" w:rsidRPr="00E64E06" w:rsidRDefault="00983822" w:rsidP="00E64E06">
      <w:pPr>
        <w:ind w:left="720"/>
        <w:rPr>
          <w:rFonts w:ascii="Arial" w:hAnsi="Arial" w:cs="Arial"/>
          <w:sz w:val="24"/>
          <w:szCs w:val="24"/>
        </w:rPr>
      </w:pPr>
      <w:r w:rsidRPr="00E64E06">
        <w:rPr>
          <w:rFonts w:ascii="Arial" w:hAnsi="Arial" w:cs="Arial"/>
          <w:sz w:val="24"/>
          <w:szCs w:val="24"/>
        </w:rPr>
        <w:t xml:space="preserve">DHS is </w:t>
      </w:r>
      <w:r w:rsidR="00FD5FB5" w:rsidRPr="00E64E06">
        <w:rPr>
          <w:rFonts w:ascii="Arial" w:hAnsi="Arial" w:cs="Arial"/>
          <w:sz w:val="24"/>
          <w:szCs w:val="24"/>
        </w:rPr>
        <w:t>currently implementing</w:t>
      </w:r>
      <w:r w:rsidRPr="00E64E06">
        <w:rPr>
          <w:rFonts w:ascii="Arial" w:hAnsi="Arial" w:cs="Arial"/>
          <w:sz w:val="24"/>
          <w:szCs w:val="24"/>
        </w:rPr>
        <w:t xml:space="preserve"> a multi-phase project intended to eliminate the I-94W</w:t>
      </w:r>
      <w:r w:rsidR="00E64E06" w:rsidRPr="00E64E06">
        <w:rPr>
          <w:rFonts w:ascii="Arial" w:hAnsi="Arial" w:cs="Arial"/>
          <w:sz w:val="24"/>
          <w:szCs w:val="24"/>
        </w:rPr>
        <w:t>, as much of the information on this form is also provided through ESTA prior to travel</w:t>
      </w:r>
      <w:r w:rsidRPr="00E64E06">
        <w:rPr>
          <w:rFonts w:ascii="Arial" w:hAnsi="Arial" w:cs="Arial"/>
          <w:sz w:val="24"/>
          <w:szCs w:val="24"/>
        </w:rPr>
        <w:t xml:space="preserve">. </w:t>
      </w:r>
      <w:r w:rsidR="00E64E06" w:rsidRPr="00E64E06">
        <w:rPr>
          <w:rFonts w:ascii="Arial" w:hAnsi="Arial" w:cs="Arial"/>
          <w:sz w:val="24"/>
          <w:szCs w:val="24"/>
        </w:rPr>
        <w:t>The vast majority of I-94W forms will thus be eliminated and will greatly reduce duplication of information collection.</w:t>
      </w:r>
      <w:r w:rsidR="00846153" w:rsidRPr="00E64E06">
        <w:rPr>
          <w:rFonts w:ascii="Arial" w:hAnsi="Arial" w:cs="Arial"/>
          <w:sz w:val="24"/>
          <w:szCs w:val="24"/>
        </w:rPr>
        <w:t xml:space="preserve">   </w:t>
      </w:r>
    </w:p>
    <w:p w:rsidR="00846153" w:rsidRDefault="00846153" w:rsidP="00983822">
      <w:pPr>
        <w:ind w:left="720"/>
        <w:jc w:val="both"/>
        <w:rPr>
          <w:rFonts w:ascii="Arial" w:hAnsi="Arial" w:cs="Arial"/>
          <w:color w:val="000000"/>
          <w:sz w:val="24"/>
          <w:szCs w:val="24"/>
        </w:rPr>
      </w:pPr>
    </w:p>
    <w:p w:rsidR="003C627E" w:rsidRPr="003C627E" w:rsidRDefault="003C627E" w:rsidP="00E64E06">
      <w:pPr>
        <w:ind w:left="720" w:hanging="720"/>
        <w:rPr>
          <w:rFonts w:ascii="Arial" w:hAnsi="Arial" w:cs="Arial"/>
          <w:b/>
          <w:bCs/>
          <w:sz w:val="24"/>
          <w:szCs w:val="24"/>
        </w:rPr>
      </w:pPr>
      <w:r w:rsidRPr="003C627E">
        <w:rPr>
          <w:rFonts w:ascii="Arial" w:hAnsi="Arial" w:cs="Arial"/>
          <w:b/>
          <w:bCs/>
          <w:sz w:val="24"/>
          <w:szCs w:val="24"/>
        </w:rPr>
        <w:lastRenderedPageBreak/>
        <w:t>5.</w:t>
      </w:r>
      <w:r w:rsidRPr="003C627E">
        <w:rPr>
          <w:rFonts w:ascii="Arial" w:hAnsi="Arial" w:cs="Arial"/>
          <w:sz w:val="24"/>
          <w:szCs w:val="24"/>
        </w:rPr>
        <w:tab/>
      </w:r>
      <w:r w:rsidRPr="003C627E">
        <w:rPr>
          <w:rFonts w:ascii="Arial" w:hAnsi="Arial" w:cs="Arial"/>
          <w:b/>
          <w:bCs/>
          <w:sz w:val="24"/>
          <w:szCs w:val="24"/>
        </w:rPr>
        <w:t xml:space="preserve">If the collection of information impacts small businesses or other small entities, describe any methods used to minimize burden.  </w:t>
      </w:r>
    </w:p>
    <w:p w:rsidR="003C627E" w:rsidRPr="003C627E" w:rsidRDefault="003C627E" w:rsidP="003C627E">
      <w:pPr>
        <w:tabs>
          <w:tab w:val="left" w:pos="-1440"/>
        </w:tabs>
        <w:ind w:left="720" w:hanging="720"/>
        <w:rPr>
          <w:rFonts w:ascii="Arial" w:hAnsi="Arial" w:cs="Arial"/>
          <w:sz w:val="24"/>
          <w:szCs w:val="24"/>
        </w:rPr>
      </w:pPr>
    </w:p>
    <w:p w:rsidR="003C627E" w:rsidRPr="003C627E" w:rsidRDefault="003C627E" w:rsidP="003C627E">
      <w:pPr>
        <w:pStyle w:val="BodyTextIndent"/>
        <w:rPr>
          <w:rFonts w:cs="Arial"/>
          <w:szCs w:val="24"/>
        </w:rPr>
      </w:pPr>
      <w:r w:rsidRPr="003C627E">
        <w:rPr>
          <w:rFonts w:cs="Arial"/>
          <w:szCs w:val="24"/>
        </w:rPr>
        <w:tab/>
        <w:t>This information collection does not have an impact on small businesses or other small entities.</w:t>
      </w:r>
    </w:p>
    <w:p w:rsidR="003C627E" w:rsidRPr="003C627E" w:rsidRDefault="003C627E" w:rsidP="003C627E">
      <w:pPr>
        <w:pStyle w:val="BodyTextIndent"/>
        <w:rPr>
          <w:rFonts w:cs="Arial"/>
          <w:szCs w:val="24"/>
        </w:rPr>
      </w:pPr>
      <w:r w:rsidRPr="003C627E">
        <w:rPr>
          <w:rFonts w:cs="Arial"/>
          <w:szCs w:val="24"/>
        </w:rPr>
        <w:tab/>
      </w:r>
      <w:r w:rsidRPr="003C627E">
        <w:rPr>
          <w:rFonts w:cs="Arial"/>
          <w:szCs w:val="24"/>
        </w:rPr>
        <w:tab/>
      </w:r>
      <w:r w:rsidRPr="003C627E">
        <w:rPr>
          <w:rFonts w:cs="Arial"/>
          <w:szCs w:val="24"/>
        </w:rPr>
        <w:tab/>
      </w:r>
      <w:r w:rsidRPr="003C627E">
        <w:rPr>
          <w:rFonts w:cs="Arial"/>
          <w:szCs w:val="24"/>
        </w:rPr>
        <w:tab/>
      </w:r>
      <w:r w:rsidRPr="003C627E">
        <w:rPr>
          <w:rFonts w:cs="Arial"/>
          <w:szCs w:val="24"/>
        </w:rPr>
        <w:tab/>
      </w:r>
      <w:r w:rsidRPr="003C627E">
        <w:rPr>
          <w:rFonts w:cs="Arial"/>
          <w:szCs w:val="24"/>
        </w:rPr>
        <w:tab/>
      </w:r>
    </w:p>
    <w:p w:rsidR="003C627E" w:rsidRPr="003C627E" w:rsidRDefault="00E64E06" w:rsidP="00E64E06">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003C627E" w:rsidRPr="003C627E">
        <w:rPr>
          <w:rFonts w:ascii="Arial" w:hAnsi="Arial" w:cs="Arial"/>
          <w:b/>
          <w:bCs/>
          <w:sz w:val="24"/>
          <w:szCs w:val="24"/>
        </w:rPr>
        <w:t>Describe consequences to Federal program or policy activities if the              collection is not conducted or is conducted less frequently.</w:t>
      </w:r>
    </w:p>
    <w:p w:rsidR="003C627E" w:rsidRDefault="003C627E" w:rsidP="003C627E">
      <w:pPr>
        <w:ind w:left="540"/>
        <w:rPr>
          <w:rFonts w:ascii="Arial" w:hAnsi="Arial" w:cs="Arial"/>
          <w:b/>
          <w:bCs/>
          <w:sz w:val="24"/>
          <w:szCs w:val="24"/>
        </w:rPr>
      </w:pPr>
    </w:p>
    <w:p w:rsidR="00AB5931" w:rsidRDefault="00AB5931" w:rsidP="00E64E06">
      <w:pPr>
        <w:ind w:left="720"/>
        <w:rPr>
          <w:rFonts w:ascii="Arial" w:hAnsi="Arial" w:cs="Arial"/>
          <w:sz w:val="24"/>
        </w:rPr>
      </w:pPr>
      <w:r>
        <w:rPr>
          <w:rFonts w:ascii="Arial" w:hAnsi="Arial" w:cs="Arial"/>
          <w:sz w:val="24"/>
        </w:rPr>
        <w:t xml:space="preserve">Without this information collection, CBP would be unable to track or document an alien’s arrival to and departure from the </w:t>
      </w:r>
      <w:smartTag w:uri="urn:schemas-microsoft-com:office:smarttags" w:element="country-region">
        <w:smartTag w:uri="urn:schemas-microsoft-com:office:smarttags" w:element="place">
          <w:r>
            <w:rPr>
              <w:rFonts w:ascii="Arial" w:hAnsi="Arial" w:cs="Arial"/>
              <w:sz w:val="24"/>
            </w:rPr>
            <w:t>United States</w:t>
          </w:r>
        </w:smartTag>
      </w:smartTag>
      <w:r>
        <w:rPr>
          <w:rFonts w:ascii="Arial" w:hAnsi="Arial" w:cs="Arial"/>
          <w:sz w:val="24"/>
        </w:rPr>
        <w:t xml:space="preserve">.  </w:t>
      </w:r>
    </w:p>
    <w:p w:rsidR="003C627E" w:rsidRPr="003C627E" w:rsidRDefault="003C627E"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3C627E">
        <w:rPr>
          <w:rFonts w:ascii="Arial" w:hAnsi="Arial" w:cs="Arial"/>
          <w:sz w:val="24"/>
          <w:szCs w:val="24"/>
        </w:rPr>
        <w:t xml:space="preserve">    </w:t>
      </w:r>
      <w:r w:rsidRPr="003C627E">
        <w:rPr>
          <w:rFonts w:ascii="Arial" w:hAnsi="Arial" w:cs="Arial"/>
          <w:sz w:val="24"/>
          <w:szCs w:val="24"/>
        </w:rPr>
        <w:tab/>
      </w:r>
      <w:r w:rsidRPr="003C627E">
        <w:rPr>
          <w:rFonts w:ascii="Arial" w:hAnsi="Arial" w:cs="Arial"/>
          <w:b/>
          <w:bCs/>
          <w:sz w:val="24"/>
          <w:szCs w:val="24"/>
        </w:rPr>
        <w:t xml:space="preserve">    </w:t>
      </w:r>
      <w:r w:rsidRPr="003C627E">
        <w:rPr>
          <w:rFonts w:ascii="Arial" w:hAnsi="Arial" w:cs="Arial"/>
          <w:sz w:val="24"/>
          <w:szCs w:val="24"/>
        </w:rPr>
        <w:tab/>
      </w:r>
    </w:p>
    <w:p w:rsidR="003C627E" w:rsidRDefault="00E64E06" w:rsidP="00E64E06">
      <w:pPr>
        <w:ind w:left="720" w:hanging="720"/>
        <w:rPr>
          <w:rFonts w:ascii="Arial" w:hAnsi="Arial" w:cs="Arial"/>
          <w:b/>
          <w:bCs/>
          <w:sz w:val="24"/>
          <w:szCs w:val="24"/>
        </w:rPr>
      </w:pPr>
      <w:r>
        <w:rPr>
          <w:rFonts w:ascii="Arial" w:hAnsi="Arial" w:cs="Arial"/>
          <w:b/>
          <w:bCs/>
          <w:sz w:val="24"/>
          <w:szCs w:val="24"/>
        </w:rPr>
        <w:t>7.</w:t>
      </w:r>
      <w:r>
        <w:rPr>
          <w:rFonts w:ascii="Arial" w:hAnsi="Arial" w:cs="Arial"/>
          <w:b/>
          <w:bCs/>
          <w:sz w:val="24"/>
          <w:szCs w:val="24"/>
        </w:rPr>
        <w:tab/>
      </w:r>
      <w:r w:rsidR="003C627E" w:rsidRPr="003C627E">
        <w:rPr>
          <w:rFonts w:ascii="Arial" w:hAnsi="Arial" w:cs="Arial"/>
          <w:b/>
          <w:bCs/>
          <w:sz w:val="24"/>
          <w:szCs w:val="24"/>
        </w:rPr>
        <w:t>Explain any special circumstances that would cause an information collection to be conducted in a manner:</w:t>
      </w:r>
    </w:p>
    <w:p w:rsidR="0063094B" w:rsidRDefault="0063094B" w:rsidP="0063094B">
      <w:pPr>
        <w:ind w:left="180"/>
        <w:rPr>
          <w:rFonts w:ascii="Arial" w:hAnsi="Arial" w:cs="Arial"/>
          <w:b/>
          <w:bCs/>
          <w:sz w:val="24"/>
          <w:szCs w:val="24"/>
        </w:rPr>
      </w:pP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respondents to report information to the agency more often than quarterly;</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respondents to prepare a written response to a collection of information in fewer than 30 days after receipt of it;</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respondents to submit more than an original and two copies of any document;</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respondents to retain records, other than health, medical, government contract, grant-in-aid, or tax records for more than three years;</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in connection with a statistical survey, that is not designed to produce valid and reliable results that can be generalized to the universe of study;</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the use of statistical data classification that has not been reviewed and approved by OMB;</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094B" w:rsidRPr="0063094B" w:rsidRDefault="0063094B" w:rsidP="0063094B">
      <w:pPr>
        <w:numPr>
          <w:ilvl w:val="0"/>
          <w:numId w:val="17"/>
        </w:numPr>
        <w:tabs>
          <w:tab w:val="clear" w:pos="360"/>
          <w:tab w:val="num" w:pos="840"/>
        </w:tabs>
        <w:ind w:left="840"/>
        <w:rPr>
          <w:rFonts w:ascii="Arial" w:hAnsi="Arial" w:cs="Arial"/>
          <w:b/>
          <w:sz w:val="24"/>
          <w:szCs w:val="24"/>
        </w:rPr>
      </w:pPr>
      <w:r w:rsidRPr="0063094B">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C627E" w:rsidRPr="003C627E" w:rsidRDefault="003C627E" w:rsidP="003C627E">
      <w:pPr>
        <w:tabs>
          <w:tab w:val="left" w:pos="-1440"/>
        </w:tabs>
        <w:ind w:left="720" w:hanging="720"/>
        <w:rPr>
          <w:rFonts w:ascii="Arial" w:hAnsi="Arial" w:cs="Arial"/>
          <w:sz w:val="24"/>
          <w:szCs w:val="24"/>
        </w:rPr>
      </w:pPr>
    </w:p>
    <w:p w:rsidR="003C627E" w:rsidRPr="003C627E" w:rsidRDefault="003C627E" w:rsidP="003C627E">
      <w:pPr>
        <w:tabs>
          <w:tab w:val="left" w:pos="-1440"/>
        </w:tabs>
        <w:ind w:left="720" w:hanging="720"/>
        <w:rPr>
          <w:rFonts w:ascii="Arial" w:hAnsi="Arial" w:cs="Arial"/>
          <w:sz w:val="24"/>
          <w:szCs w:val="24"/>
        </w:rPr>
      </w:pPr>
      <w:r w:rsidRPr="003C627E">
        <w:rPr>
          <w:rFonts w:ascii="Arial" w:hAnsi="Arial" w:cs="Arial"/>
          <w:sz w:val="24"/>
          <w:szCs w:val="24"/>
        </w:rPr>
        <w:tab/>
        <w:t>This information is collected in a manner consistent with the guidelines of 5 CFR 1320.6.</w:t>
      </w:r>
    </w:p>
    <w:p w:rsidR="008C7A14" w:rsidRPr="003C627E" w:rsidRDefault="008C7A14" w:rsidP="003C627E">
      <w:pPr>
        <w:rPr>
          <w:rFonts w:ascii="Arial" w:hAnsi="Arial" w:cs="Arial"/>
          <w:sz w:val="24"/>
          <w:szCs w:val="24"/>
        </w:rPr>
      </w:pPr>
    </w:p>
    <w:p w:rsidR="003C627E" w:rsidRPr="003C627E" w:rsidRDefault="003C627E" w:rsidP="00E64E06">
      <w:pPr>
        <w:widowControl w:val="0"/>
        <w:numPr>
          <w:ilvl w:val="0"/>
          <w:numId w:val="13"/>
        </w:numPr>
        <w:ind w:hanging="720"/>
        <w:rPr>
          <w:rFonts w:ascii="Arial" w:hAnsi="Arial" w:cs="Arial"/>
          <w:b/>
          <w:bCs/>
          <w:sz w:val="24"/>
          <w:szCs w:val="24"/>
        </w:rPr>
      </w:pPr>
      <w:r w:rsidRPr="003C627E">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w:t>
      </w:r>
      <w:r w:rsidRPr="003C627E">
        <w:rPr>
          <w:rFonts w:ascii="Arial" w:hAnsi="Arial" w:cs="Arial"/>
          <w:b/>
          <w:bCs/>
          <w:sz w:val="24"/>
          <w:szCs w:val="24"/>
        </w:rPr>
        <w:lastRenderedPageBreak/>
        <w:t>received in response to that notice and describe actions taken by the agency in response to these comments.  Specifically address comments received on cost and hour burden.</w:t>
      </w:r>
    </w:p>
    <w:p w:rsidR="00577662" w:rsidRDefault="00577662" w:rsidP="003C627E">
      <w:pPr>
        <w:tabs>
          <w:tab w:val="left" w:pos="-1440"/>
        </w:tabs>
        <w:ind w:left="720" w:hanging="360"/>
        <w:rPr>
          <w:rFonts w:ascii="Arial" w:hAnsi="Arial" w:cs="Arial"/>
          <w:sz w:val="24"/>
          <w:szCs w:val="24"/>
        </w:rPr>
      </w:pPr>
    </w:p>
    <w:p w:rsidR="00505C60" w:rsidRDefault="00577662" w:rsidP="00E64E06">
      <w:pPr>
        <w:tabs>
          <w:tab w:val="left" w:pos="-1440"/>
        </w:tabs>
        <w:ind w:left="720"/>
        <w:rPr>
          <w:rFonts w:ascii="Arial" w:hAnsi="Arial"/>
          <w:sz w:val="24"/>
          <w:szCs w:val="24"/>
        </w:rPr>
      </w:pPr>
      <w:r w:rsidRPr="00577662">
        <w:rPr>
          <w:rFonts w:ascii="Arial" w:hAnsi="Arial"/>
          <w:sz w:val="24"/>
          <w:szCs w:val="24"/>
        </w:rPr>
        <w:t xml:space="preserve">Public comments were solicited through two Federal Register notices published on December </w:t>
      </w:r>
      <w:r w:rsidR="00130202">
        <w:rPr>
          <w:rFonts w:ascii="Arial" w:hAnsi="Arial"/>
          <w:sz w:val="24"/>
          <w:szCs w:val="24"/>
        </w:rPr>
        <w:t>7</w:t>
      </w:r>
      <w:r w:rsidRPr="00577662">
        <w:rPr>
          <w:rFonts w:ascii="Arial" w:hAnsi="Arial"/>
          <w:sz w:val="24"/>
          <w:szCs w:val="24"/>
        </w:rPr>
        <w:t>, 200</w:t>
      </w:r>
      <w:r w:rsidR="00130202">
        <w:rPr>
          <w:rFonts w:ascii="Arial" w:hAnsi="Arial"/>
          <w:sz w:val="24"/>
          <w:szCs w:val="24"/>
        </w:rPr>
        <w:t>9</w:t>
      </w:r>
      <w:r w:rsidRPr="00577662">
        <w:rPr>
          <w:rFonts w:ascii="Arial" w:hAnsi="Arial"/>
          <w:sz w:val="24"/>
          <w:szCs w:val="24"/>
        </w:rPr>
        <w:t xml:space="preserve"> (Volume 7</w:t>
      </w:r>
      <w:r w:rsidR="00130202">
        <w:rPr>
          <w:rFonts w:ascii="Arial" w:hAnsi="Arial"/>
          <w:sz w:val="24"/>
          <w:szCs w:val="24"/>
        </w:rPr>
        <w:t>4</w:t>
      </w:r>
      <w:r w:rsidRPr="00577662">
        <w:rPr>
          <w:rFonts w:ascii="Arial" w:hAnsi="Arial"/>
          <w:sz w:val="24"/>
          <w:szCs w:val="24"/>
        </w:rPr>
        <w:t xml:space="preserve">, Page </w:t>
      </w:r>
      <w:r w:rsidR="00130202">
        <w:rPr>
          <w:rFonts w:ascii="Arial" w:hAnsi="Arial"/>
          <w:sz w:val="24"/>
          <w:szCs w:val="24"/>
        </w:rPr>
        <w:t>64092</w:t>
      </w:r>
      <w:r w:rsidRPr="00577662">
        <w:rPr>
          <w:rFonts w:ascii="Arial" w:hAnsi="Arial"/>
          <w:sz w:val="24"/>
          <w:szCs w:val="24"/>
        </w:rPr>
        <w:t xml:space="preserve">) and on </w:t>
      </w:r>
      <w:r w:rsidR="00130202">
        <w:rPr>
          <w:rFonts w:ascii="Arial" w:hAnsi="Arial"/>
          <w:sz w:val="24"/>
          <w:szCs w:val="24"/>
        </w:rPr>
        <w:t xml:space="preserve">March </w:t>
      </w:r>
      <w:r w:rsidR="00673823">
        <w:rPr>
          <w:rFonts w:ascii="Arial" w:hAnsi="Arial"/>
          <w:sz w:val="24"/>
          <w:szCs w:val="24"/>
        </w:rPr>
        <w:t>19,</w:t>
      </w:r>
      <w:r w:rsidR="00130202">
        <w:rPr>
          <w:rFonts w:ascii="Arial" w:hAnsi="Arial"/>
          <w:sz w:val="24"/>
          <w:szCs w:val="24"/>
        </w:rPr>
        <w:t xml:space="preserve"> 2010</w:t>
      </w:r>
      <w:r w:rsidRPr="00577662">
        <w:rPr>
          <w:rFonts w:ascii="Arial" w:hAnsi="Arial"/>
          <w:sz w:val="24"/>
          <w:szCs w:val="24"/>
        </w:rPr>
        <w:t xml:space="preserve"> (Volume 74, Page </w:t>
      </w:r>
      <w:r w:rsidR="00981F36">
        <w:rPr>
          <w:rFonts w:ascii="Arial" w:hAnsi="Arial"/>
          <w:sz w:val="24"/>
          <w:szCs w:val="24"/>
        </w:rPr>
        <w:t>13293</w:t>
      </w:r>
      <w:r w:rsidR="00673823">
        <w:rPr>
          <w:rFonts w:ascii="Arial" w:hAnsi="Arial"/>
          <w:sz w:val="24"/>
          <w:szCs w:val="24"/>
        </w:rPr>
        <w:t>)</w:t>
      </w:r>
      <w:r w:rsidR="00E64E06">
        <w:rPr>
          <w:rFonts w:ascii="Arial" w:hAnsi="Arial"/>
          <w:sz w:val="24"/>
          <w:szCs w:val="24"/>
        </w:rPr>
        <w:t xml:space="preserve">. </w:t>
      </w:r>
      <w:r w:rsidR="00130202">
        <w:rPr>
          <w:rFonts w:ascii="Arial" w:hAnsi="Arial"/>
          <w:sz w:val="24"/>
          <w:szCs w:val="24"/>
        </w:rPr>
        <w:t>One comment was received</w:t>
      </w:r>
      <w:r w:rsidR="009806A8">
        <w:rPr>
          <w:rFonts w:ascii="Arial" w:hAnsi="Arial"/>
          <w:sz w:val="24"/>
          <w:szCs w:val="24"/>
        </w:rPr>
        <w:t>.</w:t>
      </w:r>
    </w:p>
    <w:p w:rsidR="00505C60" w:rsidRDefault="00505C60" w:rsidP="00E64E06">
      <w:pPr>
        <w:tabs>
          <w:tab w:val="left" w:pos="-1440"/>
        </w:tabs>
        <w:ind w:left="720"/>
        <w:rPr>
          <w:rFonts w:ascii="Arial" w:hAnsi="Arial"/>
          <w:sz w:val="24"/>
          <w:szCs w:val="24"/>
        </w:rPr>
      </w:pPr>
      <w:r>
        <w:rPr>
          <w:rFonts w:ascii="Arial" w:hAnsi="Arial"/>
          <w:sz w:val="24"/>
          <w:szCs w:val="24"/>
        </w:rPr>
        <w:tab/>
      </w:r>
    </w:p>
    <w:p w:rsidR="00BA3074" w:rsidRDefault="00505C60" w:rsidP="00E64E06">
      <w:pPr>
        <w:tabs>
          <w:tab w:val="left" w:pos="-1440"/>
        </w:tabs>
        <w:ind w:left="720"/>
        <w:rPr>
          <w:rFonts w:ascii="Arial" w:hAnsi="Arial"/>
          <w:sz w:val="24"/>
          <w:szCs w:val="24"/>
        </w:rPr>
      </w:pPr>
      <w:r w:rsidRPr="00BA3074">
        <w:rPr>
          <w:rFonts w:ascii="Arial" w:hAnsi="Arial"/>
          <w:sz w:val="24"/>
          <w:szCs w:val="24"/>
        </w:rPr>
        <w:t xml:space="preserve">CBP received comments from United Airlines.  </w:t>
      </w:r>
    </w:p>
    <w:p w:rsidR="00BA3074" w:rsidRDefault="00BA3074" w:rsidP="00BA3074">
      <w:pPr>
        <w:autoSpaceDE w:val="0"/>
        <w:autoSpaceDN w:val="0"/>
        <w:adjustRightInd w:val="0"/>
        <w:rPr>
          <w:rFonts w:ascii="Arial" w:hAnsi="Arial" w:cs="Arial"/>
          <w:b/>
        </w:rPr>
      </w:pPr>
    </w:p>
    <w:p w:rsidR="00BA3074" w:rsidRPr="00BA3074" w:rsidRDefault="00BA3074" w:rsidP="00E64E06">
      <w:pPr>
        <w:autoSpaceDE w:val="0"/>
        <w:autoSpaceDN w:val="0"/>
        <w:adjustRightInd w:val="0"/>
        <w:ind w:left="720"/>
        <w:rPr>
          <w:rFonts w:ascii="Arial" w:hAnsi="Arial" w:cs="Arial"/>
          <w:b/>
          <w:sz w:val="24"/>
          <w:szCs w:val="24"/>
        </w:rPr>
      </w:pPr>
      <w:r w:rsidRPr="00BA3074">
        <w:rPr>
          <w:rFonts w:ascii="Arial" w:hAnsi="Arial" w:cs="Arial"/>
          <w:b/>
          <w:sz w:val="24"/>
          <w:szCs w:val="24"/>
        </w:rPr>
        <w:t>Summary o</w:t>
      </w:r>
      <w:r w:rsidR="00E64E06">
        <w:rPr>
          <w:rFonts w:ascii="Arial" w:hAnsi="Arial" w:cs="Arial"/>
          <w:b/>
          <w:sz w:val="24"/>
          <w:szCs w:val="24"/>
        </w:rPr>
        <w:t>f United Airlines (UA) comments</w:t>
      </w:r>
    </w:p>
    <w:p w:rsidR="00BA3074" w:rsidRPr="00BA3074" w:rsidRDefault="00BA3074" w:rsidP="00BA3074">
      <w:pPr>
        <w:autoSpaceDE w:val="0"/>
        <w:autoSpaceDN w:val="0"/>
        <w:adjustRightInd w:val="0"/>
        <w:rPr>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In their letter, United Airlines makes the following points: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Forms I-94/I-94W are not cost-effective and should be eliminated;</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the benefits of using these forms are unknown;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That the forms are obsolete since passenger information has been collected for Advance Passenger Information System (APIS) for at least 10 years;</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the forms are redundant due to data collection under other U.S. Government requirements and unnecessary for creating arrival/departure records for the majority of the travelers to the </w:t>
      </w:r>
      <w:smartTag w:uri="urn:schemas-microsoft-com:office:smarttags" w:element="country-region">
        <w:smartTag w:uri="urn:schemas-microsoft-com:office:smarttags" w:element="place">
          <w:r w:rsidRPr="00BA3074">
            <w:rPr>
              <w:rFonts w:ascii="Arial" w:hAnsi="Arial" w:cs="Arial"/>
              <w:sz w:val="24"/>
              <w:szCs w:val="24"/>
            </w:rPr>
            <w:t>United States</w:t>
          </w:r>
        </w:smartTag>
      </w:smartTag>
      <w:r w:rsidRPr="00BA3074">
        <w:rPr>
          <w:rFonts w:ascii="Arial" w:hAnsi="Arial" w:cs="Arial"/>
          <w:sz w:val="24"/>
          <w:szCs w:val="24"/>
        </w:rPr>
        <w:t>;</w:t>
      </w:r>
    </w:p>
    <w:p w:rsidR="00BA3074" w:rsidRDefault="00BA3074" w:rsidP="00E64E06">
      <w:pPr>
        <w:autoSpaceDE w:val="0"/>
        <w:autoSpaceDN w:val="0"/>
        <w:adjustRightInd w:val="0"/>
        <w:ind w:left="720"/>
        <w:rPr>
          <w:rFonts w:ascii="Arial" w:hAnsi="Arial" w:cs="Arial"/>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the data collected on the Forms is unverifiable and thus unreliable, and that the information is unknown or unavailable to the alien.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CBP does not justify the need for or intended use of recently-added data fields (email, telephone number;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That the value of the data collected is questionable since verification is impossible;</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CBP’s estimated number of respondents is inaccurate, and thus, the burden and costs proposed are understated and should be revised.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That CBP fails to estimate the airlines’ burden of time to provide, explain and timely collect the forms from passengers, which increases air carrier personnel costs millions annually;</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That they have no knowledge of the steps CBP takes to match the arrival and departure data.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 xml:space="preserve">United Airlines summarizes their comment by reiterating that Arrival and Departure data collection be discontinued entirely due to the fact that 1) </w:t>
      </w:r>
      <w:r w:rsidRPr="00BA3074">
        <w:rPr>
          <w:rFonts w:ascii="Arial" w:hAnsi="Arial" w:cs="Arial"/>
          <w:sz w:val="24"/>
          <w:szCs w:val="24"/>
        </w:rPr>
        <w:lastRenderedPageBreak/>
        <w:t xml:space="preserve">Five existing info collection procedures provide DHS/CBP and other U.S. agencies with the same information; 2) That the human collection of the Forms make the data vulnerable to delays, human error and difficult to search; and 3) That the collection imposes unnecessary costs on the traveling public and air carriers.  </w:t>
      </w:r>
    </w:p>
    <w:p w:rsidR="00BA3074" w:rsidRPr="00BA3074" w:rsidRDefault="00BA3074" w:rsidP="00E64E06">
      <w:pPr>
        <w:autoSpaceDE w:val="0"/>
        <w:autoSpaceDN w:val="0"/>
        <w:adjustRightInd w:val="0"/>
        <w:ind w:left="720"/>
        <w:rPr>
          <w:rFonts w:ascii="Arial" w:hAnsi="Arial" w:cs="Arial"/>
          <w:sz w:val="24"/>
          <w:szCs w:val="24"/>
        </w:rPr>
      </w:pPr>
    </w:p>
    <w:p w:rsidR="00BA3074" w:rsidRPr="00BA3074" w:rsidRDefault="00BA3074" w:rsidP="00E64E06">
      <w:pPr>
        <w:autoSpaceDE w:val="0"/>
        <w:autoSpaceDN w:val="0"/>
        <w:adjustRightInd w:val="0"/>
        <w:ind w:left="720"/>
        <w:rPr>
          <w:rFonts w:ascii="Arial" w:hAnsi="Arial" w:cs="Arial"/>
          <w:sz w:val="24"/>
          <w:szCs w:val="24"/>
        </w:rPr>
      </w:pPr>
      <w:r w:rsidRPr="00BA3074">
        <w:rPr>
          <w:rFonts w:ascii="Arial" w:hAnsi="Arial" w:cs="Arial"/>
          <w:sz w:val="24"/>
          <w:szCs w:val="24"/>
        </w:rPr>
        <w:t>UA urges CBP to withdraw the request to revise the existing info and eliminate the Forms and that OMB deny any future CBP r</w:t>
      </w:r>
      <w:r w:rsidR="008B01F2">
        <w:rPr>
          <w:rFonts w:ascii="Arial" w:hAnsi="Arial" w:cs="Arial"/>
          <w:sz w:val="24"/>
          <w:szCs w:val="24"/>
        </w:rPr>
        <w:t>enewal requests for these forms</w:t>
      </w:r>
      <w:r w:rsidRPr="00BA3074">
        <w:rPr>
          <w:rFonts w:ascii="Arial" w:hAnsi="Arial" w:cs="Arial"/>
          <w:sz w:val="24"/>
          <w:szCs w:val="24"/>
        </w:rPr>
        <w:t xml:space="preserve">. </w:t>
      </w:r>
    </w:p>
    <w:p w:rsidR="00BA3074" w:rsidRPr="00BA3074" w:rsidRDefault="00BA3074" w:rsidP="00BA3074">
      <w:pPr>
        <w:autoSpaceDE w:val="0"/>
        <w:autoSpaceDN w:val="0"/>
        <w:adjustRightInd w:val="0"/>
        <w:rPr>
          <w:rFonts w:ascii="Arial" w:hAnsi="Arial" w:cs="Arial"/>
          <w:sz w:val="24"/>
          <w:szCs w:val="24"/>
        </w:rPr>
      </w:pPr>
    </w:p>
    <w:p w:rsidR="00BA3074" w:rsidRDefault="00BA3074" w:rsidP="00BA3074">
      <w:pPr>
        <w:autoSpaceDE w:val="0"/>
        <w:autoSpaceDN w:val="0"/>
        <w:adjustRightInd w:val="0"/>
        <w:rPr>
          <w:rFonts w:ascii="Arial" w:hAnsi="Arial" w:cs="Arial"/>
          <w:b/>
        </w:rPr>
      </w:pPr>
    </w:p>
    <w:p w:rsidR="00BA3074" w:rsidRPr="00317477" w:rsidRDefault="00BA3074" w:rsidP="00E64E06">
      <w:pPr>
        <w:autoSpaceDE w:val="0"/>
        <w:autoSpaceDN w:val="0"/>
        <w:adjustRightInd w:val="0"/>
        <w:ind w:left="720"/>
        <w:rPr>
          <w:rFonts w:ascii="Arial" w:hAnsi="Arial" w:cs="Arial"/>
          <w:b/>
          <w:sz w:val="24"/>
          <w:szCs w:val="24"/>
        </w:rPr>
      </w:pPr>
      <w:r w:rsidRPr="00317477">
        <w:rPr>
          <w:rFonts w:ascii="Arial" w:hAnsi="Arial" w:cs="Arial"/>
          <w:b/>
          <w:sz w:val="24"/>
          <w:szCs w:val="24"/>
        </w:rPr>
        <w:t>CBP’s response to United Airline’s comments:</w:t>
      </w:r>
    </w:p>
    <w:p w:rsidR="00BA3074" w:rsidRPr="00317477" w:rsidRDefault="00BA3074" w:rsidP="00BA3074">
      <w:pPr>
        <w:autoSpaceDE w:val="0"/>
        <w:autoSpaceDN w:val="0"/>
        <w:adjustRightInd w:val="0"/>
        <w:rPr>
          <w:rFonts w:ascii="Arial" w:hAnsi="Arial" w:cs="Arial"/>
          <w:sz w:val="24"/>
          <w:szCs w:val="24"/>
        </w:rPr>
      </w:pPr>
    </w:p>
    <w:p w:rsidR="00BA3074" w:rsidRPr="00317477" w:rsidRDefault="00BA3074" w:rsidP="00317477">
      <w:pPr>
        <w:autoSpaceDE w:val="0"/>
        <w:autoSpaceDN w:val="0"/>
        <w:adjustRightInd w:val="0"/>
        <w:ind w:left="720"/>
        <w:rPr>
          <w:rFonts w:ascii="Arial" w:hAnsi="Arial" w:cs="Arial"/>
          <w:sz w:val="24"/>
          <w:szCs w:val="24"/>
        </w:rPr>
      </w:pPr>
      <w:r w:rsidRPr="00317477">
        <w:rPr>
          <w:rFonts w:ascii="Arial" w:hAnsi="Arial" w:cs="Arial"/>
          <w:sz w:val="24"/>
          <w:szCs w:val="24"/>
        </w:rPr>
        <w:t xml:space="preserve">CBP </w:t>
      </w:r>
      <w:r w:rsidR="00E64E06">
        <w:rPr>
          <w:rFonts w:ascii="Arial" w:hAnsi="Arial" w:cs="Arial"/>
          <w:sz w:val="24"/>
          <w:szCs w:val="24"/>
        </w:rPr>
        <w:t xml:space="preserve">fully </w:t>
      </w:r>
      <w:r w:rsidRPr="00317477">
        <w:rPr>
          <w:rFonts w:ascii="Arial" w:hAnsi="Arial" w:cs="Arial"/>
          <w:sz w:val="24"/>
          <w:szCs w:val="24"/>
        </w:rPr>
        <w:t>recognizes that the forms I-94 and I-94W are not a highly-efficient and reliable source of traveler arrival/departure data</w:t>
      </w:r>
      <w:r w:rsidR="00E64E06">
        <w:rPr>
          <w:rFonts w:ascii="Arial" w:hAnsi="Arial" w:cs="Arial"/>
          <w:sz w:val="24"/>
          <w:szCs w:val="24"/>
        </w:rPr>
        <w:t>. CBP began an extensive process to test and elimination of the I-94W at the end of 2008, and that process is now largely complete, with elimination of the I-94W in all airports and</w:t>
      </w:r>
      <w:r w:rsidRPr="00317477">
        <w:rPr>
          <w:rFonts w:ascii="Arial" w:hAnsi="Arial" w:cs="Arial"/>
          <w:sz w:val="24"/>
          <w:szCs w:val="24"/>
        </w:rPr>
        <w:t xml:space="preserve"> </w:t>
      </w:r>
      <w:r w:rsidR="00E64E06">
        <w:rPr>
          <w:rFonts w:ascii="Arial" w:hAnsi="Arial" w:cs="Arial"/>
          <w:sz w:val="24"/>
          <w:szCs w:val="24"/>
        </w:rPr>
        <w:t xml:space="preserve">major seaports. The I-94 will remain a paper form for the foreseeable future. </w:t>
      </w:r>
    </w:p>
    <w:p w:rsidR="00BA3074" w:rsidRPr="00317477" w:rsidRDefault="00BA3074" w:rsidP="00BA3074">
      <w:pPr>
        <w:autoSpaceDE w:val="0"/>
        <w:autoSpaceDN w:val="0"/>
        <w:adjustRightInd w:val="0"/>
        <w:rPr>
          <w:rFonts w:ascii="Arial" w:hAnsi="Arial" w:cs="Arial"/>
          <w:sz w:val="24"/>
          <w:szCs w:val="24"/>
        </w:rPr>
      </w:pPr>
    </w:p>
    <w:p w:rsidR="006E6019" w:rsidRPr="00E622A8" w:rsidRDefault="003477AC" w:rsidP="006E6019">
      <w:pPr>
        <w:autoSpaceDE w:val="0"/>
        <w:autoSpaceDN w:val="0"/>
        <w:adjustRightInd w:val="0"/>
        <w:ind w:left="720"/>
        <w:rPr>
          <w:rFonts w:ascii="Arial" w:hAnsi="Arial" w:cs="Arial"/>
          <w:sz w:val="24"/>
          <w:szCs w:val="24"/>
        </w:rPr>
      </w:pPr>
      <w:r>
        <w:rPr>
          <w:rFonts w:ascii="Arial" w:hAnsi="Arial" w:cs="Arial"/>
          <w:sz w:val="24"/>
          <w:szCs w:val="24"/>
        </w:rPr>
        <w:t>It should be noted that a</w:t>
      </w:r>
      <w:r w:rsidR="006E6019" w:rsidRPr="00E622A8">
        <w:rPr>
          <w:rFonts w:ascii="Arial" w:hAnsi="Arial" w:cs="Arial"/>
          <w:sz w:val="24"/>
          <w:szCs w:val="24"/>
        </w:rPr>
        <w:t xml:space="preserve">lthough ESTA is used for admissibility into the VWP, </w:t>
      </w:r>
      <w:r w:rsidR="001B6031">
        <w:rPr>
          <w:rFonts w:ascii="Arial" w:hAnsi="Arial" w:cs="Arial"/>
          <w:sz w:val="24"/>
          <w:szCs w:val="24"/>
        </w:rPr>
        <w:t xml:space="preserve">it </w:t>
      </w:r>
      <w:r w:rsidR="006E6019" w:rsidRPr="00E622A8">
        <w:rPr>
          <w:rFonts w:ascii="Arial" w:hAnsi="Arial" w:cs="Arial"/>
          <w:sz w:val="24"/>
          <w:szCs w:val="24"/>
        </w:rPr>
        <w:t xml:space="preserve">does not determine admissibility into the </w:t>
      </w:r>
      <w:smartTag w:uri="urn:schemas-microsoft-com:office:smarttags" w:element="country-region">
        <w:smartTag w:uri="urn:schemas-microsoft-com:office:smarttags" w:element="place">
          <w:r w:rsidR="006E6019" w:rsidRPr="00E622A8">
            <w:rPr>
              <w:rFonts w:ascii="Arial" w:hAnsi="Arial" w:cs="Arial"/>
              <w:sz w:val="24"/>
              <w:szCs w:val="24"/>
            </w:rPr>
            <w:t>U</w:t>
          </w:r>
          <w:r w:rsidR="00A6749D">
            <w:rPr>
              <w:rFonts w:ascii="Arial" w:hAnsi="Arial" w:cs="Arial"/>
              <w:sz w:val="24"/>
              <w:szCs w:val="24"/>
            </w:rPr>
            <w:t xml:space="preserve">nited </w:t>
          </w:r>
          <w:r w:rsidR="006E6019" w:rsidRPr="00E622A8">
            <w:rPr>
              <w:rFonts w:ascii="Arial" w:hAnsi="Arial" w:cs="Arial"/>
              <w:sz w:val="24"/>
              <w:szCs w:val="24"/>
            </w:rPr>
            <w:t>S</w:t>
          </w:r>
          <w:r w:rsidR="00A6749D">
            <w:rPr>
              <w:rFonts w:ascii="Arial" w:hAnsi="Arial" w:cs="Arial"/>
              <w:sz w:val="24"/>
              <w:szCs w:val="24"/>
            </w:rPr>
            <w:t>tates</w:t>
          </w:r>
        </w:smartTag>
      </w:smartTag>
      <w:r w:rsidR="006E6019" w:rsidRPr="00E622A8">
        <w:rPr>
          <w:rFonts w:ascii="Arial" w:hAnsi="Arial" w:cs="Arial"/>
          <w:sz w:val="24"/>
          <w:szCs w:val="24"/>
        </w:rPr>
        <w:t>. However, both the I-94 and I-94W are documents that determi</w:t>
      </w:r>
      <w:r>
        <w:rPr>
          <w:rFonts w:ascii="Arial" w:hAnsi="Arial" w:cs="Arial"/>
          <w:sz w:val="24"/>
          <w:szCs w:val="24"/>
        </w:rPr>
        <w:t xml:space="preserve">ne admissibility into the </w:t>
      </w:r>
      <w:smartTag w:uri="urn:schemas-microsoft-com:office:smarttags" w:element="place">
        <w:smartTag w:uri="urn:schemas-microsoft-com:office:smarttags" w:element="country-region">
          <w:r>
            <w:rPr>
              <w:rFonts w:ascii="Arial" w:hAnsi="Arial" w:cs="Arial"/>
              <w:sz w:val="24"/>
              <w:szCs w:val="24"/>
            </w:rPr>
            <w:t>U.S.</w:t>
          </w:r>
        </w:smartTag>
      </w:smartTag>
      <w:r>
        <w:rPr>
          <w:rFonts w:ascii="Arial" w:hAnsi="Arial" w:cs="Arial"/>
          <w:sz w:val="24"/>
          <w:szCs w:val="24"/>
        </w:rPr>
        <w:t xml:space="preserve"> </w:t>
      </w:r>
      <w:r w:rsidR="006E6019" w:rsidRPr="00E622A8">
        <w:rPr>
          <w:rFonts w:ascii="Arial" w:hAnsi="Arial" w:cs="Arial"/>
          <w:sz w:val="24"/>
          <w:szCs w:val="24"/>
        </w:rPr>
        <w:t>In addition, both the I-94 and I-94W document arrival in, and departure from, the U.S, as required by Section 235 of the Immigration and Nationality Act, and they are used by foreign nationals as proof of status</w:t>
      </w:r>
      <w:r w:rsidR="00E51A80">
        <w:rPr>
          <w:rFonts w:ascii="Arial" w:hAnsi="Arial" w:cs="Arial"/>
          <w:sz w:val="24"/>
          <w:szCs w:val="24"/>
        </w:rPr>
        <w:t>, which is not the case with ESTA</w:t>
      </w:r>
      <w:r w:rsidR="006E6019" w:rsidRPr="00E622A8">
        <w:rPr>
          <w:rFonts w:ascii="Arial" w:hAnsi="Arial" w:cs="Arial"/>
          <w:sz w:val="24"/>
          <w:szCs w:val="24"/>
        </w:rPr>
        <w:t>.</w:t>
      </w:r>
      <w:r w:rsidR="001B6031">
        <w:rPr>
          <w:rFonts w:ascii="Arial" w:hAnsi="Arial" w:cs="Arial"/>
          <w:sz w:val="24"/>
          <w:szCs w:val="24"/>
        </w:rPr>
        <w:t xml:space="preserve">  </w:t>
      </w:r>
      <w:r w:rsidR="006E6019" w:rsidRPr="00E622A8">
        <w:rPr>
          <w:rFonts w:ascii="Arial" w:hAnsi="Arial" w:cs="Arial"/>
          <w:sz w:val="24"/>
          <w:szCs w:val="24"/>
        </w:rPr>
        <w:t xml:space="preserve"> </w:t>
      </w:r>
    </w:p>
    <w:p w:rsidR="006E6019" w:rsidRDefault="006E6019" w:rsidP="006E6019">
      <w:pPr>
        <w:autoSpaceDE w:val="0"/>
        <w:autoSpaceDN w:val="0"/>
        <w:adjustRightInd w:val="0"/>
        <w:rPr>
          <w:rFonts w:ascii="Arial" w:hAnsi="Arial" w:cs="Arial"/>
        </w:rPr>
      </w:pPr>
    </w:p>
    <w:p w:rsidR="003477AC" w:rsidRDefault="003852D9" w:rsidP="006E6019">
      <w:pPr>
        <w:autoSpaceDE w:val="0"/>
        <w:autoSpaceDN w:val="0"/>
        <w:adjustRightInd w:val="0"/>
        <w:ind w:left="720"/>
        <w:rPr>
          <w:rFonts w:ascii="Arial" w:hAnsi="Arial" w:cs="Arial"/>
          <w:sz w:val="24"/>
          <w:szCs w:val="24"/>
        </w:rPr>
      </w:pPr>
      <w:r>
        <w:rPr>
          <w:rFonts w:ascii="Arial" w:hAnsi="Arial" w:cs="Arial"/>
          <w:sz w:val="24"/>
          <w:szCs w:val="24"/>
        </w:rPr>
        <w:t xml:space="preserve">UA also brings up </w:t>
      </w:r>
      <w:r w:rsidR="00B62CAC">
        <w:rPr>
          <w:rFonts w:ascii="Arial" w:hAnsi="Arial" w:cs="Arial"/>
          <w:sz w:val="24"/>
          <w:szCs w:val="24"/>
        </w:rPr>
        <w:t xml:space="preserve">several other forms that have some duplicate information with the immigration forms including the 6059B, Customs Declaration, and the </w:t>
      </w:r>
      <w:r w:rsidR="00A214A7">
        <w:rPr>
          <w:rFonts w:ascii="Arial" w:hAnsi="Arial" w:cs="Arial"/>
          <w:sz w:val="24"/>
          <w:szCs w:val="24"/>
        </w:rPr>
        <w:t>State Department v</w:t>
      </w:r>
      <w:r w:rsidR="00B62CAC">
        <w:rPr>
          <w:rFonts w:ascii="Arial" w:hAnsi="Arial" w:cs="Arial"/>
          <w:sz w:val="24"/>
          <w:szCs w:val="24"/>
        </w:rPr>
        <w:t xml:space="preserve">isa </w:t>
      </w:r>
      <w:r w:rsidR="00A214A7">
        <w:rPr>
          <w:rFonts w:ascii="Arial" w:hAnsi="Arial" w:cs="Arial"/>
          <w:sz w:val="24"/>
          <w:szCs w:val="24"/>
        </w:rPr>
        <w:t>a</w:t>
      </w:r>
      <w:r w:rsidR="00B62CAC">
        <w:rPr>
          <w:rFonts w:ascii="Arial" w:hAnsi="Arial" w:cs="Arial"/>
          <w:sz w:val="24"/>
          <w:szCs w:val="24"/>
        </w:rPr>
        <w:t>pplication.</w:t>
      </w:r>
      <w:r w:rsidR="003477AC">
        <w:rPr>
          <w:rFonts w:ascii="Arial" w:hAnsi="Arial" w:cs="Arial"/>
          <w:sz w:val="24"/>
          <w:szCs w:val="24"/>
        </w:rPr>
        <w:t xml:space="preserve"> These forms are not included</w:t>
      </w:r>
      <w:r w:rsidR="00B62CAC">
        <w:rPr>
          <w:rFonts w:ascii="Arial" w:hAnsi="Arial" w:cs="Arial"/>
          <w:sz w:val="24"/>
          <w:szCs w:val="24"/>
        </w:rPr>
        <w:t xml:space="preserve"> </w:t>
      </w:r>
      <w:r w:rsidR="003477AC">
        <w:rPr>
          <w:rFonts w:ascii="Arial" w:hAnsi="Arial" w:cs="Arial"/>
          <w:sz w:val="24"/>
          <w:szCs w:val="24"/>
        </w:rPr>
        <w:t>in 1651-0111 and are beyond the scope of this collection.</w:t>
      </w:r>
      <w:r w:rsidR="00B62CAC">
        <w:rPr>
          <w:rFonts w:ascii="Arial" w:hAnsi="Arial" w:cs="Arial"/>
          <w:sz w:val="24"/>
          <w:szCs w:val="24"/>
        </w:rPr>
        <w:t xml:space="preserve"> </w:t>
      </w:r>
    </w:p>
    <w:p w:rsidR="003477AC" w:rsidRDefault="003477AC" w:rsidP="006E6019">
      <w:pPr>
        <w:autoSpaceDE w:val="0"/>
        <w:autoSpaceDN w:val="0"/>
        <w:adjustRightInd w:val="0"/>
        <w:ind w:left="720"/>
        <w:rPr>
          <w:rFonts w:ascii="Arial" w:hAnsi="Arial" w:cs="Arial"/>
          <w:sz w:val="24"/>
          <w:szCs w:val="24"/>
        </w:rPr>
      </w:pPr>
    </w:p>
    <w:p w:rsidR="006E6019" w:rsidRPr="006E6019" w:rsidRDefault="006E6019" w:rsidP="006E6019">
      <w:pPr>
        <w:autoSpaceDE w:val="0"/>
        <w:autoSpaceDN w:val="0"/>
        <w:adjustRightInd w:val="0"/>
        <w:ind w:left="720"/>
        <w:rPr>
          <w:rFonts w:ascii="Arial" w:hAnsi="Arial" w:cs="Arial"/>
          <w:sz w:val="24"/>
          <w:szCs w:val="24"/>
        </w:rPr>
      </w:pPr>
      <w:r w:rsidRPr="006E6019">
        <w:rPr>
          <w:rFonts w:ascii="Arial" w:hAnsi="Arial" w:cs="Arial"/>
          <w:sz w:val="24"/>
          <w:szCs w:val="24"/>
        </w:rPr>
        <w:t>The information submitted on visa applications is used by the U.S. Department of State to determine eligibility for nonimmigrant visas</w:t>
      </w:r>
      <w:r w:rsidR="00745F51">
        <w:rPr>
          <w:rFonts w:ascii="Arial" w:hAnsi="Arial" w:cs="Arial"/>
          <w:sz w:val="24"/>
          <w:szCs w:val="24"/>
        </w:rPr>
        <w:t xml:space="preserve">. It </w:t>
      </w:r>
      <w:r w:rsidRPr="006E6019">
        <w:rPr>
          <w:rFonts w:ascii="Arial" w:hAnsi="Arial" w:cs="Arial"/>
          <w:sz w:val="24"/>
          <w:szCs w:val="24"/>
        </w:rPr>
        <w:t xml:space="preserve">is not related to passenger information, and by law, is not used to determine admissibility under U.S. Immigration law.    </w:t>
      </w:r>
    </w:p>
    <w:p w:rsidR="006E6019" w:rsidRPr="006E6019" w:rsidRDefault="006E6019" w:rsidP="006E6019">
      <w:pPr>
        <w:autoSpaceDE w:val="0"/>
        <w:autoSpaceDN w:val="0"/>
        <w:adjustRightInd w:val="0"/>
        <w:rPr>
          <w:rFonts w:ascii="Arial" w:hAnsi="Arial" w:cs="Arial"/>
          <w:sz w:val="24"/>
          <w:szCs w:val="24"/>
        </w:rPr>
      </w:pPr>
    </w:p>
    <w:p w:rsidR="006E6019" w:rsidRPr="006E6019" w:rsidRDefault="00340530" w:rsidP="006E6019">
      <w:pPr>
        <w:autoSpaceDE w:val="0"/>
        <w:autoSpaceDN w:val="0"/>
        <w:adjustRightInd w:val="0"/>
        <w:ind w:left="720"/>
        <w:rPr>
          <w:rFonts w:ascii="Arial" w:hAnsi="Arial" w:cs="Arial"/>
          <w:sz w:val="24"/>
          <w:szCs w:val="24"/>
        </w:rPr>
      </w:pPr>
      <w:r>
        <w:rPr>
          <w:rFonts w:ascii="Arial" w:hAnsi="Arial" w:cs="Arial"/>
          <w:sz w:val="24"/>
          <w:szCs w:val="24"/>
        </w:rPr>
        <w:t>C</w:t>
      </w:r>
      <w:r w:rsidR="003477AC">
        <w:rPr>
          <w:rFonts w:ascii="Arial" w:hAnsi="Arial" w:cs="Arial"/>
          <w:sz w:val="24"/>
          <w:szCs w:val="24"/>
        </w:rPr>
        <w:t xml:space="preserve">omplete </w:t>
      </w:r>
      <w:r w:rsidR="00745F51">
        <w:rPr>
          <w:rFonts w:ascii="Arial" w:hAnsi="Arial" w:cs="Arial"/>
          <w:sz w:val="24"/>
          <w:szCs w:val="24"/>
        </w:rPr>
        <w:t>discontinuance of the f</w:t>
      </w:r>
      <w:r w:rsidR="006E6019" w:rsidRPr="006E6019">
        <w:rPr>
          <w:rFonts w:ascii="Arial" w:hAnsi="Arial" w:cs="Arial"/>
          <w:sz w:val="24"/>
          <w:szCs w:val="24"/>
        </w:rPr>
        <w:t xml:space="preserve">orms is not possible without consideration of the multiple stakeholders that use the </w:t>
      </w:r>
      <w:r w:rsidR="007C1A95">
        <w:rPr>
          <w:rFonts w:ascii="Arial" w:hAnsi="Arial" w:cs="Arial"/>
          <w:sz w:val="24"/>
          <w:szCs w:val="24"/>
        </w:rPr>
        <w:t>f</w:t>
      </w:r>
      <w:r w:rsidR="006E6019" w:rsidRPr="006E6019">
        <w:rPr>
          <w:rFonts w:ascii="Arial" w:hAnsi="Arial" w:cs="Arial"/>
          <w:sz w:val="24"/>
          <w:szCs w:val="24"/>
        </w:rPr>
        <w:t>orm data for various purposes</w:t>
      </w:r>
      <w:r>
        <w:rPr>
          <w:rFonts w:ascii="Arial" w:hAnsi="Arial" w:cs="Arial"/>
          <w:sz w:val="24"/>
          <w:szCs w:val="24"/>
        </w:rPr>
        <w:t xml:space="preserve"> and the travel environments in which the forms are used</w:t>
      </w:r>
      <w:r w:rsidR="006E6019" w:rsidRPr="006E6019">
        <w:rPr>
          <w:rFonts w:ascii="Arial" w:hAnsi="Arial" w:cs="Arial"/>
          <w:sz w:val="24"/>
          <w:szCs w:val="24"/>
        </w:rPr>
        <w:t xml:space="preserve">.  </w:t>
      </w:r>
    </w:p>
    <w:p w:rsidR="006E6019" w:rsidRPr="006E6019" w:rsidRDefault="006E6019" w:rsidP="006E6019">
      <w:pPr>
        <w:autoSpaceDE w:val="0"/>
        <w:autoSpaceDN w:val="0"/>
        <w:adjustRightInd w:val="0"/>
        <w:rPr>
          <w:rFonts w:ascii="Arial" w:hAnsi="Arial" w:cs="Arial"/>
          <w:sz w:val="24"/>
          <w:szCs w:val="24"/>
        </w:rPr>
      </w:pPr>
      <w:r w:rsidRPr="006E6019">
        <w:rPr>
          <w:rFonts w:ascii="Arial" w:hAnsi="Arial" w:cs="Arial"/>
          <w:sz w:val="24"/>
          <w:szCs w:val="24"/>
        </w:rPr>
        <w:tab/>
      </w:r>
    </w:p>
    <w:p w:rsidR="006E6019" w:rsidRDefault="006E6019" w:rsidP="006E6019">
      <w:pPr>
        <w:autoSpaceDE w:val="0"/>
        <w:autoSpaceDN w:val="0"/>
        <w:adjustRightInd w:val="0"/>
        <w:ind w:left="720"/>
        <w:rPr>
          <w:rFonts w:ascii="Arial" w:hAnsi="Arial" w:cs="Arial"/>
          <w:sz w:val="24"/>
          <w:szCs w:val="24"/>
        </w:rPr>
      </w:pPr>
      <w:r w:rsidRPr="006E6019">
        <w:rPr>
          <w:rFonts w:ascii="Arial" w:hAnsi="Arial" w:cs="Arial"/>
          <w:sz w:val="24"/>
          <w:szCs w:val="24"/>
        </w:rPr>
        <w:t>CBP agrees that the manual collection of these</w:t>
      </w:r>
      <w:r>
        <w:rPr>
          <w:rFonts w:ascii="Arial" w:hAnsi="Arial" w:cs="Arial"/>
          <w:sz w:val="24"/>
          <w:szCs w:val="24"/>
        </w:rPr>
        <w:t xml:space="preserve"> forms is labor intensive, subject to delays, and the </w:t>
      </w:r>
      <w:r w:rsidRPr="006E6019">
        <w:rPr>
          <w:rFonts w:ascii="Arial" w:hAnsi="Arial" w:cs="Arial"/>
          <w:sz w:val="24"/>
          <w:szCs w:val="24"/>
        </w:rPr>
        <w:t>information is difficult to searc</w:t>
      </w:r>
      <w:r w:rsidR="003477AC">
        <w:rPr>
          <w:rFonts w:ascii="Arial" w:hAnsi="Arial" w:cs="Arial"/>
          <w:sz w:val="24"/>
          <w:szCs w:val="24"/>
        </w:rPr>
        <w:t>h, which is why CBP has largely eliminated the paper I-94W (with some exceptions described elsewhere in this collection).</w:t>
      </w:r>
      <w:r w:rsidR="00927415" w:rsidRPr="00927415">
        <w:rPr>
          <w:rFonts w:ascii="Arial" w:hAnsi="Arial" w:cs="Arial"/>
          <w:sz w:val="24"/>
          <w:szCs w:val="24"/>
        </w:rPr>
        <w:t xml:space="preserve">     </w:t>
      </w:r>
    </w:p>
    <w:p w:rsidR="00CB25FE" w:rsidRDefault="00CB25FE" w:rsidP="006E6019">
      <w:pPr>
        <w:autoSpaceDE w:val="0"/>
        <w:autoSpaceDN w:val="0"/>
        <w:adjustRightInd w:val="0"/>
        <w:ind w:left="720"/>
        <w:rPr>
          <w:rFonts w:ascii="Arial" w:hAnsi="Arial" w:cs="Arial"/>
          <w:sz w:val="24"/>
          <w:szCs w:val="24"/>
        </w:rPr>
      </w:pPr>
    </w:p>
    <w:p w:rsidR="00CB25FE" w:rsidRPr="00927415" w:rsidRDefault="00CB25FE" w:rsidP="006E6019">
      <w:pPr>
        <w:autoSpaceDE w:val="0"/>
        <w:autoSpaceDN w:val="0"/>
        <w:adjustRightInd w:val="0"/>
        <w:ind w:left="720"/>
        <w:rPr>
          <w:rFonts w:ascii="Arial" w:hAnsi="Arial" w:cs="Arial"/>
          <w:sz w:val="24"/>
          <w:szCs w:val="24"/>
        </w:rPr>
      </w:pPr>
      <w:r>
        <w:rPr>
          <w:rFonts w:ascii="Arial" w:hAnsi="Arial" w:cs="Arial"/>
          <w:sz w:val="24"/>
          <w:szCs w:val="24"/>
        </w:rPr>
        <w:t>With respect to the issue of the burden on the airlines that was raised by UA, CBP is receptive to considering a change to the burden for this ICR, however, UA did not present any specific data or evidence of what the burden should be changed to.</w:t>
      </w:r>
    </w:p>
    <w:p w:rsidR="006E6019" w:rsidRPr="00954662" w:rsidRDefault="006E6019" w:rsidP="00BA3074">
      <w:pPr>
        <w:autoSpaceDE w:val="0"/>
        <w:autoSpaceDN w:val="0"/>
        <w:adjustRightInd w:val="0"/>
        <w:rPr>
          <w:rFonts w:ascii="Arial" w:hAnsi="Arial" w:cs="Arial"/>
        </w:rPr>
      </w:pPr>
    </w:p>
    <w:p w:rsidR="003C627E" w:rsidRPr="003C627E" w:rsidRDefault="003C627E" w:rsidP="003477AC">
      <w:pPr>
        <w:ind w:left="720" w:hanging="720"/>
        <w:rPr>
          <w:rFonts w:ascii="Arial" w:hAnsi="Arial" w:cs="Arial"/>
          <w:b/>
          <w:bCs/>
          <w:sz w:val="24"/>
          <w:szCs w:val="24"/>
        </w:rPr>
      </w:pPr>
      <w:r w:rsidRPr="003C627E">
        <w:rPr>
          <w:rFonts w:ascii="Arial" w:hAnsi="Arial" w:cs="Arial"/>
          <w:b/>
          <w:bCs/>
          <w:sz w:val="24"/>
          <w:szCs w:val="24"/>
        </w:rPr>
        <w:t>9.</w:t>
      </w:r>
      <w:r w:rsidRPr="003C627E">
        <w:rPr>
          <w:rFonts w:ascii="Arial" w:hAnsi="Arial" w:cs="Arial"/>
          <w:sz w:val="24"/>
          <w:szCs w:val="24"/>
        </w:rPr>
        <w:tab/>
      </w:r>
      <w:r w:rsidRPr="003C627E">
        <w:rPr>
          <w:rFonts w:ascii="Arial" w:hAnsi="Arial" w:cs="Arial"/>
          <w:b/>
          <w:bCs/>
          <w:sz w:val="24"/>
          <w:szCs w:val="24"/>
        </w:rPr>
        <w:t>Explain any decision to provide any payment or gift to respondents, other than remuneration of contractors or grantees.</w:t>
      </w:r>
    </w:p>
    <w:p w:rsidR="003C627E" w:rsidRPr="003C627E" w:rsidRDefault="003C627E" w:rsidP="003C627E">
      <w:pPr>
        <w:tabs>
          <w:tab w:val="left" w:pos="-1440"/>
        </w:tabs>
        <w:ind w:left="720" w:hanging="720"/>
        <w:rPr>
          <w:rFonts w:ascii="Arial" w:hAnsi="Arial" w:cs="Arial"/>
          <w:sz w:val="24"/>
          <w:szCs w:val="24"/>
        </w:rPr>
      </w:pPr>
    </w:p>
    <w:p w:rsidR="003C627E" w:rsidRPr="003C627E" w:rsidRDefault="003C627E" w:rsidP="003C627E">
      <w:pPr>
        <w:tabs>
          <w:tab w:val="left" w:pos="-1440"/>
        </w:tabs>
        <w:ind w:left="720" w:hanging="720"/>
        <w:rPr>
          <w:rFonts w:ascii="Arial" w:hAnsi="Arial" w:cs="Arial"/>
          <w:sz w:val="24"/>
          <w:szCs w:val="24"/>
        </w:rPr>
      </w:pPr>
      <w:r w:rsidRPr="003C627E">
        <w:rPr>
          <w:rFonts w:ascii="Arial" w:hAnsi="Arial" w:cs="Arial"/>
          <w:sz w:val="24"/>
          <w:szCs w:val="24"/>
        </w:rPr>
        <w:tab/>
        <w:t>There is no offer of a monetary or material value for this information collection.</w:t>
      </w:r>
    </w:p>
    <w:p w:rsidR="003C627E" w:rsidRPr="003C627E" w:rsidRDefault="003C627E" w:rsidP="003C627E">
      <w:pPr>
        <w:ind w:left="720" w:hanging="720"/>
        <w:rPr>
          <w:rFonts w:ascii="Arial" w:hAnsi="Arial" w:cs="Arial"/>
          <w:b/>
          <w:bCs/>
          <w:sz w:val="24"/>
          <w:szCs w:val="24"/>
        </w:rPr>
      </w:pPr>
    </w:p>
    <w:p w:rsidR="003C627E" w:rsidRPr="003C627E" w:rsidRDefault="003C627E" w:rsidP="003C627E">
      <w:pPr>
        <w:ind w:left="720" w:hanging="720"/>
        <w:rPr>
          <w:rFonts w:ascii="Arial" w:hAnsi="Arial" w:cs="Arial"/>
          <w:b/>
          <w:bCs/>
          <w:sz w:val="24"/>
          <w:szCs w:val="24"/>
        </w:rPr>
      </w:pPr>
      <w:r w:rsidRPr="003C627E">
        <w:rPr>
          <w:rFonts w:ascii="Arial" w:hAnsi="Arial" w:cs="Arial"/>
          <w:b/>
          <w:bCs/>
          <w:sz w:val="24"/>
          <w:szCs w:val="24"/>
        </w:rPr>
        <w:t>10.</w:t>
      </w:r>
      <w:r w:rsidRPr="003C627E">
        <w:rPr>
          <w:rFonts w:ascii="Arial" w:hAnsi="Arial" w:cs="Arial"/>
          <w:sz w:val="24"/>
          <w:szCs w:val="24"/>
        </w:rPr>
        <w:tab/>
      </w:r>
      <w:r w:rsidRPr="003C627E">
        <w:rPr>
          <w:rFonts w:ascii="Arial" w:hAnsi="Arial" w:cs="Arial"/>
          <w:b/>
          <w:bCs/>
          <w:sz w:val="24"/>
          <w:szCs w:val="24"/>
        </w:rPr>
        <w:t>Describe any assurance of confidentiality provided to respondents and the basis for the assurance in statute, regulation, or agency policy.</w:t>
      </w:r>
    </w:p>
    <w:p w:rsidR="003C627E" w:rsidRPr="003C627E" w:rsidRDefault="003C627E" w:rsidP="003C627E">
      <w:pPr>
        <w:tabs>
          <w:tab w:val="left" w:pos="-1440"/>
        </w:tabs>
        <w:ind w:left="720" w:hanging="720"/>
        <w:rPr>
          <w:rFonts w:ascii="Arial" w:hAnsi="Arial" w:cs="Arial"/>
          <w:sz w:val="24"/>
          <w:szCs w:val="24"/>
        </w:rPr>
      </w:pPr>
      <w:r w:rsidRPr="003C627E">
        <w:rPr>
          <w:rFonts w:ascii="Arial" w:hAnsi="Arial" w:cs="Arial"/>
          <w:sz w:val="24"/>
          <w:szCs w:val="24"/>
        </w:rPr>
        <w:tab/>
      </w:r>
    </w:p>
    <w:p w:rsidR="00AB33B6" w:rsidRPr="00C31E16" w:rsidRDefault="00AB33B6" w:rsidP="003477AC">
      <w:pPr>
        <w:ind w:left="720"/>
        <w:rPr>
          <w:rFonts w:ascii="Arial" w:hAnsi="Arial" w:cs="Arial"/>
          <w:sz w:val="24"/>
          <w:szCs w:val="24"/>
        </w:rPr>
      </w:pPr>
      <w:r>
        <w:rPr>
          <w:rFonts w:ascii="Arial" w:hAnsi="Arial" w:cs="Arial"/>
          <w:sz w:val="24"/>
          <w:szCs w:val="24"/>
        </w:rPr>
        <w:t>D</w:t>
      </w:r>
      <w:r w:rsidRPr="00C31E16">
        <w:rPr>
          <w:rFonts w:ascii="Arial" w:hAnsi="Arial" w:cs="Arial"/>
          <w:sz w:val="24"/>
          <w:szCs w:val="24"/>
        </w:rPr>
        <w:t xml:space="preserve">HS advises preparers of Forms I-94 and I-94W and applicants who interact with ESTA for authorization to travel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that the data entered on the forms and </w:t>
      </w:r>
      <w:r w:rsidR="009806A8">
        <w:rPr>
          <w:rFonts w:ascii="Arial" w:hAnsi="Arial" w:cs="Arial"/>
          <w:sz w:val="24"/>
          <w:szCs w:val="24"/>
        </w:rPr>
        <w:t xml:space="preserve">through the internet </w:t>
      </w:r>
      <w:r w:rsidRPr="00C31E16">
        <w:rPr>
          <w:rFonts w:ascii="Arial" w:hAnsi="Arial" w:cs="Arial"/>
          <w:sz w:val="24"/>
          <w:szCs w:val="24"/>
        </w:rPr>
        <w:t xml:space="preserve">is subject to the protection afforded by the United States Privacy Act. Further, DHS advises that the information entered is used for </w:t>
      </w:r>
      <w:smartTag w:uri="urn:schemas-microsoft-com:office:smarttags" w:element="country-region">
        <w:smartTag w:uri="urn:schemas-microsoft-com:office:smarttags" w:element="place">
          <w:r w:rsidRPr="00C31E16">
            <w:rPr>
              <w:rFonts w:ascii="Arial" w:hAnsi="Arial" w:cs="Arial"/>
              <w:sz w:val="24"/>
              <w:szCs w:val="24"/>
            </w:rPr>
            <w:t>U.S.</w:t>
          </w:r>
        </w:smartTag>
      </w:smartTag>
      <w:r w:rsidRPr="00C31E16">
        <w:rPr>
          <w:rFonts w:ascii="Arial" w:hAnsi="Arial" w:cs="Arial"/>
          <w:sz w:val="24"/>
          <w:szCs w:val="24"/>
        </w:rPr>
        <w:t xml:space="preserve"> </w:t>
      </w:r>
      <w:r w:rsidR="009806A8">
        <w:rPr>
          <w:rFonts w:ascii="Arial" w:hAnsi="Arial" w:cs="Arial"/>
          <w:sz w:val="24"/>
          <w:szCs w:val="24"/>
        </w:rPr>
        <w:t>g</w:t>
      </w:r>
      <w:r w:rsidRPr="00C31E16">
        <w:rPr>
          <w:rFonts w:ascii="Arial" w:hAnsi="Arial" w:cs="Arial"/>
          <w:sz w:val="24"/>
          <w:szCs w:val="24"/>
        </w:rPr>
        <w:t>overnment purposes and official use only</w:t>
      </w:r>
      <w:r w:rsidR="00380C82">
        <w:rPr>
          <w:rFonts w:ascii="Arial" w:hAnsi="Arial" w:cs="Arial"/>
          <w:sz w:val="24"/>
          <w:szCs w:val="24"/>
        </w:rPr>
        <w:t>.</w:t>
      </w:r>
    </w:p>
    <w:p w:rsidR="003C627E" w:rsidRPr="003C627E" w:rsidRDefault="003C627E" w:rsidP="003C627E">
      <w:pPr>
        <w:ind w:left="720" w:hanging="720"/>
        <w:rPr>
          <w:rFonts w:ascii="Arial" w:hAnsi="Arial" w:cs="Arial"/>
          <w:b/>
          <w:bCs/>
          <w:sz w:val="24"/>
          <w:szCs w:val="24"/>
        </w:rPr>
      </w:pP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p>
    <w:p w:rsidR="003C627E" w:rsidRPr="003C627E" w:rsidRDefault="003C627E" w:rsidP="003C627E">
      <w:pPr>
        <w:ind w:left="720" w:hanging="720"/>
        <w:rPr>
          <w:rFonts w:ascii="Arial" w:hAnsi="Arial" w:cs="Arial"/>
          <w:b/>
          <w:bCs/>
          <w:sz w:val="24"/>
          <w:szCs w:val="24"/>
        </w:rPr>
      </w:pPr>
      <w:r w:rsidRPr="003C627E">
        <w:rPr>
          <w:rFonts w:ascii="Arial" w:hAnsi="Arial" w:cs="Arial"/>
          <w:b/>
          <w:bCs/>
          <w:sz w:val="24"/>
          <w:szCs w:val="24"/>
        </w:rPr>
        <w:t>11.</w:t>
      </w:r>
      <w:r w:rsidRPr="003C627E">
        <w:rPr>
          <w:rFonts w:ascii="Arial" w:hAnsi="Arial" w:cs="Arial"/>
          <w:sz w:val="24"/>
          <w:szCs w:val="24"/>
        </w:rPr>
        <w:tab/>
      </w:r>
      <w:r w:rsidRPr="003C627E">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7A14" w:rsidRDefault="003C627E" w:rsidP="00F872B9">
      <w:pPr>
        <w:tabs>
          <w:tab w:val="left" w:pos="-1440"/>
        </w:tabs>
        <w:ind w:left="720" w:hanging="720"/>
        <w:rPr>
          <w:rFonts w:ascii="Arial" w:hAnsi="Arial" w:cs="Arial"/>
          <w:sz w:val="24"/>
          <w:szCs w:val="24"/>
        </w:rPr>
      </w:pPr>
      <w:r w:rsidRPr="003C627E">
        <w:rPr>
          <w:rFonts w:ascii="Arial" w:hAnsi="Arial" w:cs="Arial"/>
          <w:sz w:val="24"/>
          <w:szCs w:val="24"/>
        </w:rPr>
        <w:tab/>
      </w:r>
    </w:p>
    <w:p w:rsidR="006F0A47" w:rsidRPr="00C31E16" w:rsidRDefault="003477AC" w:rsidP="003477AC">
      <w:pPr>
        <w:ind w:left="720"/>
        <w:rPr>
          <w:rFonts w:ascii="Arial" w:hAnsi="Arial" w:cs="Arial"/>
          <w:sz w:val="24"/>
          <w:szCs w:val="24"/>
        </w:rPr>
      </w:pPr>
      <w:r>
        <w:rPr>
          <w:rFonts w:ascii="Arial" w:hAnsi="Arial" w:cs="Arial"/>
          <w:sz w:val="24"/>
          <w:szCs w:val="24"/>
        </w:rPr>
        <w:t xml:space="preserve">The forms and </w:t>
      </w:r>
      <w:r w:rsidR="006F0A47" w:rsidRPr="00C31E16">
        <w:rPr>
          <w:rFonts w:ascii="Arial" w:hAnsi="Arial" w:cs="Arial"/>
          <w:sz w:val="24"/>
          <w:szCs w:val="24"/>
        </w:rPr>
        <w:t xml:space="preserve">the </w:t>
      </w:r>
      <w:r>
        <w:rPr>
          <w:rFonts w:ascii="Arial" w:hAnsi="Arial" w:cs="Arial"/>
          <w:sz w:val="24"/>
          <w:szCs w:val="24"/>
        </w:rPr>
        <w:t xml:space="preserve">electronic </w:t>
      </w:r>
      <w:r w:rsidR="006F0A47" w:rsidRPr="00C31E16">
        <w:rPr>
          <w:rFonts w:ascii="Arial" w:hAnsi="Arial" w:cs="Arial"/>
          <w:sz w:val="24"/>
          <w:szCs w:val="24"/>
        </w:rPr>
        <w:t xml:space="preserve">application for authorization to travel to the </w:t>
      </w:r>
      <w:smartTag w:uri="urn:schemas-microsoft-com:office:smarttags" w:element="country-region">
        <w:smartTag w:uri="urn:schemas-microsoft-com:office:smarttags" w:element="place">
          <w:r w:rsidR="006F0A47" w:rsidRPr="00C31E16">
            <w:rPr>
              <w:rFonts w:ascii="Arial" w:hAnsi="Arial" w:cs="Arial"/>
              <w:sz w:val="24"/>
              <w:szCs w:val="24"/>
            </w:rPr>
            <w:t>United States</w:t>
          </w:r>
        </w:smartTag>
      </w:smartTag>
      <w:r w:rsidR="006F0A47" w:rsidRPr="00C31E16">
        <w:rPr>
          <w:rFonts w:ascii="Arial" w:hAnsi="Arial" w:cs="Arial"/>
          <w:sz w:val="24"/>
          <w:szCs w:val="24"/>
        </w:rPr>
        <w:t xml:space="preserve"> prepared by the VWP travele</w:t>
      </w:r>
      <w:r>
        <w:rPr>
          <w:rFonts w:ascii="Arial" w:hAnsi="Arial" w:cs="Arial"/>
          <w:sz w:val="24"/>
          <w:szCs w:val="24"/>
        </w:rPr>
        <w:t xml:space="preserve">r contain “sensitive” questions and </w:t>
      </w:r>
      <w:r w:rsidR="006F0A47" w:rsidRPr="00C31E16">
        <w:rPr>
          <w:rFonts w:ascii="Arial" w:hAnsi="Arial" w:cs="Arial"/>
          <w:sz w:val="24"/>
          <w:szCs w:val="24"/>
        </w:rPr>
        <w:t>information that may be commonly considered private. The information provided by the traveler is used by DHS to determine risk to national security and</w:t>
      </w:r>
      <w:r w:rsidR="009806A8">
        <w:rPr>
          <w:rFonts w:ascii="Arial" w:hAnsi="Arial" w:cs="Arial"/>
          <w:sz w:val="24"/>
          <w:szCs w:val="24"/>
        </w:rPr>
        <w:t>,</w:t>
      </w:r>
      <w:r w:rsidR="006F0A47" w:rsidRPr="00C31E16">
        <w:rPr>
          <w:rFonts w:ascii="Arial" w:hAnsi="Arial" w:cs="Arial"/>
          <w:sz w:val="24"/>
          <w:szCs w:val="24"/>
        </w:rPr>
        <w:t xml:space="preserve"> therefore</w:t>
      </w:r>
      <w:r w:rsidR="009806A8">
        <w:rPr>
          <w:rFonts w:ascii="Arial" w:hAnsi="Arial" w:cs="Arial"/>
          <w:sz w:val="24"/>
          <w:szCs w:val="24"/>
        </w:rPr>
        <w:t>,</w:t>
      </w:r>
      <w:r w:rsidR="006F0A47" w:rsidRPr="00C31E16">
        <w:rPr>
          <w:rFonts w:ascii="Arial" w:hAnsi="Arial" w:cs="Arial"/>
          <w:sz w:val="24"/>
          <w:szCs w:val="24"/>
        </w:rPr>
        <w:t xml:space="preserve"> admissibility. The traveler is advised that the information </w:t>
      </w:r>
      <w:r w:rsidR="009806A8">
        <w:rPr>
          <w:rFonts w:ascii="Arial" w:hAnsi="Arial" w:cs="Arial"/>
          <w:sz w:val="24"/>
          <w:szCs w:val="24"/>
        </w:rPr>
        <w:t xml:space="preserve">is </w:t>
      </w:r>
      <w:r w:rsidR="006F0A47" w:rsidRPr="00C31E16">
        <w:rPr>
          <w:rFonts w:ascii="Arial" w:hAnsi="Arial" w:cs="Arial"/>
          <w:sz w:val="24"/>
          <w:szCs w:val="24"/>
        </w:rPr>
        <w:t>secured and subject to the Privacy Act regarding limitations on distribution is used for official U.S. Government purposes only. The traveler is advised by information provided on the Form</w:t>
      </w:r>
      <w:r>
        <w:rPr>
          <w:rFonts w:ascii="Arial" w:hAnsi="Arial" w:cs="Arial"/>
          <w:sz w:val="24"/>
          <w:szCs w:val="24"/>
        </w:rPr>
        <w:t>s</w:t>
      </w:r>
      <w:r w:rsidR="006F0A47" w:rsidRPr="00C31E16">
        <w:rPr>
          <w:rFonts w:ascii="Arial" w:hAnsi="Arial" w:cs="Arial"/>
          <w:sz w:val="24"/>
          <w:szCs w:val="24"/>
        </w:rPr>
        <w:t xml:space="preserve"> and </w:t>
      </w:r>
      <w:r>
        <w:rPr>
          <w:rFonts w:ascii="Arial" w:hAnsi="Arial" w:cs="Arial"/>
          <w:sz w:val="24"/>
          <w:szCs w:val="24"/>
        </w:rPr>
        <w:t xml:space="preserve">in ESTA </w:t>
      </w:r>
      <w:r w:rsidR="006F0A47" w:rsidRPr="00C31E16">
        <w:rPr>
          <w:rFonts w:ascii="Arial" w:hAnsi="Arial" w:cs="Arial"/>
          <w:sz w:val="24"/>
          <w:szCs w:val="24"/>
        </w:rPr>
        <w:t>that his consent to this official use of the information is indicated by his signature or otherwise indicated by his acknowledgement as provided in the electronic</w:t>
      </w:r>
      <w:r w:rsidR="009806A8">
        <w:rPr>
          <w:rFonts w:ascii="Arial" w:hAnsi="Arial" w:cs="Arial"/>
          <w:sz w:val="24"/>
          <w:szCs w:val="24"/>
        </w:rPr>
        <w:t xml:space="preserve"> </w:t>
      </w:r>
      <w:r w:rsidR="006F0A47" w:rsidRPr="00C31E16">
        <w:rPr>
          <w:rFonts w:ascii="Arial" w:hAnsi="Arial" w:cs="Arial"/>
          <w:sz w:val="24"/>
          <w:szCs w:val="24"/>
        </w:rPr>
        <w:t xml:space="preserve">application prepared via ESTA. </w:t>
      </w:r>
    </w:p>
    <w:p w:rsidR="00CD616B" w:rsidRDefault="00CD616B" w:rsidP="003C627E">
      <w:pPr>
        <w:tabs>
          <w:tab w:val="left" w:pos="-1440"/>
        </w:tabs>
        <w:ind w:left="720" w:hanging="720"/>
        <w:rPr>
          <w:rFonts w:ascii="Arial" w:hAnsi="Arial" w:cs="Arial"/>
          <w:sz w:val="24"/>
          <w:szCs w:val="24"/>
        </w:rPr>
      </w:pPr>
    </w:p>
    <w:p w:rsidR="003A2D35" w:rsidRDefault="003A2D35" w:rsidP="003C627E">
      <w:pPr>
        <w:tabs>
          <w:tab w:val="left" w:pos="-1440"/>
        </w:tabs>
        <w:ind w:left="720" w:hanging="720"/>
        <w:rPr>
          <w:rFonts w:ascii="Arial" w:hAnsi="Arial" w:cs="Arial"/>
          <w:sz w:val="24"/>
          <w:szCs w:val="24"/>
        </w:rPr>
      </w:pPr>
    </w:p>
    <w:p w:rsidR="003C627E" w:rsidRDefault="003477AC" w:rsidP="003477AC">
      <w:pPr>
        <w:widowControl w:val="0"/>
        <w:numPr>
          <w:ilvl w:val="0"/>
          <w:numId w:val="11"/>
        </w:numPr>
        <w:tabs>
          <w:tab w:val="clear" w:pos="1080"/>
          <w:tab w:val="left" w:pos="-1440"/>
          <w:tab w:val="num" w:pos="720"/>
        </w:tabs>
        <w:ind w:left="720"/>
        <w:rPr>
          <w:rFonts w:ascii="Arial" w:hAnsi="Arial" w:cs="Arial"/>
          <w:sz w:val="24"/>
          <w:szCs w:val="24"/>
        </w:rPr>
      </w:pPr>
      <w:r>
        <w:rPr>
          <w:rFonts w:ascii="Arial" w:hAnsi="Arial" w:cs="Arial"/>
          <w:b/>
          <w:bCs/>
          <w:sz w:val="24"/>
          <w:szCs w:val="24"/>
        </w:rPr>
        <w:br w:type="page"/>
      </w:r>
      <w:r w:rsidR="003C627E" w:rsidRPr="003C627E">
        <w:rPr>
          <w:rFonts w:ascii="Arial" w:hAnsi="Arial" w:cs="Arial"/>
          <w:b/>
          <w:bCs/>
          <w:sz w:val="24"/>
          <w:szCs w:val="24"/>
        </w:rPr>
        <w:lastRenderedPageBreak/>
        <w:t>Provide estimates of the hour burden of the collection of information.</w:t>
      </w:r>
      <w:r w:rsidR="003C627E" w:rsidRPr="003C627E">
        <w:rPr>
          <w:rFonts w:ascii="Arial" w:hAnsi="Arial" w:cs="Arial"/>
          <w:sz w:val="24"/>
          <w:szCs w:val="24"/>
        </w:rPr>
        <w:tab/>
      </w:r>
    </w:p>
    <w:p w:rsidR="00CD616B" w:rsidRPr="003C627E" w:rsidRDefault="003477AC" w:rsidP="003C627E">
      <w:pPr>
        <w:tabs>
          <w:tab w:val="left" w:pos="-1440"/>
        </w:tabs>
        <w:ind w:left="720" w:hanging="720"/>
        <w:rPr>
          <w:rFonts w:ascii="Arial" w:hAnsi="Arial" w:cs="Arial"/>
          <w:b/>
          <w:bCs/>
          <w:sz w:val="24"/>
          <w:szCs w:val="24"/>
        </w:rPr>
      </w:pPr>
      <w:r w:rsidRPr="003477AC">
        <w:rPr>
          <w:rFonts w:ascii="Arial" w:hAnsi="Arial" w:cs="Arial"/>
          <w:b/>
          <w:bCs/>
          <w:sz w:val="24"/>
          <w:szCs w:val="24"/>
          <w:highlight w:val="magenta"/>
        </w:rPr>
        <w:t>NEW</w:t>
      </w:r>
      <w:r w:rsidR="003C627E" w:rsidRPr="003C627E">
        <w:rPr>
          <w:rFonts w:ascii="Arial" w:hAnsi="Arial" w:cs="Arial"/>
          <w:b/>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9"/>
        <w:gridCol w:w="1763"/>
        <w:gridCol w:w="1710"/>
        <w:gridCol w:w="1734"/>
        <w:gridCol w:w="1678"/>
      </w:tblGrid>
      <w:tr w:rsidR="00604315" w:rsidRPr="003477AC" w:rsidTr="004525C8">
        <w:tblPrEx>
          <w:tblCellMar>
            <w:top w:w="0" w:type="dxa"/>
            <w:bottom w:w="0" w:type="dxa"/>
          </w:tblCellMar>
        </w:tblPrEx>
        <w:tc>
          <w:tcPr>
            <w:tcW w:w="1739" w:type="dxa"/>
            <w:vAlign w:val="bottom"/>
          </w:tcPr>
          <w:p w:rsidR="00CD616B" w:rsidRPr="003477AC" w:rsidRDefault="00CD616B" w:rsidP="003477AC">
            <w:pPr>
              <w:jc w:val="center"/>
              <w:rPr>
                <w:rFonts w:ascii="Arial" w:hAnsi="Arial" w:cs="Arial"/>
                <w:b/>
                <w:bCs/>
              </w:rPr>
            </w:pPr>
          </w:p>
          <w:p w:rsidR="00CD616B" w:rsidRPr="003477AC" w:rsidRDefault="00CD616B" w:rsidP="003477AC">
            <w:pPr>
              <w:pStyle w:val="Heading6"/>
              <w:jc w:val="center"/>
              <w:rPr>
                <w:sz w:val="20"/>
              </w:rPr>
            </w:pPr>
            <w:r w:rsidRPr="003477AC">
              <w:rPr>
                <w:sz w:val="20"/>
              </w:rPr>
              <w:t>Form/Collection</w:t>
            </w:r>
          </w:p>
        </w:tc>
        <w:tc>
          <w:tcPr>
            <w:tcW w:w="1763" w:type="dxa"/>
            <w:vAlign w:val="bottom"/>
          </w:tcPr>
          <w:p w:rsidR="00CD616B" w:rsidRPr="003477AC" w:rsidRDefault="003477AC" w:rsidP="003477AC">
            <w:pPr>
              <w:jc w:val="center"/>
              <w:rPr>
                <w:rFonts w:ascii="Arial" w:hAnsi="Arial" w:cs="Arial"/>
                <w:b/>
                <w:bCs/>
              </w:rPr>
            </w:pPr>
            <w:r>
              <w:rPr>
                <w:rFonts w:ascii="Arial" w:hAnsi="Arial" w:cs="Arial"/>
                <w:b/>
                <w:bCs/>
              </w:rPr>
              <w:t>Number</w:t>
            </w:r>
            <w:r w:rsidR="00CD616B" w:rsidRPr="003477AC">
              <w:rPr>
                <w:rFonts w:ascii="Arial" w:hAnsi="Arial" w:cs="Arial"/>
                <w:b/>
                <w:bCs/>
              </w:rPr>
              <w:t xml:space="preserve"> of</w:t>
            </w:r>
          </w:p>
          <w:p w:rsidR="00CD616B" w:rsidRPr="003477AC" w:rsidRDefault="00CD616B" w:rsidP="003477AC">
            <w:pPr>
              <w:jc w:val="center"/>
              <w:rPr>
                <w:rFonts w:ascii="Arial" w:hAnsi="Arial" w:cs="Arial"/>
              </w:rPr>
            </w:pPr>
            <w:r w:rsidRPr="003477AC">
              <w:rPr>
                <w:rFonts w:ascii="Arial" w:hAnsi="Arial" w:cs="Arial"/>
                <w:b/>
                <w:bCs/>
              </w:rPr>
              <w:t>Respondents</w:t>
            </w:r>
          </w:p>
        </w:tc>
        <w:tc>
          <w:tcPr>
            <w:tcW w:w="1710" w:type="dxa"/>
            <w:vAlign w:val="bottom"/>
          </w:tcPr>
          <w:p w:rsidR="00CD616B" w:rsidRPr="003477AC" w:rsidRDefault="00CD616B" w:rsidP="003477AC">
            <w:pPr>
              <w:jc w:val="center"/>
              <w:rPr>
                <w:rFonts w:ascii="Arial" w:hAnsi="Arial" w:cs="Arial"/>
                <w:b/>
                <w:bCs/>
              </w:rPr>
            </w:pPr>
            <w:r w:rsidRPr="003477AC">
              <w:rPr>
                <w:rFonts w:ascii="Arial" w:hAnsi="Arial" w:cs="Arial"/>
                <w:b/>
                <w:bCs/>
              </w:rPr>
              <w:t>Total Annual</w:t>
            </w:r>
          </w:p>
          <w:p w:rsidR="00CD616B" w:rsidRPr="003477AC" w:rsidRDefault="00CD616B" w:rsidP="003477AC">
            <w:pPr>
              <w:jc w:val="center"/>
              <w:rPr>
                <w:rFonts w:ascii="Arial" w:hAnsi="Arial" w:cs="Arial"/>
              </w:rPr>
            </w:pPr>
            <w:r w:rsidRPr="003477AC">
              <w:rPr>
                <w:rFonts w:ascii="Arial" w:hAnsi="Arial" w:cs="Arial"/>
                <w:b/>
                <w:bCs/>
              </w:rPr>
              <w:t>Responses</w:t>
            </w:r>
          </w:p>
        </w:tc>
        <w:tc>
          <w:tcPr>
            <w:tcW w:w="1734" w:type="dxa"/>
            <w:vAlign w:val="bottom"/>
          </w:tcPr>
          <w:p w:rsidR="00CD616B" w:rsidRPr="003477AC" w:rsidRDefault="00CD616B" w:rsidP="003477AC">
            <w:pPr>
              <w:jc w:val="center"/>
              <w:rPr>
                <w:rFonts w:ascii="Arial" w:hAnsi="Arial" w:cs="Arial"/>
                <w:b/>
                <w:bCs/>
              </w:rPr>
            </w:pPr>
            <w:r w:rsidRPr="003477AC">
              <w:rPr>
                <w:rFonts w:ascii="Arial" w:hAnsi="Arial" w:cs="Arial"/>
                <w:b/>
                <w:bCs/>
              </w:rPr>
              <w:t>Time Per</w:t>
            </w:r>
          </w:p>
          <w:p w:rsidR="00CD616B" w:rsidRPr="003477AC" w:rsidRDefault="00CD616B" w:rsidP="003477AC">
            <w:pPr>
              <w:jc w:val="center"/>
              <w:rPr>
                <w:rFonts w:ascii="Arial" w:hAnsi="Arial" w:cs="Arial"/>
                <w:b/>
                <w:bCs/>
              </w:rPr>
            </w:pPr>
            <w:r w:rsidRPr="003477AC">
              <w:rPr>
                <w:rFonts w:ascii="Arial" w:hAnsi="Arial" w:cs="Arial"/>
                <w:b/>
                <w:bCs/>
              </w:rPr>
              <w:t>Respondent</w:t>
            </w:r>
          </w:p>
          <w:p w:rsidR="00AF328E" w:rsidRPr="003477AC" w:rsidRDefault="00AF328E" w:rsidP="003477AC">
            <w:pPr>
              <w:jc w:val="center"/>
              <w:rPr>
                <w:rFonts w:ascii="Arial" w:hAnsi="Arial" w:cs="Arial"/>
              </w:rPr>
            </w:pPr>
            <w:r w:rsidRPr="003477AC">
              <w:rPr>
                <w:rFonts w:ascii="Arial" w:hAnsi="Arial" w:cs="Arial"/>
                <w:b/>
                <w:bCs/>
              </w:rPr>
              <w:t>(in hours)</w:t>
            </w:r>
          </w:p>
        </w:tc>
        <w:tc>
          <w:tcPr>
            <w:tcW w:w="1678" w:type="dxa"/>
            <w:vAlign w:val="bottom"/>
          </w:tcPr>
          <w:p w:rsidR="00CD616B" w:rsidRPr="003477AC" w:rsidRDefault="00CD616B" w:rsidP="003477AC">
            <w:pPr>
              <w:jc w:val="center"/>
              <w:rPr>
                <w:rFonts w:ascii="Arial" w:hAnsi="Arial" w:cs="Arial"/>
                <w:b/>
                <w:bCs/>
              </w:rPr>
            </w:pPr>
            <w:r w:rsidRPr="003477AC">
              <w:rPr>
                <w:rFonts w:ascii="Arial" w:hAnsi="Arial" w:cs="Arial"/>
                <w:b/>
                <w:bCs/>
              </w:rPr>
              <w:t>Annual Reporting Burden</w:t>
            </w:r>
          </w:p>
        </w:tc>
      </w:tr>
      <w:tr w:rsidR="00604315" w:rsidRPr="003477AC" w:rsidTr="004525C8">
        <w:tblPrEx>
          <w:tblCellMar>
            <w:top w:w="0" w:type="dxa"/>
            <w:bottom w:w="0" w:type="dxa"/>
          </w:tblCellMar>
        </w:tblPrEx>
        <w:tc>
          <w:tcPr>
            <w:tcW w:w="1739" w:type="dxa"/>
          </w:tcPr>
          <w:p w:rsidR="00CD616B" w:rsidRPr="003477AC" w:rsidRDefault="00CD616B" w:rsidP="00DE176F">
            <w:pPr>
              <w:jc w:val="both"/>
              <w:rPr>
                <w:rFonts w:ascii="Arial" w:hAnsi="Arial" w:cs="Arial"/>
              </w:rPr>
            </w:pPr>
            <w:r w:rsidRPr="003477AC">
              <w:rPr>
                <w:rFonts w:ascii="Arial" w:hAnsi="Arial" w:cs="Arial"/>
              </w:rPr>
              <w:t>I-94</w:t>
            </w:r>
          </w:p>
        </w:tc>
        <w:tc>
          <w:tcPr>
            <w:tcW w:w="1763" w:type="dxa"/>
          </w:tcPr>
          <w:p w:rsidR="00CD616B" w:rsidRPr="003477AC" w:rsidRDefault="00CD616B" w:rsidP="00DE176F">
            <w:pPr>
              <w:jc w:val="right"/>
              <w:rPr>
                <w:rFonts w:ascii="Arial" w:hAnsi="Arial" w:cs="Arial"/>
              </w:rPr>
            </w:pPr>
            <w:r w:rsidRPr="003477AC">
              <w:rPr>
                <w:rFonts w:ascii="Arial" w:hAnsi="Arial" w:cs="Arial"/>
              </w:rPr>
              <w:t>1</w:t>
            </w:r>
            <w:r w:rsidR="00441A29" w:rsidRPr="003477AC">
              <w:rPr>
                <w:rFonts w:ascii="Arial" w:hAnsi="Arial" w:cs="Arial"/>
              </w:rPr>
              <w:t>4</w:t>
            </w:r>
            <w:r w:rsidRPr="003477AC">
              <w:rPr>
                <w:rFonts w:ascii="Arial" w:hAnsi="Arial" w:cs="Arial"/>
              </w:rPr>
              <w:t>,</w:t>
            </w:r>
            <w:r w:rsidR="00441A29" w:rsidRPr="003477AC">
              <w:rPr>
                <w:rFonts w:ascii="Arial" w:hAnsi="Arial" w:cs="Arial"/>
              </w:rPr>
              <w:t>000,000</w:t>
            </w:r>
          </w:p>
        </w:tc>
        <w:tc>
          <w:tcPr>
            <w:tcW w:w="1710" w:type="dxa"/>
          </w:tcPr>
          <w:p w:rsidR="00CD616B" w:rsidRPr="003477AC" w:rsidRDefault="00CD616B" w:rsidP="00DE176F">
            <w:pPr>
              <w:jc w:val="right"/>
              <w:rPr>
                <w:rFonts w:ascii="Arial" w:hAnsi="Arial" w:cs="Arial"/>
              </w:rPr>
            </w:pPr>
            <w:r w:rsidRPr="003477AC">
              <w:rPr>
                <w:rFonts w:ascii="Arial" w:hAnsi="Arial" w:cs="Arial"/>
              </w:rPr>
              <w:t>1</w:t>
            </w:r>
            <w:r w:rsidR="00441A29" w:rsidRPr="003477AC">
              <w:rPr>
                <w:rFonts w:ascii="Arial" w:hAnsi="Arial" w:cs="Arial"/>
              </w:rPr>
              <w:t>4</w:t>
            </w:r>
            <w:r w:rsidRPr="003477AC">
              <w:rPr>
                <w:rFonts w:ascii="Arial" w:hAnsi="Arial" w:cs="Arial"/>
              </w:rPr>
              <w:t>,</w:t>
            </w:r>
            <w:r w:rsidR="00441A29" w:rsidRPr="003477AC">
              <w:rPr>
                <w:rFonts w:ascii="Arial" w:hAnsi="Arial" w:cs="Arial"/>
              </w:rPr>
              <w:t>000</w:t>
            </w:r>
            <w:r w:rsidRPr="003477AC">
              <w:rPr>
                <w:rFonts w:ascii="Arial" w:hAnsi="Arial" w:cs="Arial"/>
              </w:rPr>
              <w:t>,</w:t>
            </w:r>
            <w:r w:rsidR="00441A29" w:rsidRPr="003477AC">
              <w:rPr>
                <w:rFonts w:ascii="Arial" w:hAnsi="Arial" w:cs="Arial"/>
              </w:rPr>
              <w:t>000</w:t>
            </w:r>
          </w:p>
        </w:tc>
        <w:tc>
          <w:tcPr>
            <w:tcW w:w="1734" w:type="dxa"/>
          </w:tcPr>
          <w:p w:rsidR="00CD616B" w:rsidRPr="003477AC" w:rsidRDefault="00CD616B" w:rsidP="00DE176F">
            <w:pPr>
              <w:jc w:val="right"/>
              <w:rPr>
                <w:rFonts w:ascii="Arial" w:hAnsi="Arial" w:cs="Arial"/>
              </w:rPr>
            </w:pPr>
            <w:r w:rsidRPr="003477AC">
              <w:rPr>
                <w:rFonts w:ascii="Arial" w:hAnsi="Arial" w:cs="Arial"/>
              </w:rPr>
              <w:t>.133</w:t>
            </w:r>
          </w:p>
          <w:p w:rsidR="00AF328E" w:rsidRPr="003477AC" w:rsidRDefault="00AF328E" w:rsidP="00DE176F">
            <w:pPr>
              <w:jc w:val="right"/>
              <w:rPr>
                <w:rFonts w:ascii="Arial" w:hAnsi="Arial" w:cs="Arial"/>
                <w:highlight w:val="yellow"/>
              </w:rPr>
            </w:pPr>
            <w:r w:rsidRPr="003477AC">
              <w:rPr>
                <w:rFonts w:ascii="Arial" w:hAnsi="Arial" w:cs="Arial"/>
              </w:rPr>
              <w:t>(8 mins)</w:t>
            </w:r>
          </w:p>
        </w:tc>
        <w:tc>
          <w:tcPr>
            <w:tcW w:w="1678" w:type="dxa"/>
          </w:tcPr>
          <w:p w:rsidR="00CD616B" w:rsidRPr="003477AC" w:rsidRDefault="00CD616B" w:rsidP="00DE176F">
            <w:pPr>
              <w:jc w:val="right"/>
              <w:rPr>
                <w:rFonts w:ascii="Arial" w:hAnsi="Arial" w:cs="Arial"/>
              </w:rPr>
            </w:pPr>
            <w:r w:rsidRPr="003477AC">
              <w:rPr>
                <w:rFonts w:ascii="Arial" w:hAnsi="Arial" w:cs="Arial"/>
              </w:rPr>
              <w:t>1,8</w:t>
            </w:r>
            <w:r w:rsidR="00441A29" w:rsidRPr="003477AC">
              <w:rPr>
                <w:rFonts w:ascii="Arial" w:hAnsi="Arial" w:cs="Arial"/>
              </w:rPr>
              <w:t>62,000</w:t>
            </w:r>
          </w:p>
        </w:tc>
      </w:tr>
      <w:tr w:rsidR="00F62ADD" w:rsidRPr="003477AC" w:rsidTr="004525C8">
        <w:tblPrEx>
          <w:tblCellMar>
            <w:top w:w="0" w:type="dxa"/>
            <w:bottom w:w="0" w:type="dxa"/>
          </w:tblCellMar>
        </w:tblPrEx>
        <w:tc>
          <w:tcPr>
            <w:tcW w:w="1739" w:type="dxa"/>
          </w:tcPr>
          <w:p w:rsidR="00F62ADD" w:rsidRPr="003477AC" w:rsidRDefault="00F62ADD" w:rsidP="00DE176F">
            <w:pPr>
              <w:jc w:val="both"/>
              <w:rPr>
                <w:rFonts w:ascii="Arial" w:hAnsi="Arial" w:cs="Arial"/>
              </w:rPr>
            </w:pPr>
            <w:r w:rsidRPr="003477AC">
              <w:rPr>
                <w:rFonts w:ascii="Arial" w:hAnsi="Arial" w:cs="Arial"/>
              </w:rPr>
              <w:t xml:space="preserve">I-94W </w:t>
            </w:r>
          </w:p>
        </w:tc>
        <w:tc>
          <w:tcPr>
            <w:tcW w:w="1763" w:type="dxa"/>
          </w:tcPr>
          <w:p w:rsidR="00F62ADD" w:rsidRPr="003477AC" w:rsidRDefault="00F62ADD" w:rsidP="00DE176F">
            <w:pPr>
              <w:jc w:val="right"/>
              <w:rPr>
                <w:rFonts w:ascii="Arial" w:hAnsi="Arial" w:cs="Arial"/>
              </w:rPr>
            </w:pPr>
            <w:r>
              <w:rPr>
                <w:rFonts w:ascii="Arial" w:hAnsi="Arial" w:cs="Arial"/>
                <w:highlight w:val="magenta"/>
              </w:rPr>
              <w:t>100</w:t>
            </w:r>
            <w:r w:rsidRPr="00B02D55">
              <w:rPr>
                <w:rFonts w:ascii="Arial" w:hAnsi="Arial" w:cs="Arial"/>
                <w:highlight w:val="magenta"/>
              </w:rPr>
              <w:t>,000</w:t>
            </w:r>
          </w:p>
        </w:tc>
        <w:tc>
          <w:tcPr>
            <w:tcW w:w="1710" w:type="dxa"/>
          </w:tcPr>
          <w:p w:rsidR="00F62ADD" w:rsidRPr="003477AC" w:rsidRDefault="00F62ADD" w:rsidP="00F10E08">
            <w:pPr>
              <w:jc w:val="right"/>
              <w:rPr>
                <w:rFonts w:ascii="Arial" w:hAnsi="Arial" w:cs="Arial"/>
              </w:rPr>
            </w:pPr>
            <w:r>
              <w:rPr>
                <w:rFonts w:ascii="Arial" w:hAnsi="Arial" w:cs="Arial"/>
                <w:highlight w:val="magenta"/>
              </w:rPr>
              <w:t>100</w:t>
            </w:r>
            <w:r w:rsidRPr="00B02D55">
              <w:rPr>
                <w:rFonts w:ascii="Arial" w:hAnsi="Arial" w:cs="Arial"/>
                <w:highlight w:val="magenta"/>
              </w:rPr>
              <w:t>,000</w:t>
            </w:r>
          </w:p>
        </w:tc>
        <w:tc>
          <w:tcPr>
            <w:tcW w:w="1734" w:type="dxa"/>
          </w:tcPr>
          <w:p w:rsidR="00F62ADD" w:rsidRPr="003477AC" w:rsidRDefault="00F62ADD" w:rsidP="00DE176F">
            <w:pPr>
              <w:jc w:val="right"/>
              <w:rPr>
                <w:rFonts w:ascii="Arial" w:hAnsi="Arial" w:cs="Arial"/>
              </w:rPr>
            </w:pPr>
            <w:r w:rsidRPr="003477AC">
              <w:rPr>
                <w:rFonts w:ascii="Arial" w:hAnsi="Arial" w:cs="Arial"/>
              </w:rPr>
              <w:t>.133</w:t>
            </w:r>
          </w:p>
          <w:p w:rsidR="00F62ADD" w:rsidRPr="003477AC" w:rsidRDefault="00F62ADD" w:rsidP="00DE176F">
            <w:pPr>
              <w:jc w:val="right"/>
              <w:rPr>
                <w:rFonts w:ascii="Arial" w:hAnsi="Arial" w:cs="Arial"/>
                <w:highlight w:val="yellow"/>
              </w:rPr>
            </w:pPr>
            <w:r w:rsidRPr="003477AC">
              <w:rPr>
                <w:rFonts w:ascii="Arial" w:hAnsi="Arial" w:cs="Arial"/>
              </w:rPr>
              <w:t>(8 mins)</w:t>
            </w:r>
          </w:p>
        </w:tc>
        <w:tc>
          <w:tcPr>
            <w:tcW w:w="1678" w:type="dxa"/>
          </w:tcPr>
          <w:p w:rsidR="00F62ADD" w:rsidRPr="00340530" w:rsidRDefault="00F62ADD" w:rsidP="00DE176F">
            <w:pPr>
              <w:jc w:val="right"/>
              <w:rPr>
                <w:rFonts w:ascii="Arial" w:hAnsi="Arial" w:cs="Arial"/>
                <w:highlight w:val="magenta"/>
              </w:rPr>
            </w:pPr>
            <w:r w:rsidRPr="00340530">
              <w:rPr>
                <w:rFonts w:ascii="Arial" w:hAnsi="Arial" w:cs="Arial"/>
                <w:highlight w:val="magenta"/>
              </w:rPr>
              <w:t>13,300</w:t>
            </w:r>
          </w:p>
        </w:tc>
      </w:tr>
      <w:tr w:rsidR="00F62ADD" w:rsidRPr="003477AC" w:rsidTr="004525C8">
        <w:tblPrEx>
          <w:tblCellMar>
            <w:top w:w="0" w:type="dxa"/>
            <w:bottom w:w="0" w:type="dxa"/>
          </w:tblCellMar>
        </w:tblPrEx>
        <w:tc>
          <w:tcPr>
            <w:tcW w:w="1739" w:type="dxa"/>
          </w:tcPr>
          <w:p w:rsidR="00F62ADD" w:rsidRPr="003477AC" w:rsidRDefault="00F62ADD" w:rsidP="00DE176F">
            <w:pPr>
              <w:jc w:val="both"/>
              <w:rPr>
                <w:rFonts w:ascii="Arial" w:hAnsi="Arial" w:cs="Arial"/>
              </w:rPr>
            </w:pPr>
            <w:r w:rsidRPr="003477AC">
              <w:rPr>
                <w:rFonts w:ascii="Arial" w:hAnsi="Arial" w:cs="Arial"/>
              </w:rPr>
              <w:t>ESTA</w:t>
            </w:r>
          </w:p>
        </w:tc>
        <w:tc>
          <w:tcPr>
            <w:tcW w:w="1763" w:type="dxa"/>
          </w:tcPr>
          <w:p w:rsidR="00F62ADD" w:rsidRPr="003477AC" w:rsidRDefault="00F62ADD" w:rsidP="00DE176F">
            <w:pPr>
              <w:jc w:val="right"/>
              <w:rPr>
                <w:rFonts w:ascii="Arial" w:hAnsi="Arial" w:cs="Arial"/>
              </w:rPr>
            </w:pPr>
            <w:r w:rsidRPr="00F62ADD">
              <w:rPr>
                <w:rFonts w:ascii="Arial" w:hAnsi="Arial" w:cs="Arial"/>
                <w:highlight w:val="magenta"/>
              </w:rPr>
              <w:t>18,900,000</w:t>
            </w:r>
          </w:p>
        </w:tc>
        <w:tc>
          <w:tcPr>
            <w:tcW w:w="1710" w:type="dxa"/>
          </w:tcPr>
          <w:p w:rsidR="00F62ADD" w:rsidRPr="003477AC" w:rsidRDefault="00F62ADD" w:rsidP="00F10E08">
            <w:pPr>
              <w:jc w:val="right"/>
              <w:rPr>
                <w:rFonts w:ascii="Arial" w:hAnsi="Arial" w:cs="Arial"/>
              </w:rPr>
            </w:pPr>
            <w:r w:rsidRPr="00F62ADD">
              <w:rPr>
                <w:rFonts w:ascii="Arial" w:hAnsi="Arial" w:cs="Arial"/>
                <w:highlight w:val="magenta"/>
              </w:rPr>
              <w:t>18,900,000</w:t>
            </w:r>
          </w:p>
        </w:tc>
        <w:tc>
          <w:tcPr>
            <w:tcW w:w="1734" w:type="dxa"/>
          </w:tcPr>
          <w:p w:rsidR="00F62ADD" w:rsidRPr="003477AC" w:rsidRDefault="00F62ADD" w:rsidP="00DE176F">
            <w:pPr>
              <w:jc w:val="right"/>
              <w:rPr>
                <w:rFonts w:ascii="Arial" w:hAnsi="Arial" w:cs="Arial"/>
              </w:rPr>
            </w:pPr>
            <w:r w:rsidRPr="003477AC">
              <w:rPr>
                <w:rFonts w:ascii="Arial" w:hAnsi="Arial" w:cs="Arial"/>
              </w:rPr>
              <w:t xml:space="preserve"> 0.25</w:t>
            </w:r>
          </w:p>
          <w:p w:rsidR="00F62ADD" w:rsidRPr="003477AC" w:rsidRDefault="00F62ADD" w:rsidP="00DE176F">
            <w:pPr>
              <w:jc w:val="right"/>
              <w:rPr>
                <w:rFonts w:ascii="Arial" w:hAnsi="Arial" w:cs="Arial"/>
              </w:rPr>
            </w:pPr>
            <w:r w:rsidRPr="003477AC">
              <w:rPr>
                <w:rFonts w:ascii="Arial" w:hAnsi="Arial" w:cs="Arial"/>
              </w:rPr>
              <w:t>(15 mins)</w:t>
            </w:r>
          </w:p>
        </w:tc>
        <w:tc>
          <w:tcPr>
            <w:tcW w:w="1678" w:type="dxa"/>
          </w:tcPr>
          <w:p w:rsidR="00F62ADD" w:rsidRPr="00340530" w:rsidRDefault="00F62ADD" w:rsidP="00DE176F">
            <w:pPr>
              <w:jc w:val="right"/>
              <w:rPr>
                <w:rFonts w:ascii="Arial" w:hAnsi="Arial" w:cs="Arial"/>
                <w:highlight w:val="magenta"/>
              </w:rPr>
            </w:pPr>
            <w:r w:rsidRPr="00340530">
              <w:rPr>
                <w:rFonts w:ascii="Arial" w:hAnsi="Arial" w:cs="Arial"/>
                <w:highlight w:val="magenta"/>
              </w:rPr>
              <w:t>4,725,000</w:t>
            </w:r>
          </w:p>
          <w:p w:rsidR="00F62ADD" w:rsidRPr="00340530" w:rsidRDefault="00F62ADD" w:rsidP="00DE176F">
            <w:pPr>
              <w:jc w:val="right"/>
              <w:rPr>
                <w:rFonts w:ascii="Arial" w:hAnsi="Arial" w:cs="Arial"/>
                <w:highlight w:val="magenta"/>
              </w:rPr>
            </w:pPr>
          </w:p>
        </w:tc>
      </w:tr>
      <w:tr w:rsidR="004525C8" w:rsidRPr="003477AC" w:rsidTr="004525C8">
        <w:tblPrEx>
          <w:tblCellMar>
            <w:top w:w="0" w:type="dxa"/>
            <w:bottom w:w="0" w:type="dxa"/>
          </w:tblCellMar>
        </w:tblPrEx>
        <w:tc>
          <w:tcPr>
            <w:tcW w:w="1739" w:type="dxa"/>
          </w:tcPr>
          <w:p w:rsidR="004525C8" w:rsidRPr="003477AC" w:rsidRDefault="004525C8" w:rsidP="00DE176F">
            <w:pPr>
              <w:pStyle w:val="Heading6"/>
              <w:rPr>
                <w:sz w:val="20"/>
              </w:rPr>
            </w:pPr>
            <w:r w:rsidRPr="003477AC">
              <w:rPr>
                <w:sz w:val="20"/>
              </w:rPr>
              <w:t>TOTAL</w:t>
            </w:r>
          </w:p>
        </w:tc>
        <w:tc>
          <w:tcPr>
            <w:tcW w:w="1763" w:type="dxa"/>
          </w:tcPr>
          <w:p w:rsidR="004525C8" w:rsidRPr="00340530" w:rsidRDefault="004525C8" w:rsidP="00DE176F">
            <w:pPr>
              <w:jc w:val="right"/>
              <w:rPr>
                <w:rFonts w:ascii="Arial" w:hAnsi="Arial" w:cs="Arial"/>
                <w:b/>
                <w:highlight w:val="magenta"/>
              </w:rPr>
            </w:pPr>
            <w:r w:rsidRPr="00340530">
              <w:rPr>
                <w:rFonts w:ascii="Arial" w:hAnsi="Arial" w:cs="Arial"/>
                <w:highlight w:val="magenta"/>
              </w:rPr>
              <w:t xml:space="preserve"> </w:t>
            </w:r>
            <w:r w:rsidR="00582504" w:rsidRPr="00340530">
              <w:rPr>
                <w:rFonts w:ascii="Arial" w:hAnsi="Arial" w:cs="Arial"/>
                <w:b/>
                <w:highlight w:val="magenta"/>
              </w:rPr>
              <w:t xml:space="preserve"> 33,0</w:t>
            </w:r>
            <w:r w:rsidR="00F62ADD" w:rsidRPr="00340530">
              <w:rPr>
                <w:rFonts w:ascii="Arial" w:hAnsi="Arial" w:cs="Arial"/>
                <w:b/>
                <w:highlight w:val="magenta"/>
              </w:rPr>
              <w:t>00</w:t>
            </w:r>
            <w:r w:rsidR="00B02D55" w:rsidRPr="00340530">
              <w:rPr>
                <w:rFonts w:ascii="Arial" w:hAnsi="Arial" w:cs="Arial"/>
                <w:b/>
                <w:highlight w:val="magenta"/>
              </w:rPr>
              <w:t>,000</w:t>
            </w:r>
          </w:p>
        </w:tc>
        <w:tc>
          <w:tcPr>
            <w:tcW w:w="1710" w:type="dxa"/>
          </w:tcPr>
          <w:p w:rsidR="004525C8" w:rsidRPr="00340530" w:rsidRDefault="00F62ADD" w:rsidP="00F10E08">
            <w:pPr>
              <w:jc w:val="right"/>
              <w:rPr>
                <w:rFonts w:ascii="Arial" w:hAnsi="Arial" w:cs="Arial"/>
                <w:b/>
                <w:bCs/>
                <w:highlight w:val="magenta"/>
              </w:rPr>
            </w:pPr>
            <w:r w:rsidRPr="00340530">
              <w:rPr>
                <w:rFonts w:ascii="Arial" w:hAnsi="Arial" w:cs="Arial"/>
                <w:b/>
                <w:highlight w:val="magenta"/>
              </w:rPr>
              <w:t>33,000,000</w:t>
            </w:r>
          </w:p>
        </w:tc>
        <w:tc>
          <w:tcPr>
            <w:tcW w:w="1734" w:type="dxa"/>
          </w:tcPr>
          <w:p w:rsidR="004525C8" w:rsidRPr="003477AC" w:rsidRDefault="004525C8" w:rsidP="00DE176F">
            <w:pPr>
              <w:jc w:val="right"/>
              <w:rPr>
                <w:rFonts w:ascii="Arial" w:hAnsi="Arial" w:cs="Arial"/>
              </w:rPr>
            </w:pPr>
          </w:p>
        </w:tc>
        <w:tc>
          <w:tcPr>
            <w:tcW w:w="1678" w:type="dxa"/>
          </w:tcPr>
          <w:p w:rsidR="004525C8" w:rsidRPr="00582504" w:rsidRDefault="00F62ADD" w:rsidP="00DE176F">
            <w:pPr>
              <w:jc w:val="right"/>
              <w:rPr>
                <w:rFonts w:ascii="Arial" w:hAnsi="Arial" w:cs="Arial"/>
                <w:b/>
                <w:bCs/>
              </w:rPr>
            </w:pPr>
            <w:r>
              <w:rPr>
                <w:rFonts w:ascii="Arial" w:hAnsi="Arial" w:cs="Arial"/>
                <w:b/>
                <w:bCs/>
              </w:rPr>
              <w:t>6,600</w:t>
            </w:r>
            <w:r w:rsidR="00582504" w:rsidRPr="00582504">
              <w:rPr>
                <w:rFonts w:ascii="Arial" w:hAnsi="Arial" w:cs="Arial"/>
                <w:b/>
                <w:bCs/>
              </w:rPr>
              <w:t>,</w:t>
            </w:r>
            <w:r>
              <w:rPr>
                <w:rFonts w:ascii="Arial" w:hAnsi="Arial" w:cs="Arial"/>
                <w:b/>
                <w:bCs/>
              </w:rPr>
              <w:t>300</w:t>
            </w:r>
          </w:p>
        </w:tc>
      </w:tr>
    </w:tbl>
    <w:p w:rsidR="00CD616B" w:rsidRDefault="00CD616B" w:rsidP="00CD616B">
      <w:pPr>
        <w:pStyle w:val="Heading5"/>
        <w:spacing w:line="240" w:lineRule="auto"/>
        <w:rPr>
          <w:rFonts w:ascii="Arial" w:hAnsi="Arial" w:cs="Arial"/>
          <w:b w:val="0"/>
          <w:sz w:val="24"/>
        </w:rPr>
      </w:pPr>
    </w:p>
    <w:p w:rsidR="003477AC" w:rsidRPr="003477AC" w:rsidRDefault="003477AC" w:rsidP="003477AC">
      <w:r w:rsidRPr="003477AC">
        <w:rPr>
          <w:highlight w:val="magenta"/>
        </w:rPr>
        <w:t>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9"/>
        <w:gridCol w:w="1763"/>
        <w:gridCol w:w="1710"/>
        <w:gridCol w:w="1734"/>
        <w:gridCol w:w="1678"/>
      </w:tblGrid>
      <w:tr w:rsidR="003477AC" w:rsidRPr="003477AC" w:rsidTr="00F10E08">
        <w:tblPrEx>
          <w:tblCellMar>
            <w:top w:w="0" w:type="dxa"/>
            <w:bottom w:w="0" w:type="dxa"/>
          </w:tblCellMar>
        </w:tblPrEx>
        <w:tc>
          <w:tcPr>
            <w:tcW w:w="1413" w:type="dxa"/>
            <w:vAlign w:val="bottom"/>
          </w:tcPr>
          <w:p w:rsidR="003477AC" w:rsidRPr="003477AC" w:rsidRDefault="003477AC" w:rsidP="00F10E08">
            <w:pPr>
              <w:jc w:val="center"/>
              <w:rPr>
                <w:rFonts w:ascii="Arial" w:hAnsi="Arial" w:cs="Arial"/>
                <w:b/>
                <w:bCs/>
              </w:rPr>
            </w:pPr>
          </w:p>
          <w:p w:rsidR="003477AC" w:rsidRPr="003477AC" w:rsidRDefault="003477AC" w:rsidP="00F10E08">
            <w:pPr>
              <w:pStyle w:val="Heading6"/>
              <w:jc w:val="center"/>
              <w:rPr>
                <w:sz w:val="20"/>
              </w:rPr>
            </w:pPr>
            <w:r w:rsidRPr="003477AC">
              <w:rPr>
                <w:sz w:val="20"/>
              </w:rPr>
              <w:t>Form/Collection</w:t>
            </w:r>
          </w:p>
        </w:tc>
        <w:tc>
          <w:tcPr>
            <w:tcW w:w="1763" w:type="dxa"/>
            <w:vAlign w:val="bottom"/>
          </w:tcPr>
          <w:p w:rsidR="003477AC" w:rsidRPr="003477AC" w:rsidRDefault="003477AC" w:rsidP="00F10E08">
            <w:pPr>
              <w:jc w:val="center"/>
              <w:rPr>
                <w:rFonts w:ascii="Arial" w:hAnsi="Arial" w:cs="Arial"/>
                <w:b/>
                <w:bCs/>
              </w:rPr>
            </w:pPr>
            <w:r w:rsidRPr="003477AC">
              <w:rPr>
                <w:rFonts w:ascii="Arial" w:hAnsi="Arial" w:cs="Arial"/>
                <w:b/>
                <w:bCs/>
              </w:rPr>
              <w:t>No. of</w:t>
            </w:r>
          </w:p>
          <w:p w:rsidR="003477AC" w:rsidRPr="003477AC" w:rsidRDefault="003477AC" w:rsidP="00F10E08">
            <w:pPr>
              <w:jc w:val="center"/>
              <w:rPr>
                <w:rFonts w:ascii="Arial" w:hAnsi="Arial" w:cs="Arial"/>
              </w:rPr>
            </w:pPr>
            <w:r w:rsidRPr="003477AC">
              <w:rPr>
                <w:rFonts w:ascii="Arial" w:hAnsi="Arial" w:cs="Arial"/>
                <w:b/>
                <w:bCs/>
              </w:rPr>
              <w:t>Respondents</w:t>
            </w:r>
          </w:p>
        </w:tc>
        <w:tc>
          <w:tcPr>
            <w:tcW w:w="1710" w:type="dxa"/>
            <w:vAlign w:val="bottom"/>
          </w:tcPr>
          <w:p w:rsidR="003477AC" w:rsidRPr="003477AC" w:rsidRDefault="003477AC" w:rsidP="00F10E08">
            <w:pPr>
              <w:jc w:val="center"/>
              <w:rPr>
                <w:rFonts w:ascii="Arial" w:hAnsi="Arial" w:cs="Arial"/>
                <w:b/>
                <w:bCs/>
              </w:rPr>
            </w:pPr>
            <w:r w:rsidRPr="003477AC">
              <w:rPr>
                <w:rFonts w:ascii="Arial" w:hAnsi="Arial" w:cs="Arial"/>
                <w:b/>
                <w:bCs/>
              </w:rPr>
              <w:t>Total Annual</w:t>
            </w:r>
          </w:p>
          <w:p w:rsidR="003477AC" w:rsidRPr="003477AC" w:rsidRDefault="003477AC" w:rsidP="00F10E08">
            <w:pPr>
              <w:jc w:val="center"/>
              <w:rPr>
                <w:rFonts w:ascii="Arial" w:hAnsi="Arial" w:cs="Arial"/>
              </w:rPr>
            </w:pPr>
            <w:r w:rsidRPr="003477AC">
              <w:rPr>
                <w:rFonts w:ascii="Arial" w:hAnsi="Arial" w:cs="Arial"/>
                <w:b/>
                <w:bCs/>
              </w:rPr>
              <w:t>Responses</w:t>
            </w:r>
          </w:p>
        </w:tc>
        <w:tc>
          <w:tcPr>
            <w:tcW w:w="1734" w:type="dxa"/>
            <w:vAlign w:val="bottom"/>
          </w:tcPr>
          <w:p w:rsidR="003477AC" w:rsidRPr="003477AC" w:rsidRDefault="003477AC" w:rsidP="00F10E08">
            <w:pPr>
              <w:jc w:val="center"/>
              <w:rPr>
                <w:rFonts w:ascii="Arial" w:hAnsi="Arial" w:cs="Arial"/>
                <w:b/>
                <w:bCs/>
              </w:rPr>
            </w:pPr>
            <w:r w:rsidRPr="003477AC">
              <w:rPr>
                <w:rFonts w:ascii="Arial" w:hAnsi="Arial" w:cs="Arial"/>
                <w:b/>
                <w:bCs/>
              </w:rPr>
              <w:t>Time Per</w:t>
            </w:r>
          </w:p>
          <w:p w:rsidR="003477AC" w:rsidRPr="003477AC" w:rsidRDefault="003477AC" w:rsidP="00F10E08">
            <w:pPr>
              <w:jc w:val="center"/>
              <w:rPr>
                <w:rFonts w:ascii="Arial" w:hAnsi="Arial" w:cs="Arial"/>
                <w:b/>
                <w:bCs/>
              </w:rPr>
            </w:pPr>
            <w:r w:rsidRPr="003477AC">
              <w:rPr>
                <w:rFonts w:ascii="Arial" w:hAnsi="Arial" w:cs="Arial"/>
                <w:b/>
                <w:bCs/>
              </w:rPr>
              <w:t>Respondent</w:t>
            </w:r>
          </w:p>
          <w:p w:rsidR="003477AC" w:rsidRPr="003477AC" w:rsidRDefault="003477AC" w:rsidP="00F10E08">
            <w:pPr>
              <w:jc w:val="center"/>
              <w:rPr>
                <w:rFonts w:ascii="Arial" w:hAnsi="Arial" w:cs="Arial"/>
              </w:rPr>
            </w:pPr>
            <w:r w:rsidRPr="003477AC">
              <w:rPr>
                <w:rFonts w:ascii="Arial" w:hAnsi="Arial" w:cs="Arial"/>
                <w:b/>
                <w:bCs/>
              </w:rPr>
              <w:t>(in hours)</w:t>
            </w:r>
          </w:p>
        </w:tc>
        <w:tc>
          <w:tcPr>
            <w:tcW w:w="1678" w:type="dxa"/>
            <w:vAlign w:val="bottom"/>
          </w:tcPr>
          <w:p w:rsidR="003477AC" w:rsidRPr="003477AC" w:rsidRDefault="003477AC" w:rsidP="00F10E08">
            <w:pPr>
              <w:jc w:val="center"/>
              <w:rPr>
                <w:rFonts w:ascii="Arial" w:hAnsi="Arial" w:cs="Arial"/>
                <w:b/>
                <w:bCs/>
              </w:rPr>
            </w:pPr>
            <w:r w:rsidRPr="003477AC">
              <w:rPr>
                <w:rFonts w:ascii="Arial" w:hAnsi="Arial" w:cs="Arial"/>
                <w:b/>
                <w:bCs/>
              </w:rPr>
              <w:t>Annual Reporting Burden</w:t>
            </w:r>
          </w:p>
        </w:tc>
      </w:tr>
      <w:tr w:rsidR="003477AC" w:rsidRPr="003477AC" w:rsidTr="00F10E08">
        <w:tblPrEx>
          <w:tblCellMar>
            <w:top w:w="0" w:type="dxa"/>
            <w:bottom w:w="0" w:type="dxa"/>
          </w:tblCellMar>
        </w:tblPrEx>
        <w:tc>
          <w:tcPr>
            <w:tcW w:w="1413" w:type="dxa"/>
          </w:tcPr>
          <w:p w:rsidR="003477AC" w:rsidRPr="003477AC" w:rsidRDefault="003477AC" w:rsidP="00F10E08">
            <w:pPr>
              <w:jc w:val="both"/>
              <w:rPr>
                <w:rFonts w:ascii="Arial" w:hAnsi="Arial" w:cs="Arial"/>
              </w:rPr>
            </w:pPr>
            <w:r w:rsidRPr="003477AC">
              <w:rPr>
                <w:rFonts w:ascii="Arial" w:hAnsi="Arial" w:cs="Arial"/>
              </w:rPr>
              <w:t>I-94</w:t>
            </w:r>
          </w:p>
        </w:tc>
        <w:tc>
          <w:tcPr>
            <w:tcW w:w="1763" w:type="dxa"/>
          </w:tcPr>
          <w:p w:rsidR="003477AC" w:rsidRPr="003477AC" w:rsidRDefault="003477AC" w:rsidP="00F10E08">
            <w:pPr>
              <w:jc w:val="right"/>
              <w:rPr>
                <w:rFonts w:ascii="Arial" w:hAnsi="Arial" w:cs="Arial"/>
              </w:rPr>
            </w:pPr>
            <w:r w:rsidRPr="003477AC">
              <w:rPr>
                <w:rFonts w:ascii="Arial" w:hAnsi="Arial" w:cs="Arial"/>
              </w:rPr>
              <w:t>14,000,000</w:t>
            </w:r>
          </w:p>
        </w:tc>
        <w:tc>
          <w:tcPr>
            <w:tcW w:w="1710" w:type="dxa"/>
          </w:tcPr>
          <w:p w:rsidR="003477AC" w:rsidRPr="003477AC" w:rsidRDefault="003477AC" w:rsidP="00F10E08">
            <w:pPr>
              <w:jc w:val="right"/>
              <w:rPr>
                <w:rFonts w:ascii="Arial" w:hAnsi="Arial" w:cs="Arial"/>
              </w:rPr>
            </w:pPr>
            <w:r w:rsidRPr="003477AC">
              <w:rPr>
                <w:rFonts w:ascii="Arial" w:hAnsi="Arial" w:cs="Arial"/>
              </w:rPr>
              <w:t>14,000,000</w:t>
            </w:r>
          </w:p>
        </w:tc>
        <w:tc>
          <w:tcPr>
            <w:tcW w:w="1734" w:type="dxa"/>
          </w:tcPr>
          <w:p w:rsidR="003477AC" w:rsidRPr="003477AC" w:rsidRDefault="003477AC" w:rsidP="00F10E08">
            <w:pPr>
              <w:jc w:val="right"/>
              <w:rPr>
                <w:rFonts w:ascii="Arial" w:hAnsi="Arial" w:cs="Arial"/>
              </w:rPr>
            </w:pPr>
            <w:r w:rsidRPr="003477AC">
              <w:rPr>
                <w:rFonts w:ascii="Arial" w:hAnsi="Arial" w:cs="Arial"/>
              </w:rPr>
              <w:t>.133</w:t>
            </w:r>
          </w:p>
          <w:p w:rsidR="003477AC" w:rsidRPr="003477AC" w:rsidRDefault="003477AC" w:rsidP="00F10E08">
            <w:pPr>
              <w:jc w:val="right"/>
              <w:rPr>
                <w:rFonts w:ascii="Arial" w:hAnsi="Arial" w:cs="Arial"/>
                <w:highlight w:val="yellow"/>
              </w:rPr>
            </w:pPr>
            <w:r w:rsidRPr="003477AC">
              <w:rPr>
                <w:rFonts w:ascii="Arial" w:hAnsi="Arial" w:cs="Arial"/>
              </w:rPr>
              <w:t>(8 mins)</w:t>
            </w:r>
          </w:p>
        </w:tc>
        <w:tc>
          <w:tcPr>
            <w:tcW w:w="1678" w:type="dxa"/>
          </w:tcPr>
          <w:p w:rsidR="003477AC" w:rsidRPr="003477AC" w:rsidRDefault="003477AC" w:rsidP="00F10E08">
            <w:pPr>
              <w:jc w:val="right"/>
              <w:rPr>
                <w:rFonts w:ascii="Arial" w:hAnsi="Arial" w:cs="Arial"/>
              </w:rPr>
            </w:pPr>
            <w:r w:rsidRPr="003477AC">
              <w:rPr>
                <w:rFonts w:ascii="Arial" w:hAnsi="Arial" w:cs="Arial"/>
              </w:rPr>
              <w:t>1,862,000</w:t>
            </w:r>
          </w:p>
        </w:tc>
      </w:tr>
      <w:tr w:rsidR="003477AC" w:rsidRPr="003477AC" w:rsidTr="00F10E08">
        <w:tblPrEx>
          <w:tblCellMar>
            <w:top w:w="0" w:type="dxa"/>
            <w:bottom w:w="0" w:type="dxa"/>
          </w:tblCellMar>
        </w:tblPrEx>
        <w:tc>
          <w:tcPr>
            <w:tcW w:w="1413" w:type="dxa"/>
          </w:tcPr>
          <w:p w:rsidR="003477AC" w:rsidRPr="003477AC" w:rsidRDefault="003477AC" w:rsidP="00F10E08">
            <w:pPr>
              <w:jc w:val="both"/>
              <w:rPr>
                <w:rFonts w:ascii="Arial" w:hAnsi="Arial" w:cs="Arial"/>
              </w:rPr>
            </w:pPr>
            <w:r w:rsidRPr="003477AC">
              <w:rPr>
                <w:rFonts w:ascii="Arial" w:hAnsi="Arial" w:cs="Arial"/>
              </w:rPr>
              <w:t xml:space="preserve">I-94W </w:t>
            </w:r>
          </w:p>
        </w:tc>
        <w:tc>
          <w:tcPr>
            <w:tcW w:w="1763" w:type="dxa"/>
          </w:tcPr>
          <w:p w:rsidR="003477AC" w:rsidRPr="00DA6CBE" w:rsidRDefault="003477AC" w:rsidP="00F10E08">
            <w:pPr>
              <w:jc w:val="right"/>
              <w:rPr>
                <w:rFonts w:ascii="Arial" w:hAnsi="Arial" w:cs="Arial"/>
                <w:highlight w:val="magenta"/>
              </w:rPr>
            </w:pPr>
            <w:r w:rsidRPr="00DA6CBE">
              <w:rPr>
                <w:rFonts w:ascii="Arial" w:hAnsi="Arial" w:cs="Arial"/>
                <w:highlight w:val="magenta"/>
              </w:rPr>
              <w:t>17,000,000</w:t>
            </w:r>
          </w:p>
        </w:tc>
        <w:tc>
          <w:tcPr>
            <w:tcW w:w="1710" w:type="dxa"/>
          </w:tcPr>
          <w:p w:rsidR="003477AC" w:rsidRPr="00DA6CBE" w:rsidRDefault="003477AC" w:rsidP="00F10E08">
            <w:pPr>
              <w:jc w:val="right"/>
              <w:rPr>
                <w:rFonts w:ascii="Arial" w:hAnsi="Arial" w:cs="Arial"/>
                <w:highlight w:val="magenta"/>
              </w:rPr>
            </w:pPr>
            <w:r w:rsidRPr="00DA6CBE">
              <w:rPr>
                <w:rFonts w:ascii="Arial" w:hAnsi="Arial" w:cs="Arial"/>
                <w:highlight w:val="magenta"/>
              </w:rPr>
              <w:t>17,000,000</w:t>
            </w:r>
          </w:p>
        </w:tc>
        <w:tc>
          <w:tcPr>
            <w:tcW w:w="1734" w:type="dxa"/>
          </w:tcPr>
          <w:p w:rsidR="003477AC" w:rsidRPr="003477AC" w:rsidRDefault="003477AC" w:rsidP="00F10E08">
            <w:pPr>
              <w:jc w:val="right"/>
              <w:rPr>
                <w:rFonts w:ascii="Arial" w:hAnsi="Arial" w:cs="Arial"/>
              </w:rPr>
            </w:pPr>
            <w:r w:rsidRPr="003477AC">
              <w:rPr>
                <w:rFonts w:ascii="Arial" w:hAnsi="Arial" w:cs="Arial"/>
              </w:rPr>
              <w:t>.133</w:t>
            </w:r>
          </w:p>
          <w:p w:rsidR="003477AC" w:rsidRPr="003477AC" w:rsidRDefault="003477AC" w:rsidP="00F10E08">
            <w:pPr>
              <w:jc w:val="right"/>
              <w:rPr>
                <w:rFonts w:ascii="Arial" w:hAnsi="Arial" w:cs="Arial"/>
                <w:highlight w:val="yellow"/>
              </w:rPr>
            </w:pPr>
            <w:r w:rsidRPr="003477AC">
              <w:rPr>
                <w:rFonts w:ascii="Arial" w:hAnsi="Arial" w:cs="Arial"/>
              </w:rPr>
              <w:t>(8 mins)</w:t>
            </w:r>
          </w:p>
        </w:tc>
        <w:tc>
          <w:tcPr>
            <w:tcW w:w="1678" w:type="dxa"/>
          </w:tcPr>
          <w:p w:rsidR="003477AC" w:rsidRPr="00340530" w:rsidRDefault="003477AC" w:rsidP="00F10E08">
            <w:pPr>
              <w:jc w:val="right"/>
              <w:rPr>
                <w:rFonts w:ascii="Arial" w:hAnsi="Arial" w:cs="Arial"/>
                <w:highlight w:val="magenta"/>
              </w:rPr>
            </w:pPr>
            <w:r w:rsidRPr="00340530">
              <w:rPr>
                <w:rFonts w:ascii="Arial" w:hAnsi="Arial" w:cs="Arial"/>
                <w:highlight w:val="magenta"/>
              </w:rPr>
              <w:t>2,261,000</w:t>
            </w:r>
          </w:p>
        </w:tc>
      </w:tr>
      <w:tr w:rsidR="003477AC" w:rsidRPr="003477AC" w:rsidTr="00F10E08">
        <w:tblPrEx>
          <w:tblCellMar>
            <w:top w:w="0" w:type="dxa"/>
            <w:bottom w:w="0" w:type="dxa"/>
          </w:tblCellMar>
        </w:tblPrEx>
        <w:tc>
          <w:tcPr>
            <w:tcW w:w="1413" w:type="dxa"/>
          </w:tcPr>
          <w:p w:rsidR="003477AC" w:rsidRPr="003477AC" w:rsidRDefault="003477AC" w:rsidP="00F10E08">
            <w:pPr>
              <w:jc w:val="both"/>
              <w:rPr>
                <w:rFonts w:ascii="Arial" w:hAnsi="Arial" w:cs="Arial"/>
              </w:rPr>
            </w:pPr>
            <w:r w:rsidRPr="003477AC">
              <w:rPr>
                <w:rFonts w:ascii="Arial" w:hAnsi="Arial" w:cs="Arial"/>
              </w:rPr>
              <w:t>ESTA</w:t>
            </w:r>
          </w:p>
        </w:tc>
        <w:tc>
          <w:tcPr>
            <w:tcW w:w="1763" w:type="dxa"/>
          </w:tcPr>
          <w:p w:rsidR="003477AC" w:rsidRPr="00DA6CBE" w:rsidRDefault="003477AC" w:rsidP="00F10E08">
            <w:pPr>
              <w:jc w:val="right"/>
              <w:rPr>
                <w:rFonts w:ascii="Arial" w:hAnsi="Arial" w:cs="Arial"/>
                <w:highlight w:val="magenta"/>
              </w:rPr>
            </w:pPr>
            <w:r w:rsidRPr="00DA6CBE">
              <w:rPr>
                <w:rFonts w:ascii="Arial" w:hAnsi="Arial" w:cs="Arial"/>
                <w:highlight w:val="magenta"/>
              </w:rPr>
              <w:t>17,000,000</w:t>
            </w:r>
          </w:p>
        </w:tc>
        <w:tc>
          <w:tcPr>
            <w:tcW w:w="1710" w:type="dxa"/>
          </w:tcPr>
          <w:p w:rsidR="003477AC" w:rsidRPr="00DA6CBE" w:rsidRDefault="003477AC" w:rsidP="00F10E08">
            <w:pPr>
              <w:jc w:val="right"/>
              <w:rPr>
                <w:rFonts w:ascii="Arial" w:hAnsi="Arial" w:cs="Arial"/>
                <w:highlight w:val="magenta"/>
              </w:rPr>
            </w:pPr>
            <w:r w:rsidRPr="00DA6CBE">
              <w:rPr>
                <w:rFonts w:ascii="Arial" w:hAnsi="Arial" w:cs="Arial"/>
                <w:highlight w:val="magenta"/>
              </w:rPr>
              <w:t>17,000,000</w:t>
            </w:r>
          </w:p>
        </w:tc>
        <w:tc>
          <w:tcPr>
            <w:tcW w:w="1734" w:type="dxa"/>
          </w:tcPr>
          <w:p w:rsidR="003477AC" w:rsidRPr="003477AC" w:rsidRDefault="003477AC" w:rsidP="00F10E08">
            <w:pPr>
              <w:jc w:val="right"/>
              <w:rPr>
                <w:rFonts w:ascii="Arial" w:hAnsi="Arial" w:cs="Arial"/>
              </w:rPr>
            </w:pPr>
            <w:r w:rsidRPr="003477AC">
              <w:rPr>
                <w:rFonts w:ascii="Arial" w:hAnsi="Arial" w:cs="Arial"/>
              </w:rPr>
              <w:t xml:space="preserve"> 0.25</w:t>
            </w:r>
          </w:p>
          <w:p w:rsidR="003477AC" w:rsidRPr="003477AC" w:rsidRDefault="003477AC" w:rsidP="00F10E08">
            <w:pPr>
              <w:jc w:val="right"/>
              <w:rPr>
                <w:rFonts w:ascii="Arial" w:hAnsi="Arial" w:cs="Arial"/>
              </w:rPr>
            </w:pPr>
            <w:r w:rsidRPr="003477AC">
              <w:rPr>
                <w:rFonts w:ascii="Arial" w:hAnsi="Arial" w:cs="Arial"/>
              </w:rPr>
              <w:t>(15 mins)</w:t>
            </w:r>
          </w:p>
        </w:tc>
        <w:tc>
          <w:tcPr>
            <w:tcW w:w="1678" w:type="dxa"/>
          </w:tcPr>
          <w:p w:rsidR="003477AC" w:rsidRPr="00340530" w:rsidRDefault="003477AC" w:rsidP="00F10E08">
            <w:pPr>
              <w:jc w:val="right"/>
              <w:rPr>
                <w:rFonts w:ascii="Arial" w:hAnsi="Arial" w:cs="Arial"/>
                <w:highlight w:val="magenta"/>
              </w:rPr>
            </w:pPr>
            <w:r w:rsidRPr="00340530">
              <w:rPr>
                <w:rFonts w:ascii="Arial" w:hAnsi="Arial" w:cs="Arial"/>
                <w:highlight w:val="magenta"/>
              </w:rPr>
              <w:t>4,250,000</w:t>
            </w:r>
          </w:p>
          <w:p w:rsidR="003477AC" w:rsidRPr="00340530" w:rsidRDefault="003477AC" w:rsidP="00F10E08">
            <w:pPr>
              <w:jc w:val="right"/>
              <w:rPr>
                <w:rFonts w:ascii="Arial" w:hAnsi="Arial" w:cs="Arial"/>
                <w:highlight w:val="magenta"/>
              </w:rPr>
            </w:pPr>
          </w:p>
        </w:tc>
      </w:tr>
      <w:tr w:rsidR="003477AC" w:rsidRPr="003477AC" w:rsidTr="00F10E08">
        <w:tblPrEx>
          <w:tblCellMar>
            <w:top w:w="0" w:type="dxa"/>
            <w:bottom w:w="0" w:type="dxa"/>
          </w:tblCellMar>
        </w:tblPrEx>
        <w:tc>
          <w:tcPr>
            <w:tcW w:w="1413" w:type="dxa"/>
          </w:tcPr>
          <w:p w:rsidR="003477AC" w:rsidRPr="003477AC" w:rsidRDefault="003477AC" w:rsidP="00F10E08">
            <w:pPr>
              <w:pStyle w:val="Heading6"/>
              <w:rPr>
                <w:sz w:val="20"/>
              </w:rPr>
            </w:pPr>
            <w:r w:rsidRPr="003477AC">
              <w:rPr>
                <w:sz w:val="20"/>
              </w:rPr>
              <w:t>TOTAL</w:t>
            </w:r>
          </w:p>
        </w:tc>
        <w:tc>
          <w:tcPr>
            <w:tcW w:w="1763" w:type="dxa"/>
          </w:tcPr>
          <w:p w:rsidR="003477AC" w:rsidRPr="00340530" w:rsidRDefault="003477AC" w:rsidP="00F10E08">
            <w:pPr>
              <w:jc w:val="right"/>
              <w:rPr>
                <w:rFonts w:ascii="Arial" w:hAnsi="Arial" w:cs="Arial"/>
                <w:b/>
                <w:bCs/>
                <w:highlight w:val="magenta"/>
              </w:rPr>
            </w:pPr>
            <w:r w:rsidRPr="00340530">
              <w:rPr>
                <w:rFonts w:ascii="Arial" w:hAnsi="Arial" w:cs="Arial"/>
                <w:highlight w:val="magenta"/>
              </w:rPr>
              <w:t xml:space="preserve"> </w:t>
            </w:r>
            <w:r w:rsidRPr="00340530">
              <w:rPr>
                <w:rFonts w:ascii="Arial" w:hAnsi="Arial" w:cs="Arial"/>
                <w:b/>
                <w:highlight w:val="magenta"/>
              </w:rPr>
              <w:t>48,000,000</w:t>
            </w:r>
          </w:p>
        </w:tc>
        <w:tc>
          <w:tcPr>
            <w:tcW w:w="1710" w:type="dxa"/>
          </w:tcPr>
          <w:p w:rsidR="003477AC" w:rsidRPr="00340530" w:rsidRDefault="003477AC" w:rsidP="00F10E08">
            <w:pPr>
              <w:jc w:val="right"/>
              <w:rPr>
                <w:rFonts w:ascii="Arial" w:hAnsi="Arial" w:cs="Arial"/>
                <w:b/>
                <w:bCs/>
                <w:highlight w:val="magenta"/>
              </w:rPr>
            </w:pPr>
            <w:r w:rsidRPr="00340530">
              <w:rPr>
                <w:rFonts w:ascii="Arial" w:hAnsi="Arial" w:cs="Arial"/>
                <w:highlight w:val="magenta"/>
              </w:rPr>
              <w:t xml:space="preserve"> </w:t>
            </w:r>
            <w:r w:rsidRPr="00340530">
              <w:rPr>
                <w:rFonts w:ascii="Arial" w:hAnsi="Arial" w:cs="Arial"/>
                <w:b/>
                <w:highlight w:val="magenta"/>
              </w:rPr>
              <w:t>48,000,000</w:t>
            </w:r>
          </w:p>
        </w:tc>
        <w:tc>
          <w:tcPr>
            <w:tcW w:w="1734" w:type="dxa"/>
          </w:tcPr>
          <w:p w:rsidR="003477AC" w:rsidRPr="003477AC" w:rsidRDefault="003477AC" w:rsidP="00F10E08">
            <w:pPr>
              <w:jc w:val="right"/>
              <w:rPr>
                <w:rFonts w:ascii="Arial" w:hAnsi="Arial" w:cs="Arial"/>
              </w:rPr>
            </w:pPr>
          </w:p>
        </w:tc>
        <w:tc>
          <w:tcPr>
            <w:tcW w:w="1678" w:type="dxa"/>
          </w:tcPr>
          <w:p w:rsidR="003477AC" w:rsidRPr="003477AC" w:rsidRDefault="003477AC" w:rsidP="00F10E08">
            <w:pPr>
              <w:jc w:val="right"/>
              <w:rPr>
                <w:rFonts w:ascii="Arial" w:hAnsi="Arial" w:cs="Arial"/>
                <w:b/>
                <w:bCs/>
              </w:rPr>
            </w:pPr>
            <w:r w:rsidRPr="003477AC">
              <w:rPr>
                <w:rFonts w:ascii="Arial" w:hAnsi="Arial" w:cs="Arial"/>
                <w:b/>
                <w:bCs/>
              </w:rPr>
              <w:t>8,373,000</w:t>
            </w:r>
          </w:p>
        </w:tc>
      </w:tr>
    </w:tbl>
    <w:p w:rsidR="004525C8" w:rsidRDefault="004525C8" w:rsidP="00CD616B">
      <w:pPr>
        <w:pStyle w:val="Heading5"/>
        <w:spacing w:line="240" w:lineRule="auto"/>
        <w:rPr>
          <w:rFonts w:ascii="Arial" w:hAnsi="Arial" w:cs="Arial"/>
          <w:sz w:val="24"/>
        </w:rPr>
      </w:pPr>
    </w:p>
    <w:p w:rsidR="00CD616B" w:rsidRPr="00CD616B" w:rsidRDefault="00CD616B" w:rsidP="00CD616B">
      <w:pPr>
        <w:pStyle w:val="Heading5"/>
        <w:spacing w:line="240" w:lineRule="auto"/>
        <w:rPr>
          <w:rFonts w:ascii="Arial" w:hAnsi="Arial" w:cs="Arial"/>
          <w:sz w:val="24"/>
        </w:rPr>
      </w:pPr>
      <w:r w:rsidRPr="00CD616B">
        <w:rPr>
          <w:rFonts w:ascii="Arial" w:hAnsi="Arial" w:cs="Arial"/>
          <w:sz w:val="24"/>
        </w:rPr>
        <w:t>Public Cost:</w:t>
      </w:r>
    </w:p>
    <w:p w:rsidR="00CD616B" w:rsidRDefault="00CD616B" w:rsidP="00CD616B">
      <w:pPr>
        <w:rPr>
          <w:rFonts w:ascii="Arial" w:hAnsi="Arial" w:cs="Arial"/>
          <w:sz w:val="24"/>
          <w:szCs w:val="24"/>
        </w:rPr>
      </w:pPr>
    </w:p>
    <w:p w:rsidR="00B02D55" w:rsidRDefault="004525C8" w:rsidP="004525C8">
      <w:pPr>
        <w:ind w:left="720"/>
        <w:rPr>
          <w:rFonts w:ascii="Arial" w:hAnsi="Arial" w:cs="Arial"/>
          <w:sz w:val="24"/>
          <w:szCs w:val="24"/>
        </w:rPr>
      </w:pPr>
      <w:r>
        <w:rPr>
          <w:rFonts w:ascii="Arial" w:hAnsi="Arial" w:cs="Arial"/>
          <w:sz w:val="24"/>
          <w:szCs w:val="24"/>
        </w:rPr>
        <w:t xml:space="preserve">The new estimated number of respondents above reflects the near elimination of the I-94W paper form. </w:t>
      </w:r>
      <w:r w:rsidR="00B02D55">
        <w:rPr>
          <w:rFonts w:ascii="Arial" w:hAnsi="Arial" w:cs="Arial"/>
          <w:sz w:val="24"/>
          <w:szCs w:val="24"/>
        </w:rPr>
        <w:t>CBP estimates that .05 percent of travelers (</w:t>
      </w:r>
      <w:r w:rsidR="00DA6CBE">
        <w:rPr>
          <w:rFonts w:ascii="Arial" w:hAnsi="Arial" w:cs="Arial"/>
          <w:sz w:val="24"/>
          <w:szCs w:val="24"/>
        </w:rPr>
        <w:t>95</w:t>
      </w:r>
      <w:r w:rsidR="00B02D55">
        <w:rPr>
          <w:rFonts w:ascii="Arial" w:hAnsi="Arial" w:cs="Arial"/>
          <w:sz w:val="24"/>
          <w:szCs w:val="24"/>
        </w:rPr>
        <w:t xml:space="preserve">,000 </w:t>
      </w:r>
      <w:r w:rsidR="00DA6CBE">
        <w:rPr>
          <w:rFonts w:ascii="Arial" w:hAnsi="Arial" w:cs="Arial"/>
          <w:sz w:val="24"/>
          <w:szCs w:val="24"/>
        </w:rPr>
        <w:t>of 19</w:t>
      </w:r>
      <w:r w:rsidR="00F62ADD">
        <w:rPr>
          <w:rFonts w:ascii="Arial" w:hAnsi="Arial" w:cs="Arial"/>
          <w:sz w:val="24"/>
          <w:szCs w:val="24"/>
        </w:rPr>
        <w:t xml:space="preserve"> million</w:t>
      </w:r>
      <w:r w:rsidR="00340530">
        <w:rPr>
          <w:rFonts w:ascii="Arial" w:hAnsi="Arial" w:cs="Arial"/>
          <w:sz w:val="24"/>
          <w:szCs w:val="24"/>
        </w:rPr>
        <w:t>,</w:t>
      </w:r>
      <w:r w:rsidR="00F62ADD">
        <w:rPr>
          <w:rFonts w:ascii="Arial" w:hAnsi="Arial" w:cs="Arial"/>
          <w:sz w:val="24"/>
          <w:szCs w:val="24"/>
        </w:rPr>
        <w:t xml:space="preserve"> rounded to 100,000</w:t>
      </w:r>
      <w:r w:rsidR="00B02D55">
        <w:rPr>
          <w:rFonts w:ascii="Arial" w:hAnsi="Arial" w:cs="Arial"/>
          <w:sz w:val="24"/>
          <w:szCs w:val="24"/>
        </w:rPr>
        <w:t>) will need to complete the I-94W. These travelers arrive primarily in the land border environment and cannot take advantage of ESTA.</w:t>
      </w:r>
      <w:r w:rsidR="00DA6CBE">
        <w:rPr>
          <w:rFonts w:ascii="Arial" w:hAnsi="Arial" w:cs="Arial"/>
          <w:sz w:val="24"/>
          <w:szCs w:val="24"/>
        </w:rPr>
        <w:t xml:space="preserve"> Additionally, CBP has updated the total number of </w:t>
      </w:r>
      <w:r w:rsidR="00340530">
        <w:rPr>
          <w:rFonts w:ascii="Arial" w:hAnsi="Arial" w:cs="Arial"/>
          <w:sz w:val="24"/>
          <w:szCs w:val="24"/>
        </w:rPr>
        <w:t>VWP</w:t>
      </w:r>
      <w:r w:rsidR="00DA6CBE">
        <w:rPr>
          <w:rFonts w:ascii="Arial" w:hAnsi="Arial" w:cs="Arial"/>
          <w:sz w:val="24"/>
          <w:szCs w:val="24"/>
        </w:rPr>
        <w:t xml:space="preserve"> travelers to reflect the most recent estimates of travel levels</w:t>
      </w:r>
      <w:r w:rsidR="00F62ADD">
        <w:rPr>
          <w:rFonts w:ascii="Arial" w:hAnsi="Arial" w:cs="Arial"/>
          <w:sz w:val="24"/>
          <w:szCs w:val="24"/>
        </w:rPr>
        <w:t xml:space="preserve"> (19 million) less the number </w:t>
      </w:r>
      <w:r w:rsidR="00340530">
        <w:rPr>
          <w:rFonts w:ascii="Arial" w:hAnsi="Arial" w:cs="Arial"/>
          <w:sz w:val="24"/>
          <w:szCs w:val="24"/>
        </w:rPr>
        <w:t>who</w:t>
      </w:r>
      <w:r w:rsidR="00F62ADD">
        <w:rPr>
          <w:rFonts w:ascii="Arial" w:hAnsi="Arial" w:cs="Arial"/>
          <w:sz w:val="24"/>
          <w:szCs w:val="24"/>
        </w:rPr>
        <w:t xml:space="preserve"> will not use ESTA (100,000), which is a total of 18.9 million ESTA users</w:t>
      </w:r>
      <w:r w:rsidR="00DA6CBE">
        <w:rPr>
          <w:rFonts w:ascii="Arial" w:hAnsi="Arial" w:cs="Arial"/>
          <w:sz w:val="24"/>
          <w:szCs w:val="24"/>
        </w:rPr>
        <w:t>.</w:t>
      </w:r>
    </w:p>
    <w:p w:rsidR="00B02D55" w:rsidRDefault="00B02D55" w:rsidP="004525C8">
      <w:pPr>
        <w:ind w:left="720"/>
        <w:rPr>
          <w:rFonts w:ascii="Arial" w:hAnsi="Arial" w:cs="Arial"/>
          <w:sz w:val="24"/>
          <w:szCs w:val="24"/>
        </w:rPr>
      </w:pPr>
    </w:p>
    <w:p w:rsidR="00B02D55" w:rsidRDefault="00B02D55" w:rsidP="00B02D55">
      <w:pPr>
        <w:ind w:left="720"/>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sidR="00F62ADD" w:rsidRPr="00F62ADD">
        <w:rPr>
          <w:rFonts w:ascii="Arial" w:hAnsi="Arial" w:cs="Arial"/>
          <w:b/>
          <w:bCs/>
          <w:sz w:val="24"/>
        </w:rPr>
        <w:t>$382,808,400</w:t>
      </w:r>
      <w:r w:rsidR="00F62ADD">
        <w:rPr>
          <w:rFonts w:ascii="Arial" w:hAnsi="Arial" w:cs="Arial"/>
          <w:b/>
          <w:bCs/>
          <w:sz w:val="24"/>
        </w:rPr>
        <w:t xml:space="preserve"> </w:t>
      </w:r>
      <w:r>
        <w:rPr>
          <w:rFonts w:ascii="Arial" w:hAnsi="Arial" w:cs="Arial"/>
          <w:bCs/>
          <w:sz w:val="24"/>
        </w:rPr>
        <w:t>and is calculated as follows:</w:t>
      </w:r>
    </w:p>
    <w:p w:rsidR="00B02D55" w:rsidRPr="00E66C5D" w:rsidRDefault="00B02D55" w:rsidP="00B02D55">
      <w:pPr>
        <w:ind w:left="720"/>
        <w:rPr>
          <w:rFonts w:ascii="Arial" w:hAnsi="Arial" w:cs="Arial"/>
          <w:bCs/>
          <w:sz w:val="24"/>
        </w:rPr>
      </w:pPr>
    </w:p>
    <w:tbl>
      <w:tblPr>
        <w:tblStyle w:val="TableGrid"/>
        <w:tblW w:w="0" w:type="auto"/>
        <w:tblLook w:val="01E0"/>
      </w:tblPr>
      <w:tblGrid>
        <w:gridCol w:w="1731"/>
        <w:gridCol w:w="1732"/>
        <w:gridCol w:w="1731"/>
        <w:gridCol w:w="1732"/>
        <w:gridCol w:w="1732"/>
      </w:tblGrid>
      <w:tr w:rsidR="00582504" w:rsidRPr="00E66C5D" w:rsidTr="00340530">
        <w:tc>
          <w:tcPr>
            <w:tcW w:w="1731" w:type="dxa"/>
            <w:vAlign w:val="bottom"/>
          </w:tcPr>
          <w:p w:rsidR="00582504" w:rsidRPr="00E66C5D" w:rsidRDefault="00582504" w:rsidP="00F10E08">
            <w:pPr>
              <w:jc w:val="center"/>
              <w:rPr>
                <w:rFonts w:ascii="Arial" w:hAnsi="Arial" w:cs="Arial"/>
              </w:rPr>
            </w:pPr>
            <w:r>
              <w:rPr>
                <w:rFonts w:ascii="Arial" w:hAnsi="Arial" w:cs="Arial"/>
              </w:rPr>
              <w:t>Form/Collection</w:t>
            </w:r>
          </w:p>
        </w:tc>
        <w:tc>
          <w:tcPr>
            <w:tcW w:w="1732" w:type="dxa"/>
            <w:vAlign w:val="bottom"/>
          </w:tcPr>
          <w:p w:rsidR="00582504" w:rsidRPr="00E66C5D" w:rsidRDefault="00582504" w:rsidP="00F10E08">
            <w:pPr>
              <w:jc w:val="center"/>
              <w:rPr>
                <w:rFonts w:ascii="Arial" w:hAnsi="Arial" w:cs="Arial"/>
              </w:rPr>
            </w:pPr>
            <w:r w:rsidRPr="00E66C5D">
              <w:rPr>
                <w:rFonts w:ascii="Arial" w:hAnsi="Arial" w:cs="Arial"/>
              </w:rPr>
              <w:t>Respondents</w:t>
            </w:r>
          </w:p>
        </w:tc>
        <w:tc>
          <w:tcPr>
            <w:tcW w:w="1731" w:type="dxa"/>
            <w:vAlign w:val="bottom"/>
          </w:tcPr>
          <w:p w:rsidR="00582504" w:rsidRPr="00E66C5D" w:rsidRDefault="00582504" w:rsidP="00F10E08">
            <w:pPr>
              <w:jc w:val="center"/>
              <w:rPr>
                <w:rFonts w:ascii="Arial" w:hAnsi="Arial" w:cs="Arial"/>
              </w:rPr>
            </w:pPr>
            <w:r w:rsidRPr="00E66C5D">
              <w:rPr>
                <w:rFonts w:ascii="Arial" w:hAnsi="Arial" w:cs="Arial"/>
              </w:rPr>
              <w:t>Value of time ($28.00 per hour)</w:t>
            </w:r>
          </w:p>
        </w:tc>
        <w:tc>
          <w:tcPr>
            <w:tcW w:w="1732" w:type="dxa"/>
            <w:vAlign w:val="bottom"/>
          </w:tcPr>
          <w:p w:rsidR="00582504" w:rsidRPr="00E66C5D" w:rsidRDefault="00582504" w:rsidP="00F10E08">
            <w:pPr>
              <w:jc w:val="center"/>
              <w:rPr>
                <w:rFonts w:ascii="Arial" w:hAnsi="Arial" w:cs="Arial"/>
              </w:rPr>
            </w:pPr>
            <w:r w:rsidRPr="00E66C5D">
              <w:rPr>
                <w:rFonts w:ascii="Arial" w:hAnsi="Arial" w:cs="Arial"/>
              </w:rPr>
              <w:t>Immigration fee ($6 per respondent)</w:t>
            </w:r>
          </w:p>
        </w:tc>
        <w:tc>
          <w:tcPr>
            <w:tcW w:w="1732" w:type="dxa"/>
            <w:vAlign w:val="bottom"/>
          </w:tcPr>
          <w:p w:rsidR="00582504" w:rsidRPr="00E66C5D" w:rsidRDefault="00582504" w:rsidP="00F10E08">
            <w:pPr>
              <w:jc w:val="center"/>
              <w:rPr>
                <w:rFonts w:ascii="Arial" w:hAnsi="Arial" w:cs="Arial"/>
              </w:rPr>
            </w:pPr>
            <w:r w:rsidRPr="00E66C5D">
              <w:rPr>
                <w:rFonts w:ascii="Arial" w:hAnsi="Arial" w:cs="Arial"/>
              </w:rPr>
              <w:t xml:space="preserve">Total </w:t>
            </w:r>
            <w:r>
              <w:rPr>
                <w:rFonts w:ascii="Arial" w:hAnsi="Arial" w:cs="Arial"/>
              </w:rPr>
              <w:t xml:space="preserve">public </w:t>
            </w:r>
            <w:r w:rsidRPr="00E66C5D">
              <w:rPr>
                <w:rFonts w:ascii="Arial" w:hAnsi="Arial" w:cs="Arial"/>
              </w:rPr>
              <w:t>cost</w:t>
            </w:r>
          </w:p>
        </w:tc>
      </w:tr>
      <w:tr w:rsidR="00582504" w:rsidRPr="00E66C5D" w:rsidTr="00340530">
        <w:tc>
          <w:tcPr>
            <w:tcW w:w="1731" w:type="dxa"/>
          </w:tcPr>
          <w:p w:rsidR="00582504" w:rsidRPr="00E66C5D" w:rsidRDefault="00582504" w:rsidP="00F10E08">
            <w:pPr>
              <w:rPr>
                <w:rFonts w:ascii="Arial" w:hAnsi="Arial" w:cs="Arial"/>
              </w:rPr>
            </w:pPr>
            <w:r w:rsidRPr="00E66C5D">
              <w:rPr>
                <w:rFonts w:ascii="Arial" w:hAnsi="Arial" w:cs="Arial"/>
              </w:rPr>
              <w:t>I-94</w:t>
            </w:r>
          </w:p>
        </w:tc>
        <w:tc>
          <w:tcPr>
            <w:tcW w:w="1732" w:type="dxa"/>
          </w:tcPr>
          <w:p w:rsidR="00582504" w:rsidRPr="00E66C5D" w:rsidRDefault="00582504" w:rsidP="00F10E08">
            <w:pPr>
              <w:jc w:val="right"/>
              <w:rPr>
                <w:rFonts w:ascii="Arial" w:hAnsi="Arial" w:cs="Arial"/>
              </w:rPr>
            </w:pPr>
            <w:r w:rsidRPr="00E66C5D">
              <w:rPr>
                <w:rFonts w:ascii="Arial" w:hAnsi="Arial" w:cs="Arial"/>
              </w:rPr>
              <w:t>14,000,000</w:t>
            </w:r>
          </w:p>
        </w:tc>
        <w:tc>
          <w:tcPr>
            <w:tcW w:w="1731" w:type="dxa"/>
          </w:tcPr>
          <w:p w:rsidR="00582504" w:rsidRPr="00E66C5D" w:rsidRDefault="00582504" w:rsidP="00F10E08">
            <w:pPr>
              <w:jc w:val="right"/>
              <w:rPr>
                <w:rFonts w:ascii="Arial" w:hAnsi="Arial" w:cs="Arial"/>
              </w:rPr>
            </w:pPr>
            <w:r w:rsidRPr="00E66C5D">
              <w:rPr>
                <w:rFonts w:ascii="Arial" w:hAnsi="Arial" w:cs="Arial"/>
              </w:rPr>
              <w:t>$52,136,000</w:t>
            </w:r>
          </w:p>
        </w:tc>
        <w:tc>
          <w:tcPr>
            <w:tcW w:w="1732" w:type="dxa"/>
          </w:tcPr>
          <w:p w:rsidR="00582504" w:rsidRPr="00E66C5D" w:rsidRDefault="00582504" w:rsidP="00F10E08">
            <w:pPr>
              <w:jc w:val="right"/>
              <w:rPr>
                <w:rFonts w:ascii="Arial" w:hAnsi="Arial" w:cs="Arial"/>
              </w:rPr>
            </w:pPr>
            <w:r w:rsidRPr="00E66C5D">
              <w:rPr>
                <w:rFonts w:ascii="Arial" w:hAnsi="Arial" w:cs="Arial"/>
              </w:rPr>
              <w:t>$84,000,000</w:t>
            </w:r>
          </w:p>
        </w:tc>
        <w:tc>
          <w:tcPr>
            <w:tcW w:w="1732" w:type="dxa"/>
          </w:tcPr>
          <w:p w:rsidR="00582504" w:rsidRPr="00E66C5D" w:rsidRDefault="00582504" w:rsidP="00F10E08">
            <w:pPr>
              <w:jc w:val="right"/>
              <w:rPr>
                <w:rFonts w:ascii="Arial" w:hAnsi="Arial" w:cs="Arial"/>
              </w:rPr>
            </w:pPr>
            <w:r>
              <w:rPr>
                <w:rFonts w:ascii="Arial" w:hAnsi="Arial" w:cs="Arial"/>
              </w:rPr>
              <w:t>$136,136,000</w:t>
            </w:r>
          </w:p>
        </w:tc>
      </w:tr>
      <w:tr w:rsidR="00582504" w:rsidRPr="00E66C5D" w:rsidTr="00340530">
        <w:tc>
          <w:tcPr>
            <w:tcW w:w="1731" w:type="dxa"/>
          </w:tcPr>
          <w:p w:rsidR="00582504" w:rsidRPr="00E66C5D" w:rsidRDefault="00582504" w:rsidP="00F10E08">
            <w:pPr>
              <w:rPr>
                <w:rFonts w:ascii="Arial" w:hAnsi="Arial" w:cs="Arial"/>
              </w:rPr>
            </w:pPr>
            <w:r>
              <w:rPr>
                <w:rFonts w:ascii="Arial" w:hAnsi="Arial" w:cs="Arial"/>
              </w:rPr>
              <w:t>I-94W</w:t>
            </w:r>
          </w:p>
        </w:tc>
        <w:tc>
          <w:tcPr>
            <w:tcW w:w="1732" w:type="dxa"/>
          </w:tcPr>
          <w:p w:rsidR="00582504" w:rsidRPr="00E66C5D" w:rsidRDefault="00F62ADD" w:rsidP="00F10E08">
            <w:pPr>
              <w:jc w:val="right"/>
              <w:rPr>
                <w:rFonts w:ascii="Arial" w:hAnsi="Arial" w:cs="Arial"/>
              </w:rPr>
            </w:pPr>
            <w:r>
              <w:rPr>
                <w:rFonts w:ascii="Arial" w:hAnsi="Arial" w:cs="Arial"/>
              </w:rPr>
              <w:t>100</w:t>
            </w:r>
            <w:r w:rsidR="00582504">
              <w:rPr>
                <w:rFonts w:ascii="Arial" w:hAnsi="Arial" w:cs="Arial"/>
              </w:rPr>
              <w:t>,000</w:t>
            </w:r>
          </w:p>
        </w:tc>
        <w:tc>
          <w:tcPr>
            <w:tcW w:w="1731" w:type="dxa"/>
          </w:tcPr>
          <w:p w:rsidR="00582504" w:rsidRPr="00E66C5D" w:rsidRDefault="00F62ADD" w:rsidP="00F10E08">
            <w:pPr>
              <w:jc w:val="right"/>
              <w:rPr>
                <w:rFonts w:ascii="Arial" w:hAnsi="Arial" w:cs="Arial"/>
              </w:rPr>
            </w:pPr>
            <w:r>
              <w:rPr>
                <w:rFonts w:ascii="Arial" w:hAnsi="Arial" w:cs="Arial"/>
              </w:rPr>
              <w:t>372,400</w:t>
            </w:r>
          </w:p>
        </w:tc>
        <w:tc>
          <w:tcPr>
            <w:tcW w:w="1732" w:type="dxa"/>
          </w:tcPr>
          <w:p w:rsidR="00582504" w:rsidRPr="00B02D55" w:rsidRDefault="00F62ADD" w:rsidP="00F10E08">
            <w:pPr>
              <w:jc w:val="right"/>
              <w:rPr>
                <w:rFonts w:ascii="Arial" w:hAnsi="Arial" w:cs="Arial"/>
              </w:rPr>
            </w:pPr>
            <w:r>
              <w:rPr>
                <w:rFonts w:ascii="Arial" w:hAnsi="Arial" w:cs="Arial"/>
              </w:rPr>
              <w:t>114</w:t>
            </w:r>
            <w:r w:rsidR="00582504" w:rsidRPr="00B02D55">
              <w:rPr>
                <w:rFonts w:ascii="Arial" w:hAnsi="Arial" w:cs="Arial"/>
              </w:rPr>
              <w:t>,000,000</w:t>
            </w:r>
            <w:r w:rsidR="00582504">
              <w:rPr>
                <w:rFonts w:ascii="Arial" w:hAnsi="Arial" w:cs="Arial"/>
              </w:rPr>
              <w:t>*</w:t>
            </w:r>
          </w:p>
        </w:tc>
        <w:tc>
          <w:tcPr>
            <w:tcW w:w="1732" w:type="dxa"/>
          </w:tcPr>
          <w:p w:rsidR="00582504" w:rsidRPr="00F62ADD" w:rsidRDefault="00F62ADD" w:rsidP="00F10E08">
            <w:pPr>
              <w:jc w:val="right"/>
              <w:rPr>
                <w:rFonts w:ascii="Arial" w:hAnsi="Arial" w:cs="Arial"/>
              </w:rPr>
            </w:pPr>
            <w:r w:rsidRPr="00F62ADD">
              <w:rPr>
                <w:rFonts w:ascii="Arial" w:hAnsi="Arial" w:cs="Arial"/>
              </w:rPr>
              <w:t>114,372,400</w:t>
            </w:r>
          </w:p>
        </w:tc>
      </w:tr>
      <w:tr w:rsidR="00582504" w:rsidRPr="00E66C5D" w:rsidTr="00340530">
        <w:tc>
          <w:tcPr>
            <w:tcW w:w="1731" w:type="dxa"/>
          </w:tcPr>
          <w:p w:rsidR="00582504" w:rsidRDefault="00582504" w:rsidP="00F10E08">
            <w:pPr>
              <w:rPr>
                <w:rFonts w:ascii="Arial" w:hAnsi="Arial" w:cs="Arial"/>
              </w:rPr>
            </w:pPr>
            <w:r>
              <w:rPr>
                <w:rFonts w:ascii="Arial" w:hAnsi="Arial" w:cs="Arial"/>
              </w:rPr>
              <w:t>ESTA burden</w:t>
            </w:r>
          </w:p>
        </w:tc>
        <w:tc>
          <w:tcPr>
            <w:tcW w:w="1732" w:type="dxa"/>
          </w:tcPr>
          <w:p w:rsidR="00582504" w:rsidRDefault="00F62ADD" w:rsidP="00F10E08">
            <w:pPr>
              <w:jc w:val="right"/>
              <w:rPr>
                <w:rFonts w:ascii="Arial" w:hAnsi="Arial" w:cs="Arial"/>
              </w:rPr>
            </w:pPr>
            <w:r>
              <w:rPr>
                <w:rFonts w:ascii="Arial" w:hAnsi="Arial" w:cs="Arial"/>
              </w:rPr>
              <w:t>18,900,000</w:t>
            </w:r>
          </w:p>
        </w:tc>
        <w:tc>
          <w:tcPr>
            <w:tcW w:w="1731" w:type="dxa"/>
          </w:tcPr>
          <w:p w:rsidR="00582504" w:rsidRDefault="00582504" w:rsidP="00F10E08">
            <w:pPr>
              <w:jc w:val="right"/>
              <w:rPr>
                <w:rFonts w:ascii="Arial" w:hAnsi="Arial" w:cs="Arial"/>
              </w:rPr>
            </w:pPr>
            <w:r>
              <w:rPr>
                <w:rFonts w:ascii="Arial" w:hAnsi="Arial" w:cs="Arial"/>
              </w:rPr>
              <w:t>1</w:t>
            </w:r>
            <w:r w:rsidR="00F62ADD">
              <w:rPr>
                <w:rFonts w:ascii="Arial" w:hAnsi="Arial" w:cs="Arial"/>
              </w:rPr>
              <w:t>32,3</w:t>
            </w:r>
            <w:r>
              <w:rPr>
                <w:rFonts w:ascii="Arial" w:hAnsi="Arial" w:cs="Arial"/>
              </w:rPr>
              <w:t>00,000</w:t>
            </w:r>
          </w:p>
        </w:tc>
        <w:tc>
          <w:tcPr>
            <w:tcW w:w="1732" w:type="dxa"/>
          </w:tcPr>
          <w:p w:rsidR="00582504" w:rsidRDefault="00582504" w:rsidP="00F10E08">
            <w:pPr>
              <w:jc w:val="right"/>
              <w:rPr>
                <w:rFonts w:ascii="Arial" w:hAnsi="Arial" w:cs="Arial"/>
              </w:rPr>
            </w:pPr>
            <w:r>
              <w:rPr>
                <w:rFonts w:ascii="Arial" w:hAnsi="Arial" w:cs="Arial"/>
              </w:rPr>
              <w:t>0</w:t>
            </w:r>
          </w:p>
        </w:tc>
        <w:tc>
          <w:tcPr>
            <w:tcW w:w="1732" w:type="dxa"/>
          </w:tcPr>
          <w:p w:rsidR="00582504" w:rsidRDefault="00F62ADD" w:rsidP="00F10E08">
            <w:pPr>
              <w:jc w:val="right"/>
              <w:rPr>
                <w:rFonts w:ascii="Arial" w:hAnsi="Arial" w:cs="Arial"/>
              </w:rPr>
            </w:pPr>
            <w:r>
              <w:rPr>
                <w:rFonts w:ascii="Arial" w:hAnsi="Arial" w:cs="Arial"/>
              </w:rPr>
              <w:t>132,300,000</w:t>
            </w:r>
          </w:p>
        </w:tc>
      </w:tr>
      <w:tr w:rsidR="00582504" w:rsidRPr="00E66C5D" w:rsidTr="00340530">
        <w:tc>
          <w:tcPr>
            <w:tcW w:w="1731" w:type="dxa"/>
          </w:tcPr>
          <w:p w:rsidR="00582504" w:rsidRPr="00E66C5D" w:rsidRDefault="00582504" w:rsidP="00F10E08">
            <w:pPr>
              <w:rPr>
                <w:rFonts w:ascii="Arial" w:hAnsi="Arial" w:cs="Arial"/>
                <w:b/>
              </w:rPr>
            </w:pPr>
            <w:r w:rsidRPr="00E66C5D">
              <w:rPr>
                <w:rFonts w:ascii="Arial" w:hAnsi="Arial" w:cs="Arial"/>
                <w:b/>
              </w:rPr>
              <w:t>Grand total</w:t>
            </w:r>
          </w:p>
        </w:tc>
        <w:tc>
          <w:tcPr>
            <w:tcW w:w="1732" w:type="dxa"/>
          </w:tcPr>
          <w:p w:rsidR="00582504" w:rsidRPr="00E66C5D" w:rsidRDefault="00582504" w:rsidP="00F10E08">
            <w:pPr>
              <w:jc w:val="right"/>
              <w:rPr>
                <w:rFonts w:ascii="Arial" w:hAnsi="Arial" w:cs="Arial"/>
                <w:b/>
              </w:rPr>
            </w:pPr>
          </w:p>
        </w:tc>
        <w:tc>
          <w:tcPr>
            <w:tcW w:w="1731" w:type="dxa"/>
          </w:tcPr>
          <w:p w:rsidR="00582504" w:rsidRPr="00F62ADD" w:rsidRDefault="00F62ADD" w:rsidP="00F10E08">
            <w:pPr>
              <w:jc w:val="right"/>
              <w:rPr>
                <w:rFonts w:ascii="Arial" w:hAnsi="Arial" w:cs="Arial"/>
                <w:b/>
              </w:rPr>
            </w:pPr>
            <w:r w:rsidRPr="00F62ADD">
              <w:rPr>
                <w:rFonts w:ascii="Arial" w:hAnsi="Arial" w:cs="Arial"/>
                <w:b/>
              </w:rPr>
              <w:t>$184,808,400</w:t>
            </w:r>
          </w:p>
        </w:tc>
        <w:tc>
          <w:tcPr>
            <w:tcW w:w="1732" w:type="dxa"/>
          </w:tcPr>
          <w:p w:rsidR="00582504" w:rsidRPr="00E66C5D" w:rsidRDefault="00582504" w:rsidP="00F10E08">
            <w:pPr>
              <w:jc w:val="right"/>
              <w:rPr>
                <w:rFonts w:ascii="Arial" w:hAnsi="Arial" w:cs="Arial"/>
                <w:b/>
              </w:rPr>
            </w:pPr>
            <w:r w:rsidRPr="00E66C5D">
              <w:rPr>
                <w:rFonts w:ascii="Arial" w:hAnsi="Arial" w:cs="Arial"/>
                <w:b/>
              </w:rPr>
              <w:t>$</w:t>
            </w:r>
            <w:r w:rsidR="00F62ADD">
              <w:rPr>
                <w:rFonts w:ascii="Arial" w:hAnsi="Arial" w:cs="Arial"/>
                <w:b/>
              </w:rPr>
              <w:t>198</w:t>
            </w:r>
            <w:r w:rsidRPr="00E66C5D">
              <w:rPr>
                <w:rFonts w:ascii="Arial" w:hAnsi="Arial" w:cs="Arial"/>
                <w:b/>
              </w:rPr>
              <w:t>,000,000</w:t>
            </w:r>
          </w:p>
        </w:tc>
        <w:tc>
          <w:tcPr>
            <w:tcW w:w="1732" w:type="dxa"/>
          </w:tcPr>
          <w:p w:rsidR="00582504" w:rsidRPr="00F62ADD" w:rsidRDefault="00F62ADD" w:rsidP="00F10E08">
            <w:pPr>
              <w:jc w:val="right"/>
              <w:rPr>
                <w:rFonts w:ascii="Arial" w:hAnsi="Arial" w:cs="Arial"/>
                <w:b/>
              </w:rPr>
            </w:pPr>
            <w:r w:rsidRPr="00F62ADD">
              <w:rPr>
                <w:rFonts w:ascii="Arial" w:hAnsi="Arial" w:cs="Arial"/>
                <w:b/>
              </w:rPr>
              <w:t>$382,808,400</w:t>
            </w:r>
          </w:p>
        </w:tc>
      </w:tr>
    </w:tbl>
    <w:p w:rsidR="004525C8" w:rsidRPr="00B02D55" w:rsidRDefault="00B02D55" w:rsidP="00B02D55">
      <w:pPr>
        <w:rPr>
          <w:rFonts w:ascii="Arial" w:hAnsi="Arial" w:cs="Arial"/>
        </w:rPr>
      </w:pPr>
      <w:r w:rsidRPr="00B02D55">
        <w:rPr>
          <w:rFonts w:ascii="Arial" w:hAnsi="Arial" w:cs="Arial"/>
        </w:rPr>
        <w:t xml:space="preserve"> *Note that while VWP travelers will largely forgo completing the I-94W, they will still be charge</w:t>
      </w:r>
      <w:r w:rsidR="00F62ADD">
        <w:rPr>
          <w:rFonts w:ascii="Arial" w:hAnsi="Arial" w:cs="Arial"/>
        </w:rPr>
        <w:t>d</w:t>
      </w:r>
      <w:r w:rsidRPr="00B02D55">
        <w:rPr>
          <w:rFonts w:ascii="Arial" w:hAnsi="Arial" w:cs="Arial"/>
        </w:rPr>
        <w:t xml:space="preserve"> the Immigration Fee of $6. This fee is collected upon booking the travel to the </w:t>
      </w:r>
      <w:smartTag w:uri="urn:schemas-microsoft-com:office:smarttags" w:element="country-region">
        <w:smartTag w:uri="urn:schemas-microsoft-com:office:smarttags" w:element="place">
          <w:r w:rsidRPr="00B02D55">
            <w:rPr>
              <w:rFonts w:ascii="Arial" w:hAnsi="Arial" w:cs="Arial"/>
            </w:rPr>
            <w:t>United States</w:t>
          </w:r>
        </w:smartTag>
      </w:smartTag>
      <w:r w:rsidRPr="00B02D55">
        <w:rPr>
          <w:rFonts w:ascii="Arial" w:hAnsi="Arial" w:cs="Arial"/>
        </w:rPr>
        <w:t xml:space="preserve"> or is collected by the CBP officer at the land bor</w:t>
      </w:r>
      <w:r w:rsidR="00340530">
        <w:rPr>
          <w:rFonts w:ascii="Arial" w:hAnsi="Arial" w:cs="Arial"/>
        </w:rPr>
        <w:t>der port of entry</w:t>
      </w:r>
      <w:r w:rsidRPr="00B02D55">
        <w:rPr>
          <w:rFonts w:ascii="Arial" w:hAnsi="Arial" w:cs="Arial"/>
        </w:rPr>
        <w:t>.</w:t>
      </w:r>
      <w:r>
        <w:rPr>
          <w:rFonts w:ascii="Arial" w:hAnsi="Arial" w:cs="Arial"/>
        </w:rPr>
        <w:t xml:space="preserve"> Thus, the immi</w:t>
      </w:r>
      <w:r w:rsidR="00F62ADD">
        <w:rPr>
          <w:rFonts w:ascii="Arial" w:hAnsi="Arial" w:cs="Arial"/>
        </w:rPr>
        <w:t>gration fee is charged to all 19</w:t>
      </w:r>
      <w:r>
        <w:rPr>
          <w:rFonts w:ascii="Arial" w:hAnsi="Arial" w:cs="Arial"/>
        </w:rPr>
        <w:t xml:space="preserve"> million VWP travelers</w:t>
      </w:r>
      <w:r w:rsidR="00F62ADD">
        <w:rPr>
          <w:rFonts w:ascii="Arial" w:hAnsi="Arial" w:cs="Arial"/>
        </w:rPr>
        <w:t xml:space="preserve"> (19</w:t>
      </w:r>
      <w:r>
        <w:rPr>
          <w:rFonts w:ascii="Arial" w:hAnsi="Arial" w:cs="Arial"/>
        </w:rPr>
        <w:t xml:space="preserve"> million × $6 = </w:t>
      </w:r>
      <w:r w:rsidR="00582504">
        <w:rPr>
          <w:rFonts w:ascii="Arial" w:hAnsi="Arial" w:cs="Arial"/>
        </w:rPr>
        <w:t>$</w:t>
      </w:r>
      <w:r w:rsidR="00F62ADD">
        <w:rPr>
          <w:rFonts w:ascii="Arial" w:hAnsi="Arial" w:cs="Arial"/>
        </w:rPr>
        <w:t>114</w:t>
      </w:r>
      <w:r w:rsidR="00582504">
        <w:rPr>
          <w:rFonts w:ascii="Arial" w:hAnsi="Arial" w:cs="Arial"/>
        </w:rPr>
        <w:t xml:space="preserve"> million).</w:t>
      </w:r>
    </w:p>
    <w:p w:rsidR="004525C8" w:rsidRDefault="004525C8" w:rsidP="00687BD2">
      <w:pPr>
        <w:ind w:left="720"/>
        <w:jc w:val="both"/>
        <w:rPr>
          <w:rFonts w:ascii="Arial" w:hAnsi="Arial" w:cs="Arial"/>
          <w:sz w:val="24"/>
        </w:rPr>
      </w:pPr>
    </w:p>
    <w:p w:rsidR="004525C8" w:rsidRDefault="004525C8" w:rsidP="00687BD2">
      <w:pPr>
        <w:ind w:left="720"/>
        <w:jc w:val="both"/>
        <w:rPr>
          <w:rFonts w:ascii="Arial" w:hAnsi="Arial" w:cs="Arial"/>
          <w:sz w:val="24"/>
        </w:rPr>
      </w:pPr>
    </w:p>
    <w:p w:rsidR="004525C8" w:rsidRDefault="004525C8" w:rsidP="00687BD2">
      <w:pPr>
        <w:ind w:left="720"/>
        <w:jc w:val="both"/>
        <w:rPr>
          <w:rFonts w:ascii="Arial" w:hAnsi="Arial" w:cs="Arial"/>
          <w:sz w:val="24"/>
        </w:rPr>
      </w:pPr>
      <w:r w:rsidRPr="004525C8">
        <w:rPr>
          <w:rFonts w:ascii="Arial" w:hAnsi="Arial" w:cs="Arial"/>
          <w:sz w:val="24"/>
          <w:highlight w:val="magenta"/>
        </w:rPr>
        <w:t>OLD</w:t>
      </w:r>
    </w:p>
    <w:p w:rsidR="004525C8" w:rsidRDefault="004525C8" w:rsidP="00687BD2">
      <w:pPr>
        <w:ind w:left="720"/>
        <w:jc w:val="both"/>
        <w:rPr>
          <w:rFonts w:ascii="Arial" w:hAnsi="Arial" w:cs="Arial"/>
          <w:sz w:val="24"/>
        </w:rPr>
      </w:pPr>
    </w:p>
    <w:p w:rsidR="00687BD2" w:rsidRDefault="00687BD2" w:rsidP="00687BD2">
      <w:pPr>
        <w:ind w:left="720"/>
        <w:jc w:val="both"/>
        <w:rPr>
          <w:rFonts w:ascii="Arial" w:hAnsi="Arial" w:cs="Arial"/>
          <w:b/>
          <w:bCs/>
          <w:sz w:val="24"/>
        </w:rPr>
      </w:pPr>
      <w:r>
        <w:rPr>
          <w:rFonts w:ascii="Arial" w:hAnsi="Arial" w:cs="Arial"/>
          <w:sz w:val="24"/>
        </w:rPr>
        <w:t>The estimated annual public cost is</w:t>
      </w:r>
      <w:r>
        <w:rPr>
          <w:rFonts w:ascii="Arial" w:hAnsi="Arial" w:cs="Arial"/>
          <w:b/>
          <w:bCs/>
          <w:sz w:val="24"/>
        </w:rPr>
        <w:t xml:space="preserve"> </w:t>
      </w:r>
      <w:r w:rsidRPr="00175740">
        <w:rPr>
          <w:rFonts w:ascii="Arial" w:hAnsi="Arial" w:cs="Arial"/>
          <w:b/>
          <w:bCs/>
          <w:sz w:val="24"/>
        </w:rPr>
        <w:t>$</w:t>
      </w:r>
      <w:r w:rsidR="00031953">
        <w:rPr>
          <w:rFonts w:ascii="Arial" w:hAnsi="Arial" w:cs="Arial"/>
          <w:b/>
          <w:bCs/>
          <w:sz w:val="24"/>
        </w:rPr>
        <w:t>495</w:t>
      </w:r>
      <w:r w:rsidRPr="007E080F">
        <w:rPr>
          <w:rFonts w:ascii="Arial" w:hAnsi="Arial" w:cs="Arial"/>
          <w:b/>
          <w:bCs/>
          <w:sz w:val="24"/>
        </w:rPr>
        <w:t>,</w:t>
      </w:r>
      <w:r w:rsidR="009F1FCB">
        <w:rPr>
          <w:rFonts w:ascii="Arial" w:hAnsi="Arial" w:cs="Arial"/>
          <w:b/>
          <w:bCs/>
          <w:sz w:val="24"/>
        </w:rPr>
        <w:t>444</w:t>
      </w:r>
      <w:r w:rsidRPr="007E080F">
        <w:rPr>
          <w:rFonts w:ascii="Arial" w:hAnsi="Arial" w:cs="Arial"/>
          <w:b/>
          <w:bCs/>
          <w:sz w:val="24"/>
        </w:rPr>
        <w:t>,</w:t>
      </w:r>
      <w:r w:rsidR="009F1FCB">
        <w:rPr>
          <w:rFonts w:ascii="Arial" w:hAnsi="Arial" w:cs="Arial"/>
          <w:b/>
          <w:bCs/>
          <w:sz w:val="24"/>
        </w:rPr>
        <w:t>000</w:t>
      </w:r>
      <w:r>
        <w:rPr>
          <w:rFonts w:ascii="Arial" w:hAnsi="Arial" w:cs="Arial"/>
          <w:b/>
          <w:bCs/>
          <w:sz w:val="24"/>
        </w:rPr>
        <w:t>.</w:t>
      </w:r>
    </w:p>
    <w:p w:rsidR="00687BD2" w:rsidRDefault="00687BD2" w:rsidP="00687BD2">
      <w:pPr>
        <w:ind w:left="720"/>
        <w:jc w:val="both"/>
        <w:rPr>
          <w:rFonts w:ascii="Arial" w:hAnsi="Arial" w:cs="Arial"/>
          <w:b/>
          <w:bCs/>
          <w:sz w:val="24"/>
        </w:rPr>
      </w:pPr>
    </w:p>
    <w:p w:rsidR="00687BD2" w:rsidRPr="009806A8" w:rsidRDefault="00687BD2" w:rsidP="00687BD2">
      <w:pPr>
        <w:ind w:left="720"/>
        <w:jc w:val="both"/>
        <w:rPr>
          <w:rFonts w:ascii="Arial" w:hAnsi="Arial" w:cs="Arial"/>
          <w:sz w:val="24"/>
          <w:szCs w:val="24"/>
        </w:rPr>
      </w:pPr>
      <w:r w:rsidRPr="009806A8">
        <w:rPr>
          <w:rFonts w:ascii="Arial" w:hAnsi="Arial" w:cs="Arial"/>
          <w:sz w:val="24"/>
          <w:szCs w:val="24"/>
        </w:rPr>
        <w:t>This estimate</w:t>
      </w:r>
      <w:r w:rsidR="00BB0AE3" w:rsidRPr="009806A8">
        <w:rPr>
          <w:rFonts w:ascii="Arial" w:hAnsi="Arial" w:cs="Arial"/>
          <w:sz w:val="24"/>
          <w:szCs w:val="24"/>
        </w:rPr>
        <w:t>d</w:t>
      </w:r>
      <w:r w:rsidRPr="009806A8">
        <w:rPr>
          <w:rFonts w:ascii="Arial" w:hAnsi="Arial" w:cs="Arial"/>
          <w:sz w:val="24"/>
          <w:szCs w:val="24"/>
        </w:rPr>
        <w:t xml:space="preserve"> </w:t>
      </w:r>
      <w:r w:rsidR="00BB0AE3" w:rsidRPr="009806A8">
        <w:rPr>
          <w:rFonts w:ascii="Arial" w:hAnsi="Arial" w:cs="Arial"/>
          <w:sz w:val="24"/>
          <w:szCs w:val="24"/>
        </w:rPr>
        <w:t xml:space="preserve">costs associated with the </w:t>
      </w:r>
      <w:r w:rsidR="009F1FCB" w:rsidRPr="009806A8">
        <w:rPr>
          <w:rFonts w:ascii="Arial" w:hAnsi="Arial" w:cs="Arial"/>
          <w:sz w:val="24"/>
          <w:szCs w:val="24"/>
        </w:rPr>
        <w:t>monetization of the burden hours</w:t>
      </w:r>
      <w:r w:rsidR="00BB0AE3" w:rsidRPr="009806A8">
        <w:rPr>
          <w:rFonts w:ascii="Arial" w:hAnsi="Arial" w:cs="Arial"/>
          <w:sz w:val="24"/>
          <w:szCs w:val="24"/>
        </w:rPr>
        <w:t xml:space="preserve"> </w:t>
      </w:r>
      <w:r w:rsidR="00E757B6" w:rsidRPr="009806A8">
        <w:rPr>
          <w:rFonts w:ascii="Arial" w:hAnsi="Arial" w:cs="Arial"/>
          <w:sz w:val="24"/>
          <w:szCs w:val="24"/>
        </w:rPr>
        <w:t>are</w:t>
      </w:r>
      <w:r w:rsidR="00BB0AE3" w:rsidRPr="009806A8">
        <w:rPr>
          <w:rFonts w:ascii="Arial" w:hAnsi="Arial" w:cs="Arial"/>
          <w:sz w:val="24"/>
          <w:szCs w:val="24"/>
        </w:rPr>
        <w:t xml:space="preserve"> </w:t>
      </w:r>
      <w:r w:rsidR="00BB0AE3" w:rsidRPr="009806A8">
        <w:rPr>
          <w:rFonts w:ascii="Arial" w:hAnsi="Arial" w:cs="Arial"/>
          <w:b/>
          <w:sz w:val="24"/>
          <w:szCs w:val="24"/>
        </w:rPr>
        <w:t>$234,444,000</w:t>
      </w:r>
      <w:r w:rsidR="00BB0AE3" w:rsidRPr="009806A8">
        <w:rPr>
          <w:rFonts w:ascii="Arial" w:hAnsi="Arial" w:cs="Arial"/>
          <w:sz w:val="24"/>
          <w:szCs w:val="24"/>
        </w:rPr>
        <w:t>, which is calculated as follows</w:t>
      </w:r>
      <w:r w:rsidR="009F1FCB" w:rsidRPr="009806A8">
        <w:rPr>
          <w:rFonts w:ascii="Arial" w:hAnsi="Arial" w:cs="Arial"/>
          <w:sz w:val="24"/>
          <w:szCs w:val="24"/>
        </w:rPr>
        <w:t xml:space="preserve">:  the </w:t>
      </w:r>
      <w:r w:rsidRPr="009806A8">
        <w:rPr>
          <w:rFonts w:ascii="Arial" w:hAnsi="Arial" w:cs="Arial"/>
          <w:sz w:val="24"/>
          <w:szCs w:val="24"/>
        </w:rPr>
        <w:t>current total number of responses for the paper forms 31,</w:t>
      </w:r>
      <w:r w:rsidR="009F1FCB" w:rsidRPr="009806A8">
        <w:rPr>
          <w:rFonts w:ascii="Arial" w:hAnsi="Arial" w:cs="Arial"/>
          <w:sz w:val="24"/>
          <w:szCs w:val="24"/>
        </w:rPr>
        <w:t>000</w:t>
      </w:r>
      <w:r w:rsidRPr="009806A8">
        <w:rPr>
          <w:rFonts w:ascii="Arial" w:hAnsi="Arial" w:cs="Arial"/>
          <w:sz w:val="24"/>
          <w:szCs w:val="24"/>
        </w:rPr>
        <w:t>,</w:t>
      </w:r>
      <w:r w:rsidR="009F1FCB" w:rsidRPr="009806A8">
        <w:rPr>
          <w:rFonts w:ascii="Arial" w:hAnsi="Arial" w:cs="Arial"/>
          <w:sz w:val="24"/>
          <w:szCs w:val="24"/>
        </w:rPr>
        <w:t>000</w:t>
      </w:r>
      <w:r w:rsidRPr="009806A8">
        <w:rPr>
          <w:rFonts w:ascii="Arial" w:hAnsi="Arial" w:cs="Arial"/>
          <w:sz w:val="24"/>
          <w:szCs w:val="24"/>
        </w:rPr>
        <w:t xml:space="preserve"> (1</w:t>
      </w:r>
      <w:r w:rsidR="009F1FCB" w:rsidRPr="009806A8">
        <w:rPr>
          <w:rFonts w:ascii="Arial" w:hAnsi="Arial" w:cs="Arial"/>
          <w:sz w:val="24"/>
          <w:szCs w:val="24"/>
        </w:rPr>
        <w:t>4,000,000</w:t>
      </w:r>
      <w:r w:rsidRPr="009806A8">
        <w:rPr>
          <w:rFonts w:ascii="Arial" w:hAnsi="Arial" w:cs="Arial"/>
          <w:sz w:val="24"/>
          <w:szCs w:val="24"/>
        </w:rPr>
        <w:t xml:space="preserve"> I-94s +</w:t>
      </w:r>
      <w:r w:rsidR="009806A8">
        <w:rPr>
          <w:rFonts w:ascii="Arial" w:hAnsi="Arial" w:cs="Arial"/>
          <w:sz w:val="24"/>
          <w:szCs w:val="24"/>
        </w:rPr>
        <w:t xml:space="preserve"> </w:t>
      </w:r>
      <w:r w:rsidRPr="009806A8">
        <w:rPr>
          <w:rFonts w:ascii="Arial" w:hAnsi="Arial" w:cs="Arial"/>
          <w:sz w:val="24"/>
          <w:szCs w:val="24"/>
        </w:rPr>
        <w:t>1</w:t>
      </w:r>
      <w:r w:rsidR="009F1FCB" w:rsidRPr="009806A8">
        <w:rPr>
          <w:rFonts w:ascii="Arial" w:hAnsi="Arial" w:cs="Arial"/>
          <w:sz w:val="24"/>
          <w:szCs w:val="24"/>
        </w:rPr>
        <w:t>7</w:t>
      </w:r>
      <w:r w:rsidRPr="009806A8">
        <w:rPr>
          <w:rFonts w:ascii="Arial" w:hAnsi="Arial" w:cs="Arial"/>
          <w:sz w:val="24"/>
          <w:szCs w:val="24"/>
        </w:rPr>
        <w:t>,000,000 I-94Ws</w:t>
      </w:r>
      <w:r w:rsidR="009F1FCB" w:rsidRPr="009806A8">
        <w:rPr>
          <w:rFonts w:ascii="Arial" w:hAnsi="Arial" w:cs="Arial"/>
          <w:sz w:val="24"/>
          <w:szCs w:val="24"/>
        </w:rPr>
        <w:t xml:space="preserve"> </w:t>
      </w:r>
      <w:r w:rsidRPr="009806A8">
        <w:rPr>
          <w:rFonts w:ascii="Arial" w:hAnsi="Arial" w:cs="Arial"/>
          <w:sz w:val="24"/>
          <w:szCs w:val="24"/>
        </w:rPr>
        <w:t>= 31,</w:t>
      </w:r>
      <w:r w:rsidR="009F1FCB" w:rsidRPr="009806A8">
        <w:rPr>
          <w:rFonts w:ascii="Arial" w:hAnsi="Arial" w:cs="Arial"/>
          <w:sz w:val="24"/>
          <w:szCs w:val="24"/>
        </w:rPr>
        <w:t>000,000</w:t>
      </w:r>
      <w:r w:rsidR="009806A8">
        <w:rPr>
          <w:rFonts w:ascii="Arial" w:hAnsi="Arial" w:cs="Arial"/>
          <w:sz w:val="24"/>
          <w:szCs w:val="24"/>
        </w:rPr>
        <w:t xml:space="preserve"> forms</w:t>
      </w:r>
      <w:r w:rsidRPr="009806A8">
        <w:rPr>
          <w:rFonts w:ascii="Arial" w:hAnsi="Arial" w:cs="Arial"/>
          <w:sz w:val="24"/>
          <w:szCs w:val="24"/>
        </w:rPr>
        <w:t>)</w:t>
      </w:r>
      <w:r w:rsidRPr="009806A8">
        <w:rPr>
          <w:rFonts w:ascii="Arial" w:hAnsi="Arial" w:cs="Arial"/>
          <w:color w:val="0000FF"/>
          <w:sz w:val="24"/>
          <w:szCs w:val="24"/>
        </w:rPr>
        <w:t xml:space="preserve"> </w:t>
      </w:r>
      <w:r w:rsidRPr="009806A8">
        <w:rPr>
          <w:rFonts w:ascii="Arial" w:hAnsi="Arial" w:cs="Arial"/>
          <w:sz w:val="24"/>
          <w:szCs w:val="24"/>
        </w:rPr>
        <w:t>x an estimated average response time of 8 minutes (0.133 hours per response) x $28 (</w:t>
      </w:r>
      <w:r w:rsidR="00681D59" w:rsidRPr="009806A8">
        <w:rPr>
          <w:rFonts w:ascii="Arial" w:hAnsi="Arial" w:cs="Arial"/>
          <w:sz w:val="24"/>
          <w:szCs w:val="24"/>
        </w:rPr>
        <w:t>a</w:t>
      </w:r>
      <w:r w:rsidRPr="009806A8">
        <w:rPr>
          <w:rFonts w:ascii="Arial" w:hAnsi="Arial" w:cs="Arial"/>
          <w:sz w:val="24"/>
          <w:szCs w:val="24"/>
        </w:rPr>
        <w:t xml:space="preserve">verage hourly rate) = </w:t>
      </w:r>
      <w:r w:rsidRPr="009806A8">
        <w:rPr>
          <w:rFonts w:ascii="Arial" w:hAnsi="Arial" w:cs="Arial"/>
          <w:b/>
          <w:sz w:val="24"/>
          <w:szCs w:val="24"/>
        </w:rPr>
        <w:t>$11</w:t>
      </w:r>
      <w:r w:rsidR="009F1FCB" w:rsidRPr="009806A8">
        <w:rPr>
          <w:rFonts w:ascii="Arial" w:hAnsi="Arial" w:cs="Arial"/>
          <w:b/>
          <w:sz w:val="24"/>
          <w:szCs w:val="24"/>
        </w:rPr>
        <w:t>5</w:t>
      </w:r>
      <w:r w:rsidRPr="009806A8">
        <w:rPr>
          <w:rFonts w:ascii="Arial" w:hAnsi="Arial" w:cs="Arial"/>
          <w:b/>
          <w:sz w:val="24"/>
          <w:szCs w:val="24"/>
        </w:rPr>
        <w:t>,</w:t>
      </w:r>
      <w:r w:rsidR="009F1FCB" w:rsidRPr="009806A8">
        <w:rPr>
          <w:rFonts w:ascii="Arial" w:hAnsi="Arial" w:cs="Arial"/>
          <w:b/>
          <w:sz w:val="24"/>
          <w:szCs w:val="24"/>
        </w:rPr>
        <w:t>444</w:t>
      </w:r>
      <w:r w:rsidRPr="009806A8">
        <w:rPr>
          <w:rFonts w:ascii="Arial" w:hAnsi="Arial" w:cs="Arial"/>
          <w:b/>
          <w:sz w:val="24"/>
          <w:szCs w:val="24"/>
        </w:rPr>
        <w:t>,</w:t>
      </w:r>
      <w:r w:rsidR="009F1FCB" w:rsidRPr="009806A8">
        <w:rPr>
          <w:rFonts w:ascii="Arial" w:hAnsi="Arial" w:cs="Arial"/>
          <w:b/>
          <w:sz w:val="24"/>
          <w:szCs w:val="24"/>
        </w:rPr>
        <w:t>000</w:t>
      </w:r>
      <w:r w:rsidRPr="009806A8">
        <w:rPr>
          <w:rFonts w:ascii="Arial" w:hAnsi="Arial" w:cs="Arial"/>
          <w:sz w:val="24"/>
          <w:szCs w:val="24"/>
        </w:rPr>
        <w:t xml:space="preserve">.  Plus, the </w:t>
      </w:r>
      <w:r w:rsidR="009F1FCB" w:rsidRPr="009806A8">
        <w:rPr>
          <w:rFonts w:ascii="Arial" w:hAnsi="Arial" w:cs="Arial"/>
          <w:sz w:val="24"/>
          <w:szCs w:val="24"/>
        </w:rPr>
        <w:t>total number of responses for ESTA (17,000,000) x an estimated response time of 15 minutes (</w:t>
      </w:r>
      <w:r w:rsidR="009806A8">
        <w:rPr>
          <w:rFonts w:ascii="Arial" w:hAnsi="Arial" w:cs="Arial"/>
          <w:sz w:val="24"/>
          <w:szCs w:val="24"/>
        </w:rPr>
        <w:t>0</w:t>
      </w:r>
      <w:r w:rsidR="009F1FCB" w:rsidRPr="009806A8">
        <w:rPr>
          <w:rFonts w:ascii="Arial" w:hAnsi="Arial" w:cs="Arial"/>
          <w:sz w:val="24"/>
          <w:szCs w:val="24"/>
        </w:rPr>
        <w:t>.25 hours per response) x</w:t>
      </w:r>
      <w:r w:rsidRPr="009806A8">
        <w:rPr>
          <w:rFonts w:ascii="Arial" w:hAnsi="Arial" w:cs="Arial"/>
          <w:sz w:val="24"/>
          <w:szCs w:val="24"/>
        </w:rPr>
        <w:t xml:space="preserve"> $28 </w:t>
      </w:r>
      <w:r w:rsidR="009F1FCB" w:rsidRPr="009806A8">
        <w:rPr>
          <w:rFonts w:ascii="Arial" w:hAnsi="Arial" w:cs="Arial"/>
          <w:sz w:val="24"/>
          <w:szCs w:val="24"/>
        </w:rPr>
        <w:t xml:space="preserve">(average hourly rate) </w:t>
      </w:r>
      <w:r w:rsidRPr="009806A8">
        <w:rPr>
          <w:rFonts w:ascii="Arial" w:hAnsi="Arial" w:cs="Arial"/>
          <w:sz w:val="24"/>
          <w:szCs w:val="24"/>
        </w:rPr>
        <w:t xml:space="preserve">= </w:t>
      </w:r>
      <w:r w:rsidRPr="009806A8">
        <w:rPr>
          <w:rFonts w:ascii="Arial" w:hAnsi="Arial" w:cs="Arial"/>
          <w:b/>
          <w:sz w:val="24"/>
          <w:szCs w:val="24"/>
        </w:rPr>
        <w:t>$1</w:t>
      </w:r>
      <w:r w:rsidR="009F1FCB" w:rsidRPr="009806A8">
        <w:rPr>
          <w:rFonts w:ascii="Arial" w:hAnsi="Arial" w:cs="Arial"/>
          <w:b/>
          <w:sz w:val="24"/>
          <w:szCs w:val="24"/>
        </w:rPr>
        <w:t>19</w:t>
      </w:r>
      <w:r w:rsidRPr="009806A8">
        <w:rPr>
          <w:rFonts w:ascii="Arial" w:hAnsi="Arial" w:cs="Arial"/>
          <w:b/>
          <w:sz w:val="24"/>
          <w:szCs w:val="24"/>
        </w:rPr>
        <w:t>,000,000</w:t>
      </w:r>
      <w:r w:rsidR="009806A8">
        <w:rPr>
          <w:rFonts w:ascii="Arial" w:hAnsi="Arial" w:cs="Arial"/>
          <w:sz w:val="24"/>
          <w:szCs w:val="24"/>
        </w:rPr>
        <w:t>.</w:t>
      </w:r>
      <w:r w:rsidRPr="009806A8">
        <w:rPr>
          <w:rFonts w:ascii="Arial" w:hAnsi="Arial" w:cs="Arial"/>
          <w:sz w:val="24"/>
          <w:szCs w:val="24"/>
        </w:rPr>
        <w:t xml:space="preserve"> </w:t>
      </w:r>
    </w:p>
    <w:p w:rsidR="00687BD2" w:rsidRDefault="00687BD2" w:rsidP="00687BD2">
      <w:pPr>
        <w:ind w:left="720"/>
        <w:jc w:val="both"/>
        <w:rPr>
          <w:rFonts w:ascii="Arial" w:hAnsi="Arial" w:cs="Arial"/>
          <w:sz w:val="24"/>
        </w:rPr>
      </w:pPr>
    </w:p>
    <w:p w:rsidR="00F214A0" w:rsidRDefault="00505C60" w:rsidP="00687BD2">
      <w:pPr>
        <w:ind w:left="720"/>
        <w:jc w:val="both"/>
        <w:rPr>
          <w:rFonts w:ascii="Arial" w:hAnsi="Arial" w:cs="Arial"/>
          <w:sz w:val="24"/>
        </w:rPr>
      </w:pPr>
      <w:r>
        <w:rPr>
          <w:rFonts w:ascii="Arial" w:hAnsi="Arial" w:cs="Arial"/>
          <w:sz w:val="24"/>
        </w:rPr>
        <w:t>The estimated costs</w:t>
      </w:r>
      <w:r w:rsidR="006522E5">
        <w:rPr>
          <w:rFonts w:ascii="Arial" w:hAnsi="Arial" w:cs="Arial"/>
          <w:sz w:val="24"/>
        </w:rPr>
        <w:t xml:space="preserve"> associated with the </w:t>
      </w:r>
      <w:r w:rsidR="008377A8">
        <w:rPr>
          <w:rFonts w:ascii="Arial" w:hAnsi="Arial" w:cs="Arial"/>
          <w:sz w:val="24"/>
        </w:rPr>
        <w:t xml:space="preserve">immigration </w:t>
      </w:r>
      <w:r>
        <w:rPr>
          <w:rFonts w:ascii="Arial" w:hAnsi="Arial" w:cs="Arial"/>
          <w:sz w:val="24"/>
        </w:rPr>
        <w:t xml:space="preserve">fee charges </w:t>
      </w:r>
      <w:r w:rsidR="00E757B6">
        <w:rPr>
          <w:rFonts w:ascii="Arial" w:hAnsi="Arial" w:cs="Arial"/>
          <w:sz w:val="24"/>
        </w:rPr>
        <w:t>are</w:t>
      </w:r>
      <w:r>
        <w:rPr>
          <w:rFonts w:ascii="Arial" w:hAnsi="Arial" w:cs="Arial"/>
          <w:sz w:val="24"/>
        </w:rPr>
        <w:t xml:space="preserve"> </w:t>
      </w:r>
      <w:r w:rsidRPr="00505C60">
        <w:rPr>
          <w:rFonts w:ascii="Arial" w:hAnsi="Arial" w:cs="Arial"/>
          <w:b/>
          <w:sz w:val="24"/>
        </w:rPr>
        <w:t>$</w:t>
      </w:r>
      <w:r w:rsidR="00162381">
        <w:rPr>
          <w:rFonts w:ascii="Arial" w:hAnsi="Arial" w:cs="Arial"/>
          <w:b/>
          <w:sz w:val="24"/>
        </w:rPr>
        <w:t>186</w:t>
      </w:r>
      <w:r w:rsidRPr="00505C60">
        <w:rPr>
          <w:rFonts w:ascii="Arial" w:hAnsi="Arial" w:cs="Arial"/>
          <w:b/>
          <w:sz w:val="24"/>
        </w:rPr>
        <w:t>,</w:t>
      </w:r>
      <w:r w:rsidR="00E757B6">
        <w:rPr>
          <w:rFonts w:ascii="Arial" w:hAnsi="Arial" w:cs="Arial"/>
          <w:b/>
          <w:sz w:val="24"/>
        </w:rPr>
        <w:t>000</w:t>
      </w:r>
      <w:r w:rsidRPr="00505C60">
        <w:rPr>
          <w:rFonts w:ascii="Arial" w:hAnsi="Arial" w:cs="Arial"/>
          <w:b/>
          <w:sz w:val="24"/>
        </w:rPr>
        <w:t>,</w:t>
      </w:r>
      <w:r w:rsidR="00E757B6">
        <w:rPr>
          <w:rFonts w:ascii="Arial" w:hAnsi="Arial" w:cs="Arial"/>
          <w:b/>
          <w:sz w:val="24"/>
        </w:rPr>
        <w:t>000</w:t>
      </w:r>
      <w:r>
        <w:rPr>
          <w:rFonts w:ascii="Arial" w:hAnsi="Arial" w:cs="Arial"/>
          <w:sz w:val="24"/>
        </w:rPr>
        <w:t>.  This is calculated as follows: $</w:t>
      </w:r>
      <w:r w:rsidR="00A77FCC">
        <w:rPr>
          <w:rFonts w:ascii="Arial" w:hAnsi="Arial" w:cs="Arial"/>
          <w:sz w:val="24"/>
        </w:rPr>
        <w:t>6</w:t>
      </w:r>
      <w:r>
        <w:rPr>
          <w:rFonts w:ascii="Arial" w:hAnsi="Arial" w:cs="Arial"/>
          <w:sz w:val="24"/>
        </w:rPr>
        <w:t xml:space="preserve"> fee charge for the I-94 and I-94W (31,</w:t>
      </w:r>
      <w:r w:rsidR="004160DF">
        <w:rPr>
          <w:rFonts w:ascii="Arial" w:hAnsi="Arial" w:cs="Arial"/>
          <w:sz w:val="24"/>
        </w:rPr>
        <w:t>000,000</w:t>
      </w:r>
      <w:r>
        <w:rPr>
          <w:rFonts w:ascii="Arial" w:hAnsi="Arial" w:cs="Arial"/>
          <w:sz w:val="24"/>
        </w:rPr>
        <w:t>) responses x $</w:t>
      </w:r>
      <w:r w:rsidR="00A77FCC">
        <w:rPr>
          <w:rFonts w:ascii="Arial" w:hAnsi="Arial" w:cs="Arial"/>
          <w:sz w:val="24"/>
        </w:rPr>
        <w:t>6</w:t>
      </w:r>
      <w:r>
        <w:rPr>
          <w:rFonts w:ascii="Arial" w:hAnsi="Arial" w:cs="Arial"/>
          <w:sz w:val="24"/>
        </w:rPr>
        <w:t xml:space="preserve"> = </w:t>
      </w:r>
      <w:r w:rsidRPr="00E757B6">
        <w:rPr>
          <w:rFonts w:ascii="Arial" w:hAnsi="Arial" w:cs="Arial"/>
          <w:b/>
          <w:sz w:val="24"/>
        </w:rPr>
        <w:t>$1</w:t>
      </w:r>
      <w:r w:rsidR="004160DF" w:rsidRPr="00E757B6">
        <w:rPr>
          <w:rFonts w:ascii="Arial" w:hAnsi="Arial" w:cs="Arial"/>
          <w:b/>
          <w:sz w:val="24"/>
        </w:rPr>
        <w:t>86,000,000</w:t>
      </w:r>
      <w:r>
        <w:rPr>
          <w:rFonts w:ascii="Arial" w:hAnsi="Arial" w:cs="Arial"/>
          <w:sz w:val="24"/>
        </w:rPr>
        <w:t xml:space="preserve">.  </w:t>
      </w:r>
    </w:p>
    <w:p w:rsidR="003C627E" w:rsidRPr="003C627E" w:rsidRDefault="003C627E" w:rsidP="003C627E">
      <w:pPr>
        <w:tabs>
          <w:tab w:val="left" w:pos="-1440"/>
        </w:tabs>
        <w:ind w:left="720" w:hanging="720"/>
        <w:rPr>
          <w:rFonts w:ascii="Arial" w:hAnsi="Arial" w:cs="Arial"/>
          <w:b/>
          <w:bCs/>
          <w:sz w:val="24"/>
          <w:szCs w:val="24"/>
        </w:rPr>
      </w:pP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r w:rsidRPr="003C627E">
        <w:rPr>
          <w:rFonts w:ascii="Arial" w:hAnsi="Arial" w:cs="Arial"/>
          <w:b/>
          <w:bCs/>
          <w:sz w:val="24"/>
          <w:szCs w:val="24"/>
        </w:rPr>
        <w:tab/>
      </w:r>
    </w:p>
    <w:p w:rsidR="003C627E" w:rsidRPr="003C627E" w:rsidRDefault="003C627E" w:rsidP="003C627E">
      <w:pPr>
        <w:tabs>
          <w:tab w:val="left" w:pos="-1440"/>
        </w:tabs>
        <w:ind w:left="720" w:hanging="720"/>
        <w:rPr>
          <w:rFonts w:ascii="Arial" w:hAnsi="Arial" w:cs="Arial"/>
          <w:sz w:val="24"/>
          <w:szCs w:val="24"/>
        </w:rPr>
      </w:pPr>
      <w:r w:rsidRPr="003C627E">
        <w:rPr>
          <w:rFonts w:ascii="Arial" w:hAnsi="Arial" w:cs="Arial"/>
          <w:b/>
          <w:bCs/>
          <w:sz w:val="24"/>
          <w:szCs w:val="24"/>
        </w:rPr>
        <w:t>13.</w:t>
      </w:r>
      <w:r w:rsidRPr="003C627E">
        <w:rPr>
          <w:rFonts w:ascii="Arial" w:hAnsi="Arial" w:cs="Arial"/>
          <w:sz w:val="24"/>
          <w:szCs w:val="24"/>
        </w:rPr>
        <w:tab/>
      </w:r>
      <w:r w:rsidRPr="003C627E">
        <w:rPr>
          <w:rFonts w:ascii="Arial" w:hAnsi="Arial" w:cs="Arial"/>
          <w:b/>
          <w:bCs/>
          <w:sz w:val="24"/>
          <w:szCs w:val="24"/>
        </w:rPr>
        <w:t>Provide an estimate of the total annual cost burden to respondents or record</w:t>
      </w:r>
      <w:r w:rsidR="00155623">
        <w:rPr>
          <w:rFonts w:ascii="Arial" w:hAnsi="Arial" w:cs="Arial"/>
          <w:b/>
          <w:bCs/>
          <w:sz w:val="24"/>
          <w:szCs w:val="24"/>
        </w:rPr>
        <w:t xml:space="preserve"> </w:t>
      </w:r>
      <w:r w:rsidRPr="003C627E">
        <w:rPr>
          <w:rFonts w:ascii="Arial" w:hAnsi="Arial" w:cs="Arial"/>
          <w:b/>
          <w:bCs/>
          <w:sz w:val="24"/>
          <w:szCs w:val="24"/>
        </w:rPr>
        <w:t>keepers resulting from the collection of information.</w:t>
      </w:r>
      <w:r w:rsidRPr="003C627E">
        <w:rPr>
          <w:rFonts w:ascii="Arial" w:hAnsi="Arial" w:cs="Arial"/>
          <w:sz w:val="24"/>
          <w:szCs w:val="24"/>
        </w:rPr>
        <w:tab/>
      </w:r>
    </w:p>
    <w:p w:rsidR="003C627E" w:rsidRPr="003C627E" w:rsidRDefault="003C627E" w:rsidP="003C627E">
      <w:pPr>
        <w:tabs>
          <w:tab w:val="left" w:pos="-1440"/>
        </w:tabs>
        <w:ind w:left="720" w:hanging="720"/>
        <w:rPr>
          <w:rFonts w:ascii="Arial" w:hAnsi="Arial" w:cs="Arial"/>
          <w:sz w:val="24"/>
          <w:szCs w:val="24"/>
        </w:rPr>
      </w:pPr>
    </w:p>
    <w:p w:rsidR="003C627E" w:rsidRPr="003C627E" w:rsidRDefault="003C627E" w:rsidP="00F62ADD">
      <w:pPr>
        <w:ind w:left="720"/>
        <w:rPr>
          <w:rFonts w:ascii="Arial" w:hAnsi="Arial" w:cs="Arial"/>
          <w:sz w:val="24"/>
          <w:szCs w:val="24"/>
        </w:rPr>
      </w:pPr>
      <w:r w:rsidRPr="003C627E">
        <w:rPr>
          <w:rFonts w:ascii="Arial" w:hAnsi="Arial" w:cs="Arial"/>
          <w:sz w:val="24"/>
          <w:szCs w:val="24"/>
        </w:rPr>
        <w:t>There are no record keeping, capital, start-up or maintenance costs associated with this information collection.</w:t>
      </w:r>
      <w:r w:rsidR="00505C60">
        <w:rPr>
          <w:rFonts w:ascii="Arial" w:hAnsi="Arial" w:cs="Arial"/>
          <w:sz w:val="24"/>
          <w:szCs w:val="24"/>
        </w:rPr>
        <w:t xml:space="preserve">  </w:t>
      </w:r>
      <w:r w:rsidRPr="003C627E">
        <w:rPr>
          <w:rFonts w:ascii="Arial" w:hAnsi="Arial" w:cs="Arial"/>
          <w:sz w:val="24"/>
          <w:szCs w:val="24"/>
        </w:rPr>
        <w:t xml:space="preserve">                </w:t>
      </w:r>
    </w:p>
    <w:p w:rsidR="009000E5" w:rsidRDefault="009000E5" w:rsidP="003C627E">
      <w:pPr>
        <w:ind w:left="180" w:firstLine="480"/>
        <w:rPr>
          <w:rFonts w:ascii="Arial" w:hAnsi="Arial" w:cs="Arial"/>
          <w:sz w:val="24"/>
          <w:szCs w:val="24"/>
        </w:rPr>
      </w:pPr>
    </w:p>
    <w:p w:rsidR="003C627E" w:rsidRPr="003C627E" w:rsidRDefault="003C627E" w:rsidP="003C627E">
      <w:pPr>
        <w:ind w:left="180" w:firstLine="480"/>
        <w:rPr>
          <w:rFonts w:ascii="Arial" w:hAnsi="Arial" w:cs="Arial"/>
          <w:sz w:val="24"/>
          <w:szCs w:val="24"/>
        </w:rPr>
      </w:pPr>
      <w:r w:rsidRPr="003C627E">
        <w:rPr>
          <w:rFonts w:ascii="Arial" w:hAnsi="Arial" w:cs="Arial"/>
          <w:sz w:val="24"/>
          <w:szCs w:val="24"/>
        </w:rPr>
        <w:t xml:space="preserve">                                                                            </w:t>
      </w:r>
    </w:p>
    <w:p w:rsidR="003C627E" w:rsidRPr="003C627E" w:rsidRDefault="003C627E" w:rsidP="009806A8">
      <w:pPr>
        <w:widowControl w:val="0"/>
        <w:numPr>
          <w:ilvl w:val="0"/>
          <w:numId w:val="14"/>
        </w:numPr>
        <w:ind w:hanging="720"/>
        <w:rPr>
          <w:rFonts w:ascii="Arial" w:hAnsi="Arial" w:cs="Arial"/>
          <w:b/>
          <w:bCs/>
          <w:sz w:val="24"/>
          <w:szCs w:val="24"/>
        </w:rPr>
      </w:pPr>
      <w:r w:rsidRPr="003C627E">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C627E" w:rsidRDefault="003C627E" w:rsidP="00B42203">
      <w:pPr>
        <w:pStyle w:val="Heading3"/>
        <w:numPr>
          <w:ilvl w:val="0"/>
          <w:numId w:val="0"/>
        </w:numPr>
        <w:ind w:left="720"/>
        <w:rPr>
          <w:rFonts w:ascii="Arial" w:hAnsi="Arial" w:cs="Arial"/>
          <w:sz w:val="24"/>
          <w:szCs w:val="24"/>
        </w:rPr>
      </w:pPr>
    </w:p>
    <w:p w:rsidR="00B42203" w:rsidRDefault="00B42203" w:rsidP="00F62ADD">
      <w:pPr>
        <w:ind w:left="720"/>
        <w:rPr>
          <w:rFonts w:ascii="Arial" w:hAnsi="Arial" w:cs="Arial"/>
          <w:sz w:val="24"/>
        </w:rPr>
      </w:pPr>
      <w:r>
        <w:rPr>
          <w:rFonts w:ascii="Arial" w:hAnsi="Arial" w:cs="Arial"/>
          <w:sz w:val="24"/>
        </w:rPr>
        <w:t>There are no Government costs to process these forms because the costs are offset by the fee charge</w:t>
      </w:r>
      <w:r w:rsidR="009806A8">
        <w:rPr>
          <w:rFonts w:ascii="Arial" w:hAnsi="Arial" w:cs="Arial"/>
          <w:sz w:val="24"/>
        </w:rPr>
        <w:t>s</w:t>
      </w:r>
      <w:r>
        <w:rPr>
          <w:rFonts w:ascii="Arial" w:hAnsi="Arial" w:cs="Arial"/>
          <w:sz w:val="24"/>
        </w:rPr>
        <w:t>.  Additionally, C</w:t>
      </w:r>
      <w:r w:rsidRPr="007E080F">
        <w:rPr>
          <w:rFonts w:ascii="Arial" w:hAnsi="Arial" w:cs="Arial"/>
          <w:sz w:val="24"/>
        </w:rPr>
        <w:t>ongress appropriated $36 million in funding for development and implementation of the E</w:t>
      </w:r>
      <w:r>
        <w:rPr>
          <w:rFonts w:ascii="Arial" w:hAnsi="Arial" w:cs="Arial"/>
          <w:sz w:val="24"/>
        </w:rPr>
        <w:t>S</w:t>
      </w:r>
      <w:r w:rsidRPr="007E080F">
        <w:rPr>
          <w:rFonts w:ascii="Arial" w:hAnsi="Arial" w:cs="Arial"/>
          <w:sz w:val="24"/>
        </w:rPr>
        <w:t>TA system. This funding will cover E</w:t>
      </w:r>
      <w:r>
        <w:rPr>
          <w:rFonts w:ascii="Arial" w:hAnsi="Arial" w:cs="Arial"/>
          <w:sz w:val="24"/>
        </w:rPr>
        <w:t>S</w:t>
      </w:r>
      <w:r w:rsidRPr="007E080F">
        <w:rPr>
          <w:rFonts w:ascii="Arial" w:hAnsi="Arial" w:cs="Arial"/>
          <w:sz w:val="24"/>
        </w:rPr>
        <w:t>TA program expenses in FY2008</w:t>
      </w:r>
      <w:r w:rsidR="00A238DA">
        <w:rPr>
          <w:rFonts w:ascii="Arial" w:hAnsi="Arial" w:cs="Arial"/>
          <w:sz w:val="24"/>
        </w:rPr>
        <w:t xml:space="preserve"> and FY2009</w:t>
      </w:r>
      <w:r w:rsidRPr="007E080F">
        <w:rPr>
          <w:rFonts w:ascii="Arial" w:hAnsi="Arial" w:cs="Arial"/>
          <w:sz w:val="24"/>
        </w:rPr>
        <w:t>.</w:t>
      </w:r>
      <w:r>
        <w:rPr>
          <w:rFonts w:ascii="Arial" w:hAnsi="Arial" w:cs="Arial"/>
          <w:sz w:val="24"/>
        </w:rPr>
        <w:t xml:space="preserve"> </w:t>
      </w:r>
      <w:r w:rsidR="00176435">
        <w:rPr>
          <w:rFonts w:ascii="Arial" w:hAnsi="Arial" w:cs="Arial"/>
          <w:sz w:val="24"/>
        </w:rPr>
        <w:t xml:space="preserve"> CBP plans to institute a fee for ESTA in 2010 to cover cos</w:t>
      </w:r>
      <w:r w:rsidR="009C6C86">
        <w:rPr>
          <w:rFonts w:ascii="Arial" w:hAnsi="Arial" w:cs="Arial"/>
          <w:sz w:val="24"/>
        </w:rPr>
        <w:t>ts</w:t>
      </w:r>
      <w:r w:rsidR="00F62ADD">
        <w:rPr>
          <w:rFonts w:ascii="Arial" w:hAnsi="Arial" w:cs="Arial"/>
          <w:sz w:val="24"/>
        </w:rPr>
        <w:t xml:space="preserve"> associated with the system</w:t>
      </w:r>
      <w:r w:rsidR="009C6C86">
        <w:rPr>
          <w:rFonts w:ascii="Arial" w:hAnsi="Arial" w:cs="Arial"/>
          <w:sz w:val="24"/>
        </w:rPr>
        <w:t xml:space="preserve">. </w:t>
      </w:r>
      <w:r w:rsidR="009C6C86">
        <w:rPr>
          <w:rFonts w:ascii="Arial" w:hAnsi="Arial" w:cs="Arial"/>
          <w:sz w:val="24"/>
          <w:szCs w:val="24"/>
        </w:rPr>
        <w:t>Section 711 of the 9/11 Act authorizes the Secretary of Homeland Security to collect a fee for ESTA.</w:t>
      </w:r>
    </w:p>
    <w:p w:rsidR="00C52C4B" w:rsidRPr="00C52C4B" w:rsidRDefault="00C52C4B" w:rsidP="00C52C4B"/>
    <w:p w:rsidR="003C627E" w:rsidRPr="003C627E" w:rsidRDefault="003C627E" w:rsidP="003C627E">
      <w:pPr>
        <w:ind w:left="720" w:hanging="720"/>
        <w:rPr>
          <w:rFonts w:ascii="Arial" w:hAnsi="Arial" w:cs="Arial"/>
          <w:b/>
          <w:bCs/>
          <w:sz w:val="24"/>
          <w:szCs w:val="24"/>
        </w:rPr>
      </w:pPr>
      <w:r w:rsidRPr="003C627E">
        <w:rPr>
          <w:rFonts w:ascii="Arial" w:hAnsi="Arial" w:cs="Arial"/>
          <w:b/>
          <w:bCs/>
          <w:sz w:val="24"/>
          <w:szCs w:val="24"/>
        </w:rPr>
        <w:t>15.</w:t>
      </w:r>
      <w:r w:rsidRPr="003C627E">
        <w:rPr>
          <w:rFonts w:ascii="Arial" w:hAnsi="Arial" w:cs="Arial"/>
          <w:sz w:val="24"/>
          <w:szCs w:val="24"/>
        </w:rPr>
        <w:tab/>
      </w:r>
      <w:r w:rsidRPr="003C627E">
        <w:rPr>
          <w:rFonts w:ascii="Arial" w:hAnsi="Arial" w:cs="Arial"/>
          <w:b/>
          <w:bCs/>
          <w:sz w:val="24"/>
          <w:szCs w:val="24"/>
        </w:rPr>
        <w:t>Explain the reasons for any program changes or adjustments reported in Items 1</w:t>
      </w:r>
      <w:r w:rsidR="008C7A14">
        <w:rPr>
          <w:rFonts w:ascii="Arial" w:hAnsi="Arial" w:cs="Arial"/>
          <w:b/>
          <w:bCs/>
          <w:sz w:val="24"/>
          <w:szCs w:val="24"/>
        </w:rPr>
        <w:t>2</w:t>
      </w:r>
      <w:r w:rsidRPr="003C627E">
        <w:rPr>
          <w:rFonts w:ascii="Arial" w:hAnsi="Arial" w:cs="Arial"/>
          <w:b/>
          <w:bCs/>
          <w:sz w:val="24"/>
          <w:szCs w:val="24"/>
        </w:rPr>
        <w:t xml:space="preserve"> or 1</w:t>
      </w:r>
      <w:r w:rsidR="008C7A14">
        <w:rPr>
          <w:rFonts w:ascii="Arial" w:hAnsi="Arial" w:cs="Arial"/>
          <w:b/>
          <w:bCs/>
          <w:sz w:val="24"/>
          <w:szCs w:val="24"/>
        </w:rPr>
        <w:t>3</w:t>
      </w:r>
      <w:r w:rsidRPr="003C627E">
        <w:rPr>
          <w:rFonts w:ascii="Arial" w:hAnsi="Arial" w:cs="Arial"/>
          <w:b/>
          <w:bCs/>
          <w:sz w:val="24"/>
          <w:szCs w:val="24"/>
        </w:rPr>
        <w:t xml:space="preserve"> of th</w:t>
      </w:r>
      <w:r w:rsidR="008C7A14">
        <w:rPr>
          <w:rFonts w:ascii="Arial" w:hAnsi="Arial" w:cs="Arial"/>
          <w:b/>
          <w:bCs/>
          <w:sz w:val="24"/>
          <w:szCs w:val="24"/>
        </w:rPr>
        <w:t>is Statement</w:t>
      </w:r>
      <w:r w:rsidRPr="003C627E">
        <w:rPr>
          <w:rFonts w:ascii="Arial" w:hAnsi="Arial" w:cs="Arial"/>
          <w:b/>
          <w:bCs/>
          <w:sz w:val="24"/>
          <w:szCs w:val="24"/>
        </w:rPr>
        <w:t xml:space="preserve">.  </w:t>
      </w:r>
    </w:p>
    <w:p w:rsidR="003C627E" w:rsidRDefault="00AE0C94" w:rsidP="003C627E">
      <w:pPr>
        <w:tabs>
          <w:tab w:val="left" w:pos="-1440"/>
        </w:tabs>
        <w:ind w:left="720" w:hanging="720"/>
        <w:rPr>
          <w:rFonts w:ascii="Arial" w:hAnsi="Arial" w:cs="Arial"/>
          <w:sz w:val="24"/>
          <w:szCs w:val="24"/>
        </w:rPr>
      </w:pPr>
      <w:r>
        <w:rPr>
          <w:rFonts w:ascii="Arial" w:hAnsi="Arial" w:cs="Arial"/>
          <w:sz w:val="24"/>
          <w:szCs w:val="24"/>
        </w:rPr>
        <w:tab/>
      </w:r>
    </w:p>
    <w:p w:rsidR="00EE6426" w:rsidRDefault="00C5481C" w:rsidP="003C627E">
      <w:pPr>
        <w:ind w:left="720" w:hanging="720"/>
        <w:rPr>
          <w:rFonts w:ascii="Arial" w:hAnsi="Arial" w:cs="Arial"/>
          <w:sz w:val="24"/>
          <w:szCs w:val="24"/>
        </w:rPr>
      </w:pPr>
      <w:r>
        <w:rPr>
          <w:rFonts w:ascii="Arial" w:hAnsi="Arial" w:cs="Arial"/>
          <w:sz w:val="24"/>
          <w:szCs w:val="24"/>
        </w:rPr>
        <w:tab/>
      </w:r>
      <w:r w:rsidR="00EE6426">
        <w:rPr>
          <w:rFonts w:ascii="Arial" w:hAnsi="Arial" w:cs="Arial"/>
          <w:sz w:val="24"/>
          <w:szCs w:val="24"/>
        </w:rPr>
        <w:t>The burden hours were adjusted for the I-94W and ESTA based on actual reporting numbers from 2009</w:t>
      </w:r>
      <w:r w:rsidR="00300730">
        <w:rPr>
          <w:rFonts w:ascii="Arial" w:hAnsi="Arial" w:cs="Arial"/>
          <w:sz w:val="24"/>
          <w:szCs w:val="24"/>
        </w:rPr>
        <w:t xml:space="preserve"> as well as the elimination of most of the I-94W forms</w:t>
      </w:r>
      <w:r w:rsidR="00EE6426">
        <w:rPr>
          <w:rFonts w:ascii="Arial" w:hAnsi="Arial" w:cs="Arial"/>
          <w:sz w:val="24"/>
          <w:szCs w:val="24"/>
        </w:rPr>
        <w:t>. In addition, the numbers for all three information collections (I-94, I-94W</w:t>
      </w:r>
      <w:r w:rsidR="00A238DA">
        <w:rPr>
          <w:rFonts w:ascii="Arial" w:hAnsi="Arial" w:cs="Arial"/>
          <w:sz w:val="24"/>
          <w:szCs w:val="24"/>
        </w:rPr>
        <w:t>,</w:t>
      </w:r>
      <w:r w:rsidR="00EE6426">
        <w:rPr>
          <w:rFonts w:ascii="Arial" w:hAnsi="Arial" w:cs="Arial"/>
          <w:sz w:val="24"/>
          <w:szCs w:val="24"/>
        </w:rPr>
        <w:t xml:space="preserve"> and ESTA) were rounded.  </w:t>
      </w:r>
    </w:p>
    <w:p w:rsidR="003C627E" w:rsidRPr="003C627E" w:rsidRDefault="003C627E" w:rsidP="003C627E">
      <w:pPr>
        <w:ind w:left="720" w:hanging="720"/>
        <w:rPr>
          <w:rFonts w:ascii="Arial" w:hAnsi="Arial" w:cs="Arial"/>
          <w:sz w:val="24"/>
          <w:szCs w:val="24"/>
        </w:rPr>
      </w:pPr>
      <w:r w:rsidRPr="003C627E">
        <w:rPr>
          <w:rFonts w:ascii="Arial" w:hAnsi="Arial" w:cs="Arial"/>
          <w:b/>
          <w:bCs/>
          <w:sz w:val="24"/>
          <w:szCs w:val="24"/>
        </w:rPr>
        <w:lastRenderedPageBreak/>
        <w:t>16.</w:t>
      </w:r>
      <w:r w:rsidRPr="003C627E">
        <w:rPr>
          <w:rFonts w:ascii="Arial" w:hAnsi="Arial" w:cs="Arial"/>
          <w:sz w:val="24"/>
          <w:szCs w:val="24"/>
        </w:rPr>
        <w:tab/>
      </w:r>
      <w:r w:rsidRPr="003C627E">
        <w:rPr>
          <w:rFonts w:ascii="Arial" w:hAnsi="Arial" w:cs="Arial"/>
          <w:b/>
          <w:bCs/>
          <w:sz w:val="24"/>
          <w:szCs w:val="24"/>
        </w:rPr>
        <w:t>For collection of information whose results will be published, outline plans for tabulation, and publication.</w:t>
      </w:r>
      <w:r w:rsidRPr="003C627E">
        <w:rPr>
          <w:rFonts w:ascii="Arial" w:hAnsi="Arial" w:cs="Arial"/>
          <w:sz w:val="24"/>
          <w:szCs w:val="24"/>
        </w:rPr>
        <w:tab/>
      </w:r>
    </w:p>
    <w:p w:rsidR="003C627E" w:rsidRPr="003C627E" w:rsidRDefault="003C627E" w:rsidP="003C627E">
      <w:pPr>
        <w:rPr>
          <w:rFonts w:ascii="Arial" w:hAnsi="Arial" w:cs="Arial"/>
          <w:sz w:val="24"/>
          <w:szCs w:val="24"/>
        </w:rPr>
      </w:pPr>
    </w:p>
    <w:p w:rsidR="003C627E" w:rsidRPr="003C627E" w:rsidRDefault="003C627E" w:rsidP="00300730">
      <w:pPr>
        <w:ind w:left="720"/>
        <w:rPr>
          <w:rFonts w:ascii="Arial" w:hAnsi="Arial" w:cs="Arial"/>
          <w:sz w:val="24"/>
          <w:szCs w:val="24"/>
        </w:rPr>
      </w:pPr>
      <w:r w:rsidRPr="003C627E">
        <w:rPr>
          <w:rFonts w:ascii="Arial" w:hAnsi="Arial" w:cs="Arial"/>
          <w:sz w:val="24"/>
          <w:szCs w:val="24"/>
        </w:rPr>
        <w:t>This information collection will not be published.</w:t>
      </w:r>
    </w:p>
    <w:p w:rsidR="003C627E" w:rsidRPr="003C627E" w:rsidRDefault="003C627E" w:rsidP="003C627E">
      <w:pPr>
        <w:rPr>
          <w:rFonts w:ascii="Arial" w:hAnsi="Arial" w:cs="Arial"/>
          <w:sz w:val="24"/>
          <w:szCs w:val="24"/>
        </w:rPr>
      </w:pPr>
    </w:p>
    <w:p w:rsidR="003C627E" w:rsidRPr="003C627E" w:rsidRDefault="003C627E" w:rsidP="00A238DA">
      <w:pPr>
        <w:ind w:left="720" w:hanging="720"/>
        <w:rPr>
          <w:rFonts w:ascii="Arial" w:hAnsi="Arial" w:cs="Arial"/>
          <w:b/>
          <w:bCs/>
          <w:sz w:val="24"/>
          <w:szCs w:val="24"/>
        </w:rPr>
      </w:pPr>
      <w:r w:rsidRPr="003C627E">
        <w:rPr>
          <w:rFonts w:ascii="Arial" w:hAnsi="Arial" w:cs="Arial"/>
          <w:b/>
          <w:bCs/>
          <w:sz w:val="24"/>
          <w:szCs w:val="24"/>
        </w:rPr>
        <w:t xml:space="preserve">17.     If seeking approval to not display the expiration date, explain the </w:t>
      </w:r>
      <w:r w:rsidR="00AE0C94">
        <w:rPr>
          <w:rFonts w:ascii="Arial" w:hAnsi="Arial" w:cs="Arial"/>
          <w:b/>
          <w:bCs/>
          <w:sz w:val="24"/>
          <w:szCs w:val="24"/>
        </w:rPr>
        <w:t xml:space="preserve"> </w:t>
      </w:r>
      <w:r w:rsidR="001853D5">
        <w:rPr>
          <w:rFonts w:ascii="Arial" w:hAnsi="Arial" w:cs="Arial"/>
          <w:b/>
          <w:bCs/>
          <w:sz w:val="24"/>
          <w:szCs w:val="24"/>
        </w:rPr>
        <w:t xml:space="preserve">                           re</w:t>
      </w:r>
      <w:r w:rsidRPr="003C627E">
        <w:rPr>
          <w:rFonts w:ascii="Arial" w:hAnsi="Arial" w:cs="Arial"/>
          <w:b/>
          <w:bCs/>
          <w:sz w:val="24"/>
          <w:szCs w:val="24"/>
        </w:rPr>
        <w:t>asons that displaying the expiration date would be inappropriate</w:t>
      </w:r>
    </w:p>
    <w:p w:rsidR="003C627E" w:rsidRPr="003C627E" w:rsidRDefault="003C627E" w:rsidP="003C627E">
      <w:pPr>
        <w:rPr>
          <w:rFonts w:ascii="Arial" w:hAnsi="Arial" w:cs="Arial"/>
          <w:b/>
          <w:bCs/>
          <w:sz w:val="24"/>
          <w:szCs w:val="24"/>
        </w:rPr>
      </w:pPr>
      <w:r w:rsidRPr="003C627E">
        <w:rPr>
          <w:rFonts w:ascii="Arial" w:hAnsi="Arial" w:cs="Arial"/>
          <w:b/>
          <w:bCs/>
          <w:sz w:val="24"/>
          <w:szCs w:val="24"/>
        </w:rPr>
        <w:tab/>
      </w:r>
    </w:p>
    <w:p w:rsidR="003C627E" w:rsidRPr="003C627E" w:rsidRDefault="003C627E" w:rsidP="003C627E">
      <w:pPr>
        <w:ind w:left="720"/>
        <w:rPr>
          <w:rFonts w:ascii="Arial" w:hAnsi="Arial" w:cs="Arial"/>
          <w:b/>
          <w:bCs/>
          <w:sz w:val="24"/>
          <w:szCs w:val="24"/>
        </w:rPr>
      </w:pPr>
      <w:r w:rsidRPr="003C627E">
        <w:rPr>
          <w:rFonts w:ascii="Arial" w:hAnsi="Arial" w:cs="Arial"/>
          <w:sz w:val="24"/>
          <w:szCs w:val="24"/>
        </w:rPr>
        <w:t xml:space="preserve">CBP </w:t>
      </w:r>
      <w:r w:rsidR="00D67B78">
        <w:rPr>
          <w:rFonts w:ascii="Arial" w:hAnsi="Arial" w:cs="Arial"/>
          <w:sz w:val="24"/>
          <w:szCs w:val="24"/>
        </w:rPr>
        <w:t>requests not to display the expiration date on these two forms because large quantities</w:t>
      </w:r>
      <w:r w:rsidR="00CB562D">
        <w:rPr>
          <w:rFonts w:ascii="Arial" w:hAnsi="Arial" w:cs="Arial"/>
          <w:sz w:val="24"/>
          <w:szCs w:val="24"/>
        </w:rPr>
        <w:t xml:space="preserve"> (50 million)</w:t>
      </w:r>
      <w:r w:rsidR="00D67B78">
        <w:rPr>
          <w:rFonts w:ascii="Arial" w:hAnsi="Arial" w:cs="Arial"/>
          <w:sz w:val="24"/>
          <w:szCs w:val="24"/>
        </w:rPr>
        <w:t xml:space="preserve"> are stocked at CBP ports in 17 languages. However, when a new expiration date is provided by OMB, CBP will display it on the ESTA website.</w:t>
      </w:r>
    </w:p>
    <w:p w:rsidR="003C627E" w:rsidRPr="003C627E" w:rsidRDefault="003C627E" w:rsidP="003C627E">
      <w:pPr>
        <w:rPr>
          <w:rFonts w:ascii="Arial" w:hAnsi="Arial" w:cs="Arial"/>
          <w:b/>
          <w:bCs/>
          <w:sz w:val="24"/>
          <w:szCs w:val="24"/>
        </w:rPr>
      </w:pPr>
    </w:p>
    <w:p w:rsidR="003C627E" w:rsidRPr="003C627E" w:rsidRDefault="003C627E" w:rsidP="00340530">
      <w:pPr>
        <w:ind w:left="720" w:hanging="720"/>
        <w:rPr>
          <w:rFonts w:ascii="Arial" w:hAnsi="Arial" w:cs="Arial"/>
          <w:b/>
          <w:bCs/>
          <w:sz w:val="24"/>
          <w:szCs w:val="24"/>
        </w:rPr>
      </w:pPr>
      <w:r w:rsidRPr="003C627E">
        <w:rPr>
          <w:rFonts w:ascii="Arial" w:hAnsi="Arial" w:cs="Arial"/>
          <w:b/>
          <w:bCs/>
          <w:sz w:val="24"/>
          <w:szCs w:val="24"/>
        </w:rPr>
        <w:t xml:space="preserve">18.   “Certification for Paperwork Reduction Act Submissions.” </w:t>
      </w:r>
    </w:p>
    <w:p w:rsidR="003C627E" w:rsidRPr="003C627E" w:rsidRDefault="003C627E" w:rsidP="003C627E">
      <w:pPr>
        <w:ind w:left="120"/>
        <w:rPr>
          <w:rFonts w:ascii="Arial" w:hAnsi="Arial" w:cs="Arial"/>
          <w:sz w:val="24"/>
          <w:szCs w:val="24"/>
        </w:rPr>
      </w:pPr>
      <w:r w:rsidRPr="003C627E">
        <w:rPr>
          <w:rFonts w:ascii="Arial" w:hAnsi="Arial" w:cs="Arial"/>
          <w:b/>
          <w:bCs/>
          <w:sz w:val="24"/>
          <w:szCs w:val="24"/>
        </w:rPr>
        <w:t xml:space="preserve">                                                              </w:t>
      </w:r>
    </w:p>
    <w:p w:rsidR="003C627E" w:rsidRPr="003C627E" w:rsidRDefault="003C627E" w:rsidP="003C627E">
      <w:pPr>
        <w:ind w:left="720"/>
        <w:rPr>
          <w:rFonts w:ascii="Arial" w:hAnsi="Arial" w:cs="Arial"/>
          <w:sz w:val="24"/>
          <w:szCs w:val="24"/>
        </w:rPr>
      </w:pPr>
      <w:r w:rsidRPr="003C627E">
        <w:rPr>
          <w:rFonts w:ascii="Arial" w:hAnsi="Arial" w:cs="Arial"/>
          <w:sz w:val="24"/>
          <w:szCs w:val="24"/>
        </w:rPr>
        <w:t>CBP does not request an exception to the certification of this information collection.</w:t>
      </w:r>
    </w:p>
    <w:p w:rsidR="003C627E" w:rsidRPr="003C627E" w:rsidRDefault="003C627E" w:rsidP="003C627E">
      <w:pPr>
        <w:rPr>
          <w:rFonts w:ascii="Arial" w:hAnsi="Arial" w:cs="Arial"/>
          <w:sz w:val="24"/>
          <w:szCs w:val="24"/>
        </w:rPr>
      </w:pPr>
    </w:p>
    <w:p w:rsidR="003C627E" w:rsidRPr="003C627E" w:rsidRDefault="003C627E" w:rsidP="00340530">
      <w:pPr>
        <w:pStyle w:val="Heading1"/>
        <w:widowControl w:val="0"/>
        <w:numPr>
          <w:ilvl w:val="0"/>
          <w:numId w:val="15"/>
        </w:numPr>
        <w:ind w:hanging="720"/>
        <w:jc w:val="left"/>
        <w:rPr>
          <w:rFonts w:ascii="Arial" w:hAnsi="Arial" w:cs="Arial"/>
          <w:sz w:val="24"/>
          <w:szCs w:val="24"/>
        </w:rPr>
      </w:pPr>
      <w:r w:rsidRPr="003C627E">
        <w:rPr>
          <w:rFonts w:ascii="Arial" w:hAnsi="Arial" w:cs="Arial"/>
          <w:sz w:val="24"/>
          <w:szCs w:val="24"/>
        </w:rPr>
        <w:t>Collection of Information Employing Statistical Methods</w:t>
      </w:r>
    </w:p>
    <w:p w:rsidR="003C627E" w:rsidRPr="003C627E" w:rsidRDefault="003C627E" w:rsidP="003C627E">
      <w:pPr>
        <w:rPr>
          <w:rFonts w:ascii="Arial" w:hAnsi="Arial" w:cs="Arial"/>
          <w:sz w:val="24"/>
          <w:szCs w:val="24"/>
        </w:rPr>
      </w:pPr>
    </w:p>
    <w:p w:rsidR="003C627E" w:rsidRPr="003C627E" w:rsidRDefault="003C627E" w:rsidP="00340530">
      <w:pPr>
        <w:pStyle w:val="BodyTextIndent2"/>
        <w:ind w:left="0" w:firstLine="720"/>
        <w:rPr>
          <w:rFonts w:ascii="Arial" w:hAnsi="Arial" w:cs="Arial"/>
          <w:szCs w:val="24"/>
        </w:rPr>
      </w:pPr>
      <w:r w:rsidRPr="003C627E">
        <w:rPr>
          <w:rFonts w:ascii="Arial" w:hAnsi="Arial" w:cs="Arial"/>
          <w:szCs w:val="24"/>
        </w:rPr>
        <w:t>No statistical methods were employed.</w:t>
      </w:r>
    </w:p>
    <w:p w:rsidR="003C627E" w:rsidRPr="003C627E" w:rsidRDefault="003C627E" w:rsidP="003C627E">
      <w:pPr>
        <w:rPr>
          <w:rFonts w:ascii="Arial" w:hAnsi="Arial" w:cs="Arial"/>
          <w:sz w:val="24"/>
          <w:szCs w:val="24"/>
        </w:rPr>
      </w:pPr>
    </w:p>
    <w:p w:rsidR="003C627E" w:rsidRPr="003C627E" w:rsidRDefault="003C627E">
      <w:pPr>
        <w:jc w:val="both"/>
        <w:rPr>
          <w:rFonts w:ascii="Arial" w:hAnsi="Arial" w:cs="Arial"/>
          <w:b/>
          <w:sz w:val="24"/>
          <w:szCs w:val="24"/>
        </w:rPr>
      </w:pPr>
    </w:p>
    <w:p w:rsidR="003C627E" w:rsidRPr="003C627E" w:rsidRDefault="003C627E">
      <w:pPr>
        <w:jc w:val="both"/>
        <w:rPr>
          <w:rFonts w:ascii="Arial" w:hAnsi="Arial" w:cs="Arial"/>
          <w:b/>
          <w:sz w:val="24"/>
          <w:szCs w:val="24"/>
        </w:rPr>
      </w:pPr>
    </w:p>
    <w:sectPr w:rsidR="003C627E" w:rsidRPr="003C627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C66" w:rsidRDefault="00327C66">
      <w:r>
        <w:separator/>
      </w:r>
    </w:p>
  </w:endnote>
  <w:endnote w:type="continuationSeparator" w:id="0">
    <w:p w:rsidR="00327C66" w:rsidRDefault="00327C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30" w:rsidRDefault="00300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00730" w:rsidRDefault="003007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30" w:rsidRDefault="00300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CCE">
      <w:rPr>
        <w:rStyle w:val="PageNumber"/>
        <w:noProof/>
      </w:rPr>
      <w:t>8</w:t>
    </w:r>
    <w:r>
      <w:rPr>
        <w:rStyle w:val="PageNumber"/>
      </w:rPr>
      <w:fldChar w:fldCharType="end"/>
    </w:r>
  </w:p>
  <w:p w:rsidR="00300730" w:rsidRDefault="00300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C66" w:rsidRDefault="00327C66">
      <w:r>
        <w:separator/>
      </w:r>
    </w:p>
  </w:footnote>
  <w:footnote w:type="continuationSeparator" w:id="0">
    <w:p w:rsidR="00327C66" w:rsidRDefault="00327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06466B11"/>
    <w:multiLevelType w:val="hybridMultilevel"/>
    <w:tmpl w:val="1CC887CA"/>
    <w:lvl w:ilvl="0" w:tplc="E92AB714">
      <w:start w:val="1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5838CB"/>
    <w:multiLevelType w:val="hybridMultilevel"/>
    <w:tmpl w:val="6A34C9D2"/>
    <w:lvl w:ilvl="0" w:tplc="9B2094B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1C550B"/>
    <w:multiLevelType w:val="singleLevel"/>
    <w:tmpl w:val="A74CA2C8"/>
    <w:lvl w:ilvl="0">
      <w:start w:val="1"/>
      <w:numFmt w:val="lowerLetter"/>
      <w:lvlText w:val="%1."/>
      <w:lvlJc w:val="left"/>
      <w:pPr>
        <w:tabs>
          <w:tab w:val="num" w:pos="1440"/>
        </w:tabs>
        <w:ind w:left="1440" w:hanging="720"/>
      </w:pPr>
      <w:rPr>
        <w:rFonts w:hint="default"/>
      </w:rPr>
    </w:lvl>
  </w:abstractNum>
  <w:abstractNum w:abstractNumId="5">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FC3A7D"/>
    <w:multiLevelType w:val="hybridMultilevel"/>
    <w:tmpl w:val="EA00B1F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8">
    <w:nsid w:val="4AB837A4"/>
    <w:multiLevelType w:val="hybridMultilevel"/>
    <w:tmpl w:val="D3BEC3F8"/>
    <w:lvl w:ilvl="0" w:tplc="86EA2F30">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EB4132F"/>
    <w:multiLevelType w:val="hybridMultilevel"/>
    <w:tmpl w:val="DB1E8E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02172"/>
    <w:multiLevelType w:val="multilevel"/>
    <w:tmpl w:val="EADE0DE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5A7733C"/>
    <w:multiLevelType w:val="singleLevel"/>
    <w:tmpl w:val="A47CA5FA"/>
    <w:lvl w:ilvl="0">
      <w:start w:val="2"/>
      <w:numFmt w:val="upperLetter"/>
      <w:pStyle w:val="Heading3"/>
      <w:lvlText w:val="%1."/>
      <w:lvlJc w:val="left"/>
      <w:pPr>
        <w:tabs>
          <w:tab w:val="num" w:pos="720"/>
        </w:tabs>
        <w:ind w:left="720" w:hanging="720"/>
      </w:pPr>
      <w:rPr>
        <w:rFonts w:hint="default"/>
      </w:rPr>
    </w:lvl>
  </w:abstractNum>
  <w:abstractNum w:abstractNumId="12">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3">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880D3F"/>
    <w:multiLevelType w:val="hybridMultilevel"/>
    <w:tmpl w:val="1E389B00"/>
    <w:lvl w:ilvl="0" w:tplc="04090015">
      <w:start w:val="1"/>
      <w:numFmt w:val="upperLetter"/>
      <w:lvlText w:val="%1."/>
      <w:lvlJc w:val="left"/>
      <w:pPr>
        <w:tabs>
          <w:tab w:val="num" w:pos="720"/>
        </w:tabs>
        <w:ind w:left="720" w:hanging="360"/>
      </w:pPr>
      <w:rPr>
        <w:rFonts w:hint="default"/>
      </w:rPr>
    </w:lvl>
    <w:lvl w:ilvl="1" w:tplc="FEFCD63A">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1"/>
  </w:num>
  <w:num w:numId="5">
    <w:abstractNumId w:val="3"/>
  </w:num>
  <w:num w:numId="6">
    <w:abstractNumId w:val="16"/>
  </w:num>
  <w:num w:numId="7">
    <w:abstractNumId w:val="2"/>
  </w:num>
  <w:num w:numId="8">
    <w:abstractNumId w:val="12"/>
  </w:num>
  <w:num w:numId="9">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3"/>
  </w:num>
  <w:num w:numId="11">
    <w:abstractNumId w:val="5"/>
  </w:num>
  <w:num w:numId="12">
    <w:abstractNumId w:val="8"/>
  </w:num>
  <w:num w:numId="13">
    <w:abstractNumId w:val="15"/>
  </w:num>
  <w:num w:numId="14">
    <w:abstractNumId w:val="9"/>
  </w:num>
  <w:num w:numId="15">
    <w:abstractNumId w:val="6"/>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02B3D"/>
    <w:rsid w:val="00006191"/>
    <w:rsid w:val="00015282"/>
    <w:rsid w:val="000160AD"/>
    <w:rsid w:val="00025231"/>
    <w:rsid w:val="00025A92"/>
    <w:rsid w:val="00026879"/>
    <w:rsid w:val="00031953"/>
    <w:rsid w:val="00042249"/>
    <w:rsid w:val="000522C8"/>
    <w:rsid w:val="00052F10"/>
    <w:rsid w:val="0005336A"/>
    <w:rsid w:val="00063CAE"/>
    <w:rsid w:val="00073FE8"/>
    <w:rsid w:val="00091C52"/>
    <w:rsid w:val="00094114"/>
    <w:rsid w:val="0009529B"/>
    <w:rsid w:val="000A1EA8"/>
    <w:rsid w:val="000A4F5A"/>
    <w:rsid w:val="000B7E3E"/>
    <w:rsid w:val="000C2BEC"/>
    <w:rsid w:val="000C52D4"/>
    <w:rsid w:val="000C5A4D"/>
    <w:rsid w:val="000D4D35"/>
    <w:rsid w:val="000F2367"/>
    <w:rsid w:val="00102E11"/>
    <w:rsid w:val="00105F20"/>
    <w:rsid w:val="00121CCF"/>
    <w:rsid w:val="00123680"/>
    <w:rsid w:val="00130202"/>
    <w:rsid w:val="001319F6"/>
    <w:rsid w:val="00132C0F"/>
    <w:rsid w:val="001435C5"/>
    <w:rsid w:val="001451CC"/>
    <w:rsid w:val="001452E7"/>
    <w:rsid w:val="001461A8"/>
    <w:rsid w:val="00146700"/>
    <w:rsid w:val="00155623"/>
    <w:rsid w:val="00157AFC"/>
    <w:rsid w:val="00162381"/>
    <w:rsid w:val="00174C8C"/>
    <w:rsid w:val="00175DB4"/>
    <w:rsid w:val="00176435"/>
    <w:rsid w:val="001853D5"/>
    <w:rsid w:val="001A163D"/>
    <w:rsid w:val="001A4E85"/>
    <w:rsid w:val="001B6031"/>
    <w:rsid w:val="001C0AC4"/>
    <w:rsid w:val="001D13BB"/>
    <w:rsid w:val="001F0592"/>
    <w:rsid w:val="001F3FDD"/>
    <w:rsid w:val="001F69E9"/>
    <w:rsid w:val="001F7E30"/>
    <w:rsid w:val="00201A97"/>
    <w:rsid w:val="00203029"/>
    <w:rsid w:val="00204FC2"/>
    <w:rsid w:val="00212F30"/>
    <w:rsid w:val="002158F8"/>
    <w:rsid w:val="00222A05"/>
    <w:rsid w:val="0023625B"/>
    <w:rsid w:val="00240BA9"/>
    <w:rsid w:val="00242885"/>
    <w:rsid w:val="00245EDD"/>
    <w:rsid w:val="00256298"/>
    <w:rsid w:val="00261ECE"/>
    <w:rsid w:val="00267933"/>
    <w:rsid w:val="00284F79"/>
    <w:rsid w:val="002935D1"/>
    <w:rsid w:val="00294D3F"/>
    <w:rsid w:val="002A255C"/>
    <w:rsid w:val="002B6B4B"/>
    <w:rsid w:val="002D3726"/>
    <w:rsid w:val="002D76CE"/>
    <w:rsid w:val="002D7FAB"/>
    <w:rsid w:val="002E71B4"/>
    <w:rsid w:val="00300730"/>
    <w:rsid w:val="003078A1"/>
    <w:rsid w:val="00313A9F"/>
    <w:rsid w:val="00314E3C"/>
    <w:rsid w:val="0031591E"/>
    <w:rsid w:val="003170DC"/>
    <w:rsid w:val="00317477"/>
    <w:rsid w:val="00317485"/>
    <w:rsid w:val="0032782E"/>
    <w:rsid w:val="00327C66"/>
    <w:rsid w:val="0033587F"/>
    <w:rsid w:val="00340530"/>
    <w:rsid w:val="00343EC6"/>
    <w:rsid w:val="003473C7"/>
    <w:rsid w:val="003477AC"/>
    <w:rsid w:val="003479A9"/>
    <w:rsid w:val="00354A9D"/>
    <w:rsid w:val="00362268"/>
    <w:rsid w:val="00365953"/>
    <w:rsid w:val="0037037E"/>
    <w:rsid w:val="00372351"/>
    <w:rsid w:val="003748E7"/>
    <w:rsid w:val="00380C82"/>
    <w:rsid w:val="0038417E"/>
    <w:rsid w:val="003852D9"/>
    <w:rsid w:val="00392DB8"/>
    <w:rsid w:val="00394874"/>
    <w:rsid w:val="003952C7"/>
    <w:rsid w:val="003A0035"/>
    <w:rsid w:val="003A2D35"/>
    <w:rsid w:val="003A4647"/>
    <w:rsid w:val="003A4914"/>
    <w:rsid w:val="003A5966"/>
    <w:rsid w:val="003C1BDA"/>
    <w:rsid w:val="003C22D5"/>
    <w:rsid w:val="003C2FB3"/>
    <w:rsid w:val="003C627E"/>
    <w:rsid w:val="003D4B2D"/>
    <w:rsid w:val="003D56B5"/>
    <w:rsid w:val="003E41E4"/>
    <w:rsid w:val="003E4F26"/>
    <w:rsid w:val="003F235B"/>
    <w:rsid w:val="003F3109"/>
    <w:rsid w:val="003F60E9"/>
    <w:rsid w:val="00410C3D"/>
    <w:rsid w:val="004158E0"/>
    <w:rsid w:val="004160DF"/>
    <w:rsid w:val="00422030"/>
    <w:rsid w:val="00433E68"/>
    <w:rsid w:val="00435035"/>
    <w:rsid w:val="00441A29"/>
    <w:rsid w:val="00451A8A"/>
    <w:rsid w:val="004525C8"/>
    <w:rsid w:val="00454E67"/>
    <w:rsid w:val="00460C83"/>
    <w:rsid w:val="0046528D"/>
    <w:rsid w:val="004909E3"/>
    <w:rsid w:val="0049350A"/>
    <w:rsid w:val="00497950"/>
    <w:rsid w:val="004A1FA2"/>
    <w:rsid w:val="004B139F"/>
    <w:rsid w:val="004B4797"/>
    <w:rsid w:val="004B4D5A"/>
    <w:rsid w:val="004C5A9B"/>
    <w:rsid w:val="004C7FA9"/>
    <w:rsid w:val="004D24AE"/>
    <w:rsid w:val="004D28E9"/>
    <w:rsid w:val="004E0BEA"/>
    <w:rsid w:val="004F0BA1"/>
    <w:rsid w:val="004F4BF9"/>
    <w:rsid w:val="00505C60"/>
    <w:rsid w:val="00510C67"/>
    <w:rsid w:val="00513AE5"/>
    <w:rsid w:val="005170D3"/>
    <w:rsid w:val="005458BE"/>
    <w:rsid w:val="00550139"/>
    <w:rsid w:val="00560E18"/>
    <w:rsid w:val="005672B9"/>
    <w:rsid w:val="00577662"/>
    <w:rsid w:val="00577C5A"/>
    <w:rsid w:val="00580D5E"/>
    <w:rsid w:val="00582504"/>
    <w:rsid w:val="00583D77"/>
    <w:rsid w:val="00584F90"/>
    <w:rsid w:val="00587A83"/>
    <w:rsid w:val="00590676"/>
    <w:rsid w:val="00596598"/>
    <w:rsid w:val="005A7BA7"/>
    <w:rsid w:val="005B5931"/>
    <w:rsid w:val="005C10FB"/>
    <w:rsid w:val="005C2EDD"/>
    <w:rsid w:val="005C4F4C"/>
    <w:rsid w:val="005D0A31"/>
    <w:rsid w:val="005D1904"/>
    <w:rsid w:val="005D30AE"/>
    <w:rsid w:val="005E0FE1"/>
    <w:rsid w:val="005E3BD8"/>
    <w:rsid w:val="005F0B29"/>
    <w:rsid w:val="005F2DFC"/>
    <w:rsid w:val="005F5FE4"/>
    <w:rsid w:val="00602B3D"/>
    <w:rsid w:val="00604315"/>
    <w:rsid w:val="00606894"/>
    <w:rsid w:val="00610EA0"/>
    <w:rsid w:val="00611FC5"/>
    <w:rsid w:val="00617E0F"/>
    <w:rsid w:val="00621AA5"/>
    <w:rsid w:val="00630345"/>
    <w:rsid w:val="00630719"/>
    <w:rsid w:val="0063094B"/>
    <w:rsid w:val="00631886"/>
    <w:rsid w:val="00631B67"/>
    <w:rsid w:val="006344B2"/>
    <w:rsid w:val="00636D26"/>
    <w:rsid w:val="006400AF"/>
    <w:rsid w:val="0064352A"/>
    <w:rsid w:val="00644351"/>
    <w:rsid w:val="00650D85"/>
    <w:rsid w:val="006522E5"/>
    <w:rsid w:val="00655E67"/>
    <w:rsid w:val="006611B3"/>
    <w:rsid w:val="00665495"/>
    <w:rsid w:val="0067258B"/>
    <w:rsid w:val="00673823"/>
    <w:rsid w:val="0067385F"/>
    <w:rsid w:val="00673D95"/>
    <w:rsid w:val="006810F0"/>
    <w:rsid w:val="00681D59"/>
    <w:rsid w:val="00687BD2"/>
    <w:rsid w:val="006B3E68"/>
    <w:rsid w:val="006C0B93"/>
    <w:rsid w:val="006C6243"/>
    <w:rsid w:val="006C7E5C"/>
    <w:rsid w:val="006E46F5"/>
    <w:rsid w:val="006E6019"/>
    <w:rsid w:val="006F0A47"/>
    <w:rsid w:val="006F1419"/>
    <w:rsid w:val="006F239A"/>
    <w:rsid w:val="00711F9A"/>
    <w:rsid w:val="00715B06"/>
    <w:rsid w:val="00715B48"/>
    <w:rsid w:val="00723190"/>
    <w:rsid w:val="00745F51"/>
    <w:rsid w:val="00755323"/>
    <w:rsid w:val="00760B95"/>
    <w:rsid w:val="00761588"/>
    <w:rsid w:val="00771544"/>
    <w:rsid w:val="007748CD"/>
    <w:rsid w:val="00785D12"/>
    <w:rsid w:val="00793431"/>
    <w:rsid w:val="007A4E84"/>
    <w:rsid w:val="007A73A6"/>
    <w:rsid w:val="007B09AD"/>
    <w:rsid w:val="007B6883"/>
    <w:rsid w:val="007C1A95"/>
    <w:rsid w:val="007C78D3"/>
    <w:rsid w:val="007E080F"/>
    <w:rsid w:val="007E5C90"/>
    <w:rsid w:val="007F611A"/>
    <w:rsid w:val="008377A8"/>
    <w:rsid w:val="00840EDB"/>
    <w:rsid w:val="00846153"/>
    <w:rsid w:val="00856B66"/>
    <w:rsid w:val="00871490"/>
    <w:rsid w:val="008874EC"/>
    <w:rsid w:val="008A4C8A"/>
    <w:rsid w:val="008B01F2"/>
    <w:rsid w:val="008C7778"/>
    <w:rsid w:val="008C7A14"/>
    <w:rsid w:val="008E381A"/>
    <w:rsid w:val="008E5503"/>
    <w:rsid w:val="008F164A"/>
    <w:rsid w:val="009000E5"/>
    <w:rsid w:val="00927415"/>
    <w:rsid w:val="009309D8"/>
    <w:rsid w:val="00932DEE"/>
    <w:rsid w:val="00936A70"/>
    <w:rsid w:val="00941EC0"/>
    <w:rsid w:val="00942704"/>
    <w:rsid w:val="00943369"/>
    <w:rsid w:val="00945849"/>
    <w:rsid w:val="00945CD4"/>
    <w:rsid w:val="009507EE"/>
    <w:rsid w:val="009551D4"/>
    <w:rsid w:val="00956B74"/>
    <w:rsid w:val="0096476D"/>
    <w:rsid w:val="00965141"/>
    <w:rsid w:val="009667D2"/>
    <w:rsid w:val="009806A8"/>
    <w:rsid w:val="00981F36"/>
    <w:rsid w:val="00983822"/>
    <w:rsid w:val="00992C6B"/>
    <w:rsid w:val="00997875"/>
    <w:rsid w:val="00997C48"/>
    <w:rsid w:val="009A7354"/>
    <w:rsid w:val="009B6057"/>
    <w:rsid w:val="009B7400"/>
    <w:rsid w:val="009C3D4C"/>
    <w:rsid w:val="009C6C86"/>
    <w:rsid w:val="009C7800"/>
    <w:rsid w:val="009E03E0"/>
    <w:rsid w:val="009F1FCB"/>
    <w:rsid w:val="00A108BB"/>
    <w:rsid w:val="00A15433"/>
    <w:rsid w:val="00A157A4"/>
    <w:rsid w:val="00A21443"/>
    <w:rsid w:val="00A214A7"/>
    <w:rsid w:val="00A21B04"/>
    <w:rsid w:val="00A238DA"/>
    <w:rsid w:val="00A24371"/>
    <w:rsid w:val="00A4196B"/>
    <w:rsid w:val="00A53296"/>
    <w:rsid w:val="00A54135"/>
    <w:rsid w:val="00A566A9"/>
    <w:rsid w:val="00A56B5A"/>
    <w:rsid w:val="00A6749D"/>
    <w:rsid w:val="00A705FD"/>
    <w:rsid w:val="00A7513A"/>
    <w:rsid w:val="00A77FCC"/>
    <w:rsid w:val="00A84E17"/>
    <w:rsid w:val="00A87389"/>
    <w:rsid w:val="00A97FB8"/>
    <w:rsid w:val="00AA177A"/>
    <w:rsid w:val="00AA2B64"/>
    <w:rsid w:val="00AA2BCB"/>
    <w:rsid w:val="00AA50ED"/>
    <w:rsid w:val="00AB1534"/>
    <w:rsid w:val="00AB33B6"/>
    <w:rsid w:val="00AB4293"/>
    <w:rsid w:val="00AB5931"/>
    <w:rsid w:val="00AC0CA9"/>
    <w:rsid w:val="00AC344A"/>
    <w:rsid w:val="00AC475C"/>
    <w:rsid w:val="00AC53FC"/>
    <w:rsid w:val="00AD2F76"/>
    <w:rsid w:val="00AE0C94"/>
    <w:rsid w:val="00AE7DFD"/>
    <w:rsid w:val="00AF328E"/>
    <w:rsid w:val="00AF64E6"/>
    <w:rsid w:val="00AF79A3"/>
    <w:rsid w:val="00B02D55"/>
    <w:rsid w:val="00B05EDA"/>
    <w:rsid w:val="00B07AD9"/>
    <w:rsid w:val="00B12A85"/>
    <w:rsid w:val="00B1458F"/>
    <w:rsid w:val="00B16A0D"/>
    <w:rsid w:val="00B42203"/>
    <w:rsid w:val="00B43965"/>
    <w:rsid w:val="00B44B43"/>
    <w:rsid w:val="00B45A11"/>
    <w:rsid w:val="00B61CB7"/>
    <w:rsid w:val="00B62CAC"/>
    <w:rsid w:val="00B738A3"/>
    <w:rsid w:val="00B823A7"/>
    <w:rsid w:val="00B86D5A"/>
    <w:rsid w:val="00B92799"/>
    <w:rsid w:val="00B95FB3"/>
    <w:rsid w:val="00B963B3"/>
    <w:rsid w:val="00BA3074"/>
    <w:rsid w:val="00BA40E6"/>
    <w:rsid w:val="00BA5256"/>
    <w:rsid w:val="00BA7952"/>
    <w:rsid w:val="00BB0AE3"/>
    <w:rsid w:val="00BC099D"/>
    <w:rsid w:val="00BC5053"/>
    <w:rsid w:val="00BC668C"/>
    <w:rsid w:val="00BD503A"/>
    <w:rsid w:val="00BE0AD4"/>
    <w:rsid w:val="00BE1A0B"/>
    <w:rsid w:val="00BF1756"/>
    <w:rsid w:val="00BF7678"/>
    <w:rsid w:val="00C018D7"/>
    <w:rsid w:val="00C04964"/>
    <w:rsid w:val="00C06AE0"/>
    <w:rsid w:val="00C12728"/>
    <w:rsid w:val="00C14FDC"/>
    <w:rsid w:val="00C175FD"/>
    <w:rsid w:val="00C17D1F"/>
    <w:rsid w:val="00C32201"/>
    <w:rsid w:val="00C47309"/>
    <w:rsid w:val="00C52C4B"/>
    <w:rsid w:val="00C5481C"/>
    <w:rsid w:val="00C673EC"/>
    <w:rsid w:val="00C710F6"/>
    <w:rsid w:val="00C72425"/>
    <w:rsid w:val="00C82C16"/>
    <w:rsid w:val="00C84445"/>
    <w:rsid w:val="00CA028F"/>
    <w:rsid w:val="00CB1832"/>
    <w:rsid w:val="00CB2426"/>
    <w:rsid w:val="00CB25FE"/>
    <w:rsid w:val="00CB562D"/>
    <w:rsid w:val="00CC27E9"/>
    <w:rsid w:val="00CD49BF"/>
    <w:rsid w:val="00CD4ED1"/>
    <w:rsid w:val="00CD616B"/>
    <w:rsid w:val="00CE5B65"/>
    <w:rsid w:val="00CE76EE"/>
    <w:rsid w:val="00CF06B6"/>
    <w:rsid w:val="00CF7DA8"/>
    <w:rsid w:val="00CF7DAF"/>
    <w:rsid w:val="00D00795"/>
    <w:rsid w:val="00D057D1"/>
    <w:rsid w:val="00D101AB"/>
    <w:rsid w:val="00D10A7A"/>
    <w:rsid w:val="00D17BAA"/>
    <w:rsid w:val="00D428A0"/>
    <w:rsid w:val="00D4353C"/>
    <w:rsid w:val="00D52233"/>
    <w:rsid w:val="00D52DE3"/>
    <w:rsid w:val="00D62795"/>
    <w:rsid w:val="00D62D61"/>
    <w:rsid w:val="00D67B78"/>
    <w:rsid w:val="00D71C5B"/>
    <w:rsid w:val="00D73ABC"/>
    <w:rsid w:val="00D74CCE"/>
    <w:rsid w:val="00D85559"/>
    <w:rsid w:val="00DA6CBE"/>
    <w:rsid w:val="00DB4AA0"/>
    <w:rsid w:val="00DC22A3"/>
    <w:rsid w:val="00DD207A"/>
    <w:rsid w:val="00DE176F"/>
    <w:rsid w:val="00DE1C58"/>
    <w:rsid w:val="00DE6EB8"/>
    <w:rsid w:val="00DF3F09"/>
    <w:rsid w:val="00E0253A"/>
    <w:rsid w:val="00E02A4F"/>
    <w:rsid w:val="00E0378D"/>
    <w:rsid w:val="00E05EDE"/>
    <w:rsid w:val="00E15324"/>
    <w:rsid w:val="00E20CA0"/>
    <w:rsid w:val="00E21209"/>
    <w:rsid w:val="00E233FF"/>
    <w:rsid w:val="00E343E9"/>
    <w:rsid w:val="00E4016B"/>
    <w:rsid w:val="00E40F9E"/>
    <w:rsid w:val="00E44FF7"/>
    <w:rsid w:val="00E51A80"/>
    <w:rsid w:val="00E51C79"/>
    <w:rsid w:val="00E622A8"/>
    <w:rsid w:val="00E637DF"/>
    <w:rsid w:val="00E64E06"/>
    <w:rsid w:val="00E673EB"/>
    <w:rsid w:val="00E67652"/>
    <w:rsid w:val="00E74EA7"/>
    <w:rsid w:val="00E750B8"/>
    <w:rsid w:val="00E757B6"/>
    <w:rsid w:val="00E76469"/>
    <w:rsid w:val="00E806E0"/>
    <w:rsid w:val="00E8386C"/>
    <w:rsid w:val="00E9217A"/>
    <w:rsid w:val="00E960D9"/>
    <w:rsid w:val="00E966AE"/>
    <w:rsid w:val="00EA32EA"/>
    <w:rsid w:val="00EB2857"/>
    <w:rsid w:val="00EB48BE"/>
    <w:rsid w:val="00EC3023"/>
    <w:rsid w:val="00ED384C"/>
    <w:rsid w:val="00EE6426"/>
    <w:rsid w:val="00F02D5A"/>
    <w:rsid w:val="00F058A1"/>
    <w:rsid w:val="00F10E08"/>
    <w:rsid w:val="00F214A0"/>
    <w:rsid w:val="00F23025"/>
    <w:rsid w:val="00F2732C"/>
    <w:rsid w:val="00F342DD"/>
    <w:rsid w:val="00F37935"/>
    <w:rsid w:val="00F430CD"/>
    <w:rsid w:val="00F44ED7"/>
    <w:rsid w:val="00F46DC6"/>
    <w:rsid w:val="00F51B30"/>
    <w:rsid w:val="00F52451"/>
    <w:rsid w:val="00F62ADD"/>
    <w:rsid w:val="00F63A43"/>
    <w:rsid w:val="00F6516D"/>
    <w:rsid w:val="00F70C58"/>
    <w:rsid w:val="00F776C8"/>
    <w:rsid w:val="00F83F46"/>
    <w:rsid w:val="00F85612"/>
    <w:rsid w:val="00F872B9"/>
    <w:rsid w:val="00F94A1A"/>
    <w:rsid w:val="00F95CD3"/>
    <w:rsid w:val="00FA13DD"/>
    <w:rsid w:val="00FA3FA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numPr>
        <w:numId w:val="4"/>
      </w:numPr>
      <w:outlineLvl w:val="2"/>
    </w:pPr>
    <w:rPr>
      <w:b/>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spacing w:line="480" w:lineRule="auto"/>
      <w:ind w:left="720"/>
      <w:jc w:val="both"/>
      <w:outlineLvl w:val="4"/>
    </w:pPr>
    <w:rPr>
      <w:b/>
      <w:sz w:val="22"/>
    </w:rPr>
  </w:style>
  <w:style w:type="paragraph" w:styleId="Heading6">
    <w:name w:val="heading 6"/>
    <w:basedOn w:val="Normal"/>
    <w:next w:val="Normal"/>
    <w:qFormat/>
    <w:pPr>
      <w:keepNext/>
      <w:jc w:val="both"/>
      <w:outlineLvl w:val="5"/>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sz w:val="24"/>
    </w:rPr>
  </w:style>
  <w:style w:type="paragraph" w:styleId="BalloonText">
    <w:name w:val="Balloon Text"/>
    <w:basedOn w:val="Normal"/>
    <w:semiHidden/>
    <w:rsid w:val="00602B3D"/>
    <w:rPr>
      <w:rFonts w:ascii="Tahoma" w:hAnsi="Tahoma" w:cs="Tahoma"/>
      <w:sz w:val="16"/>
      <w:szCs w:val="16"/>
    </w:rPr>
  </w:style>
  <w:style w:type="paragraph" w:customStyle="1" w:styleId="le-fr-normal-32-level">
    <w:name w:val="le-fr-normal-32-level"/>
    <w:basedOn w:val="Normal"/>
    <w:rsid w:val="000522C8"/>
    <w:pPr>
      <w:spacing w:before="15" w:after="15"/>
    </w:pPr>
    <w:rPr>
      <w:rFonts w:ascii="Arial" w:hAnsi="Arial" w:cs="Arial"/>
      <w:sz w:val="23"/>
      <w:szCs w:val="23"/>
    </w:rPr>
  </w:style>
  <w:style w:type="character" w:styleId="CommentReference">
    <w:name w:val="annotation reference"/>
    <w:basedOn w:val="DefaultParagraphFont"/>
    <w:semiHidden/>
    <w:rsid w:val="00F51B30"/>
    <w:rPr>
      <w:sz w:val="16"/>
      <w:szCs w:val="16"/>
    </w:rPr>
  </w:style>
  <w:style w:type="paragraph" w:styleId="CommentText">
    <w:name w:val="annotation text"/>
    <w:basedOn w:val="Normal"/>
    <w:semiHidden/>
    <w:rsid w:val="00F51B30"/>
  </w:style>
  <w:style w:type="paragraph" w:styleId="CommentSubject">
    <w:name w:val="annotation subject"/>
    <w:basedOn w:val="CommentText"/>
    <w:next w:val="CommentText"/>
    <w:semiHidden/>
    <w:rsid w:val="00F51B30"/>
    <w:rPr>
      <w:b/>
      <w:bCs/>
    </w:rPr>
  </w:style>
  <w:style w:type="paragraph" w:styleId="Header">
    <w:name w:val="header"/>
    <w:basedOn w:val="Normal"/>
    <w:rsid w:val="00C14FDC"/>
    <w:pPr>
      <w:tabs>
        <w:tab w:val="center" w:pos="4320"/>
        <w:tab w:val="right" w:pos="8640"/>
      </w:tabs>
    </w:pPr>
  </w:style>
  <w:style w:type="paragraph" w:customStyle="1" w:styleId="Style">
    <w:name w:val="Style"/>
    <w:basedOn w:val="Normal"/>
    <w:rsid w:val="003C627E"/>
    <w:pPr>
      <w:widowControl w:val="0"/>
      <w:ind w:left="1440" w:hanging="720"/>
    </w:pPr>
    <w:rPr>
      <w:snapToGrid w:val="0"/>
      <w:sz w:val="24"/>
    </w:rPr>
  </w:style>
  <w:style w:type="paragraph" w:customStyle="1" w:styleId="Level1">
    <w:name w:val="Level 1"/>
    <w:basedOn w:val="Normal"/>
    <w:rsid w:val="003C627E"/>
    <w:pPr>
      <w:widowControl w:val="0"/>
      <w:numPr>
        <w:numId w:val="9"/>
      </w:numPr>
      <w:ind w:left="720" w:hanging="720"/>
      <w:outlineLvl w:val="0"/>
    </w:pPr>
    <w:rPr>
      <w:rFonts w:ascii="Arial" w:hAnsi="Arial"/>
      <w:snapToGrid w:val="0"/>
      <w:sz w:val="24"/>
    </w:rPr>
  </w:style>
  <w:style w:type="table" w:styleId="TableGrid">
    <w:name w:val="Table Grid"/>
    <w:basedOn w:val="TableNormal"/>
    <w:rsid w:val="003C627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3C627E"/>
    <w:pPr>
      <w:widowControl w:val="0"/>
      <w:tabs>
        <w:tab w:val="left" w:pos="-1440"/>
      </w:tabs>
      <w:ind w:left="720" w:hanging="720"/>
    </w:pPr>
    <w:rPr>
      <w:rFonts w:ascii="Arial" w:hAnsi="Arial"/>
      <w:snapToGrid w:val="0"/>
      <w:sz w:val="24"/>
    </w:rPr>
  </w:style>
  <w:style w:type="paragraph" w:styleId="BodyTextIndent2">
    <w:name w:val="Body Text Indent 2"/>
    <w:basedOn w:val="Normal"/>
    <w:rsid w:val="003C627E"/>
    <w:pPr>
      <w:widowControl w:val="0"/>
      <w:spacing w:after="120" w:line="480" w:lineRule="auto"/>
      <w:ind w:left="360"/>
    </w:pPr>
    <w:rPr>
      <w:snapToGrid w:val="0"/>
      <w:sz w:val="24"/>
    </w:rPr>
  </w:style>
  <w:style w:type="paragraph" w:customStyle="1" w:styleId="p">
    <w:name w:val="p"/>
    <w:basedOn w:val="Normal"/>
    <w:rsid w:val="00F52451"/>
    <w:pPr>
      <w:spacing w:before="100" w:beforeAutospacing="1" w:after="100" w:afterAutospacing="1"/>
    </w:pPr>
    <w:rPr>
      <w:sz w:val="24"/>
      <w:szCs w:val="24"/>
    </w:rPr>
  </w:style>
  <w:style w:type="paragraph" w:styleId="ListBullet">
    <w:name w:val="List Bullet"/>
    <w:basedOn w:val="Normal"/>
    <w:rsid w:val="00983822"/>
    <w:pPr>
      <w:numPr>
        <w:numId w:val="16"/>
      </w:numPr>
      <w:spacing w:before="60" w:after="60"/>
    </w:pPr>
    <w:rPr>
      <w:snapToGrid w:val="0"/>
      <w:sz w:val="24"/>
    </w:rPr>
  </w:style>
  <w:style w:type="paragraph" w:styleId="DocumentMap">
    <w:name w:val="Document Map"/>
    <w:basedOn w:val="Normal"/>
    <w:semiHidden/>
    <w:rsid w:val="00617E0F"/>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cp:lastModifiedBy>sarabdeep.kaur</cp:lastModifiedBy>
  <cp:revision>2</cp:revision>
  <cp:lastPrinted>2010-07-28T15:26:00Z</cp:lastPrinted>
  <dcterms:created xsi:type="dcterms:W3CDTF">2010-07-28T15:39:00Z</dcterms:created>
  <dcterms:modified xsi:type="dcterms:W3CDTF">2010-07-28T15:39:00Z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