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D2" w:rsidRPr="003D093B" w:rsidRDefault="007029D2" w:rsidP="008906C9">
      <w:pPr>
        <w:pStyle w:val="Heading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D093B">
        <w:rPr>
          <w:rFonts w:ascii="Times New Roman" w:hAnsi="Times New Roman" w:cs="Times New Roman"/>
          <w:i w:val="0"/>
          <w:iCs w:val="0"/>
          <w:sz w:val="24"/>
          <w:szCs w:val="24"/>
        </w:rPr>
        <w:t>DOCUMENTATION FOR THE GENERIC CLEARANCE</w:t>
      </w:r>
    </w:p>
    <w:p w:rsidR="007029D2" w:rsidRPr="003D093B" w:rsidRDefault="007029D2" w:rsidP="008906C9">
      <w:pPr>
        <w:ind w:left="-360"/>
        <w:jc w:val="center"/>
        <w:rPr>
          <w:b/>
          <w:bCs/>
        </w:rPr>
      </w:pPr>
      <w:r w:rsidRPr="003D093B">
        <w:rPr>
          <w:b/>
          <w:bCs/>
        </w:rPr>
        <w:t>OF CUSTOMER SATISFACTION SU</w:t>
      </w:r>
      <w:r w:rsidR="00F557A8" w:rsidRPr="003D093B">
        <w:rPr>
          <w:b/>
          <w:bCs/>
        </w:rPr>
        <w:t>R</w:t>
      </w:r>
      <w:r w:rsidRPr="003D093B">
        <w:rPr>
          <w:b/>
          <w:bCs/>
        </w:rPr>
        <w:t>VEYS</w:t>
      </w:r>
    </w:p>
    <w:p w:rsidR="007029D2" w:rsidRPr="003D093B" w:rsidRDefault="007029D2" w:rsidP="008906C9">
      <w:pPr>
        <w:rPr>
          <w:b/>
          <w:bCs/>
        </w:rPr>
      </w:pPr>
    </w:p>
    <w:p w:rsidR="007029D2" w:rsidRDefault="00D66237" w:rsidP="00B952E4">
      <w:pPr>
        <w:pStyle w:val="Heading1"/>
        <w:ind w:left="4752" w:hanging="475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66237">
        <w:rPr>
          <w:b w:val="0"/>
          <w:bCs w:val="0"/>
          <w:noProof/>
        </w:rPr>
        <w:pict>
          <v:line id="_x0000_s1026" style="position:absolute;left:0;text-align:left;z-index:251657728" from="0,1.8pt" to="468pt,1.8pt" strokeweight="1.5pt"/>
        </w:pict>
      </w:r>
      <w:r w:rsidR="007029D2" w:rsidRPr="003D093B">
        <w:rPr>
          <w:rFonts w:ascii="Times New Roman" w:hAnsi="Times New Roman" w:cs="Times New Roman"/>
          <w:sz w:val="24"/>
          <w:szCs w:val="24"/>
        </w:rPr>
        <w:t>TITLE OF INFORMATION COLLECTION:</w:t>
      </w:r>
      <w:r w:rsidR="00B952E4">
        <w:rPr>
          <w:rFonts w:ascii="Times New Roman" w:hAnsi="Times New Roman" w:cs="Times New Roman"/>
          <w:sz w:val="24"/>
          <w:szCs w:val="24"/>
        </w:rPr>
        <w:tab/>
      </w:r>
      <w:r w:rsidR="007029D2" w:rsidRPr="003D093B">
        <w:rPr>
          <w:rFonts w:ascii="Times New Roman" w:hAnsi="Times New Roman" w:cs="Times New Roman"/>
          <w:b w:val="0"/>
          <w:bCs w:val="0"/>
          <w:sz w:val="24"/>
          <w:szCs w:val="24"/>
        </w:rPr>
        <w:t>Fiscal Year (FY)</w:t>
      </w:r>
      <w:r w:rsidR="00B952E4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03593F" w:rsidRPr="003D093B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="00212B54">
        <w:rPr>
          <w:rFonts w:ascii="Times New Roman" w:hAnsi="Times New Roman" w:cs="Times New Roman"/>
          <w:b w:val="0"/>
          <w:bCs w:val="0"/>
          <w:sz w:val="24"/>
          <w:szCs w:val="24"/>
        </w:rPr>
        <w:t>11</w:t>
      </w:r>
      <w:r w:rsidR="007029D2" w:rsidRPr="003D09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35CD5">
        <w:rPr>
          <w:rFonts w:ascii="Times New Roman" w:hAnsi="Times New Roman" w:cs="Times New Roman"/>
          <w:b w:val="0"/>
          <w:bCs w:val="0"/>
          <w:sz w:val="24"/>
          <w:szCs w:val="24"/>
        </w:rPr>
        <w:t>Internet</w:t>
      </w:r>
      <w:r w:rsidR="00CE36FE" w:rsidRPr="003D09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Report Card</w:t>
      </w:r>
      <w:r w:rsidR="00B952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 (IRC) </w:t>
      </w:r>
      <w:r w:rsidR="007029D2" w:rsidRPr="003D093B">
        <w:rPr>
          <w:rFonts w:ascii="Times New Roman" w:hAnsi="Times New Roman" w:cs="Times New Roman"/>
          <w:b w:val="0"/>
          <w:bCs w:val="0"/>
          <w:sz w:val="24"/>
          <w:szCs w:val="24"/>
        </w:rPr>
        <w:t>Survey</w:t>
      </w:r>
    </w:p>
    <w:p w:rsidR="00432BA0" w:rsidRPr="00432BA0" w:rsidRDefault="00432BA0" w:rsidP="00432BA0"/>
    <w:p w:rsidR="00CD2A57" w:rsidRPr="003D093B" w:rsidRDefault="007029D2" w:rsidP="00DA7A24">
      <w:r w:rsidRPr="003D093B">
        <w:rPr>
          <w:b/>
        </w:rPr>
        <w:t>SSA SUB-NUMBER</w:t>
      </w:r>
      <w:r w:rsidR="00E638F4" w:rsidRPr="003D093B">
        <w:rPr>
          <w:b/>
        </w:rPr>
        <w:t xml:space="preserve">:  </w:t>
      </w:r>
      <w:r w:rsidR="00A5314B" w:rsidRPr="003C2EB5">
        <w:rPr>
          <w:bCs/>
        </w:rPr>
        <w:t>D-02</w:t>
      </w:r>
      <w:r w:rsidR="00212B54">
        <w:rPr>
          <w:bCs/>
        </w:rPr>
        <w:t xml:space="preserve"> </w:t>
      </w:r>
    </w:p>
    <w:p w:rsidR="007029D2" w:rsidRPr="003D093B" w:rsidRDefault="007029D2" w:rsidP="008906C9"/>
    <w:p w:rsidR="007029D2" w:rsidRPr="003D093B" w:rsidRDefault="007029D2" w:rsidP="008906C9">
      <w:pPr>
        <w:rPr>
          <w:i/>
        </w:rPr>
      </w:pPr>
      <w:r w:rsidRPr="003D093B">
        <w:rPr>
          <w:b/>
        </w:rPr>
        <w:t>DESCRIPTION OF ACTIVITY</w:t>
      </w:r>
      <w:r w:rsidRPr="003D093B">
        <w:t xml:space="preserve"> </w:t>
      </w:r>
      <w:r w:rsidRPr="003D093B">
        <w:rPr>
          <w:i/>
        </w:rPr>
        <w:t>(give purpose of activity, provide specific information; i.e., date(s) of survey, number of focus groups, locations, etc.)</w:t>
      </w:r>
      <w:r w:rsidRPr="003D093B">
        <w:rPr>
          <w:b/>
          <w:bCs/>
          <w:iCs/>
        </w:rPr>
        <w:t>:</w:t>
      </w:r>
    </w:p>
    <w:p w:rsidR="007029D2" w:rsidRPr="003D093B" w:rsidRDefault="007029D2" w:rsidP="008906C9">
      <w:pPr>
        <w:pStyle w:val="Header"/>
        <w:tabs>
          <w:tab w:val="clear" w:pos="4320"/>
          <w:tab w:val="clear" w:pos="8640"/>
        </w:tabs>
      </w:pPr>
    </w:p>
    <w:p w:rsidR="007029D2" w:rsidRPr="003D093B" w:rsidRDefault="007029D2" w:rsidP="00680226">
      <w:pPr>
        <w:pStyle w:val="Heading5"/>
      </w:pPr>
      <w:r w:rsidRPr="003D093B">
        <w:t>BACKGROUND</w:t>
      </w:r>
      <w:r w:rsidR="00D22C79" w:rsidRPr="003D093B">
        <w:t>:</w:t>
      </w:r>
    </w:p>
    <w:p w:rsidR="00CD2A57" w:rsidRPr="003D093B" w:rsidRDefault="00CD2A57" w:rsidP="008906C9"/>
    <w:p w:rsidR="00E63A2D" w:rsidRPr="00623847" w:rsidRDefault="00A434C4" w:rsidP="00827AA6">
      <w:pPr>
        <w:pStyle w:val="NormalWeb"/>
        <w:spacing w:before="0" w:beforeAutospacing="0" w:after="0" w:afterAutospacing="0"/>
        <w:rPr>
          <w:color w:val="auto"/>
        </w:rPr>
      </w:pPr>
      <w:r w:rsidRPr="00623847">
        <w:rPr>
          <w:color w:val="auto"/>
        </w:rPr>
        <w:t>The Social Security Administration (SSA) annually survey</w:t>
      </w:r>
      <w:r w:rsidR="003F23AC" w:rsidRPr="00623847">
        <w:rPr>
          <w:color w:val="auto"/>
        </w:rPr>
        <w:t>s</w:t>
      </w:r>
      <w:r w:rsidRPr="00623847">
        <w:rPr>
          <w:color w:val="auto"/>
        </w:rPr>
        <w:t xml:space="preserve"> individuals who </w:t>
      </w:r>
      <w:r w:rsidR="003F23AC" w:rsidRPr="00623847">
        <w:rPr>
          <w:color w:val="auto"/>
        </w:rPr>
        <w:t>do</w:t>
      </w:r>
      <w:r w:rsidRPr="00623847">
        <w:rPr>
          <w:color w:val="auto"/>
        </w:rPr>
        <w:t xml:space="preserve"> business with us to assess their satisfaction with the specific mode of contact they used.  </w:t>
      </w:r>
      <w:r w:rsidR="005E05B4" w:rsidRPr="00623847">
        <w:rPr>
          <w:color w:val="auto"/>
        </w:rPr>
        <w:t xml:space="preserve">Currently, </w:t>
      </w:r>
      <w:r w:rsidR="001068AD" w:rsidRPr="00623847">
        <w:rPr>
          <w:color w:val="auto"/>
        </w:rPr>
        <w:t xml:space="preserve">SSA uses the results of three ongoing surveys </w:t>
      </w:r>
      <w:r w:rsidR="00A84884" w:rsidRPr="00623847">
        <w:rPr>
          <w:color w:val="auto"/>
        </w:rPr>
        <w:t>of</w:t>
      </w:r>
      <w:r w:rsidR="001068AD" w:rsidRPr="00623847">
        <w:rPr>
          <w:color w:val="auto"/>
        </w:rPr>
        <w:t xml:space="preserve"> 800 number </w:t>
      </w:r>
      <w:r w:rsidR="00B3099A">
        <w:rPr>
          <w:color w:val="auto"/>
        </w:rPr>
        <w:t xml:space="preserve">callers, </w:t>
      </w:r>
      <w:r w:rsidR="001068AD" w:rsidRPr="00623847">
        <w:rPr>
          <w:color w:val="auto"/>
        </w:rPr>
        <w:t>field office callers and office visitors to produce its key performance indicator, “percent of individuals doing business with SSA who rate overall service excellent, very good or good.”</w:t>
      </w:r>
      <w:r w:rsidR="005E05B4" w:rsidRPr="00623847">
        <w:rPr>
          <w:color w:val="auto"/>
        </w:rPr>
        <w:t xml:space="preserve">  Because </w:t>
      </w:r>
      <w:r w:rsidR="00635CD5">
        <w:rPr>
          <w:color w:val="auto"/>
        </w:rPr>
        <w:t>Internet</w:t>
      </w:r>
      <w:r w:rsidR="005E05B4" w:rsidRPr="00623847">
        <w:rPr>
          <w:color w:val="auto"/>
        </w:rPr>
        <w:t xml:space="preserve"> transactions have grown into another important </w:t>
      </w:r>
      <w:r w:rsidR="00991590" w:rsidRPr="00623847">
        <w:rPr>
          <w:color w:val="auto"/>
        </w:rPr>
        <w:t>method for doing</w:t>
      </w:r>
      <w:r w:rsidR="005E05B4" w:rsidRPr="00623847">
        <w:rPr>
          <w:color w:val="auto"/>
        </w:rPr>
        <w:t xml:space="preserve"> business with SSA, we </w:t>
      </w:r>
      <w:r w:rsidR="00B3099A">
        <w:rPr>
          <w:color w:val="auto"/>
        </w:rPr>
        <w:t>recently</w:t>
      </w:r>
      <w:r w:rsidR="005E05B4" w:rsidRPr="00623847">
        <w:rPr>
          <w:color w:val="auto"/>
        </w:rPr>
        <w:t xml:space="preserve"> </w:t>
      </w:r>
      <w:r w:rsidR="00991590" w:rsidRPr="00623847">
        <w:rPr>
          <w:color w:val="auto"/>
        </w:rPr>
        <w:t>add</w:t>
      </w:r>
      <w:r w:rsidR="00814372">
        <w:rPr>
          <w:color w:val="auto"/>
        </w:rPr>
        <w:t>ed</w:t>
      </w:r>
      <w:r w:rsidR="005E05B4" w:rsidRPr="00623847">
        <w:rPr>
          <w:color w:val="auto"/>
        </w:rPr>
        <w:t xml:space="preserve"> the satisfaction of </w:t>
      </w:r>
      <w:r w:rsidR="00635CD5">
        <w:rPr>
          <w:color w:val="auto"/>
        </w:rPr>
        <w:t>Internet</w:t>
      </w:r>
      <w:r w:rsidR="005E05B4" w:rsidRPr="00623847">
        <w:rPr>
          <w:color w:val="auto"/>
        </w:rPr>
        <w:t xml:space="preserve"> users in</w:t>
      </w:r>
      <w:r w:rsidR="00991590" w:rsidRPr="00623847">
        <w:rPr>
          <w:color w:val="auto"/>
        </w:rPr>
        <w:t>to</w:t>
      </w:r>
      <w:r w:rsidR="005E05B4" w:rsidRPr="00623847">
        <w:rPr>
          <w:color w:val="auto"/>
        </w:rPr>
        <w:t xml:space="preserve"> the calculation of our performance indicator. </w:t>
      </w:r>
      <w:r w:rsidR="00E63A2D" w:rsidRPr="00623847">
        <w:rPr>
          <w:color w:val="auto"/>
        </w:rPr>
        <w:t xml:space="preserve"> </w:t>
      </w:r>
    </w:p>
    <w:p w:rsidR="00E63A2D" w:rsidRPr="00623847" w:rsidRDefault="00E63A2D" w:rsidP="00E63A2D">
      <w:pPr>
        <w:pStyle w:val="NormalWeb"/>
        <w:spacing w:before="0" w:beforeAutospacing="0" w:after="0" w:afterAutospacing="0"/>
        <w:rPr>
          <w:color w:val="auto"/>
        </w:rPr>
      </w:pPr>
    </w:p>
    <w:p w:rsidR="005C2C39" w:rsidRDefault="00E63A2D" w:rsidP="00817CE3">
      <w:pPr>
        <w:pStyle w:val="NormalWeb"/>
        <w:spacing w:before="0" w:beforeAutospacing="0" w:after="0" w:afterAutospacing="0"/>
        <w:rPr>
          <w:color w:val="auto"/>
        </w:rPr>
      </w:pPr>
      <w:r w:rsidRPr="00623847">
        <w:rPr>
          <w:color w:val="auto"/>
        </w:rPr>
        <w:t>I</w:t>
      </w:r>
      <w:r w:rsidR="00776B9C" w:rsidRPr="00623847">
        <w:rPr>
          <w:color w:val="auto"/>
        </w:rPr>
        <w:t>n light of w</w:t>
      </w:r>
      <w:r w:rsidR="005E05B4" w:rsidRPr="00623847">
        <w:rPr>
          <w:color w:val="auto"/>
        </w:rPr>
        <w:t xml:space="preserve">orkload and budget </w:t>
      </w:r>
      <w:r w:rsidR="00434363" w:rsidRPr="00623847">
        <w:rPr>
          <w:color w:val="auto"/>
        </w:rPr>
        <w:t>constraints</w:t>
      </w:r>
      <w:r w:rsidR="005E05B4" w:rsidRPr="00623847">
        <w:rPr>
          <w:color w:val="auto"/>
        </w:rPr>
        <w:t xml:space="preserve">, </w:t>
      </w:r>
      <w:r w:rsidRPr="00623847">
        <w:rPr>
          <w:color w:val="auto"/>
        </w:rPr>
        <w:t>SSA</w:t>
      </w:r>
      <w:r w:rsidR="005E05B4" w:rsidRPr="00623847">
        <w:rPr>
          <w:color w:val="auto"/>
        </w:rPr>
        <w:t xml:space="preserve"> </w:t>
      </w:r>
      <w:r w:rsidR="00432BA0">
        <w:rPr>
          <w:color w:val="auto"/>
        </w:rPr>
        <w:t>is</w:t>
      </w:r>
      <w:r w:rsidR="005E05B4" w:rsidRPr="00623847">
        <w:rPr>
          <w:color w:val="auto"/>
        </w:rPr>
        <w:t xml:space="preserve"> </w:t>
      </w:r>
      <w:r w:rsidR="00506C22" w:rsidRPr="00623847">
        <w:rPr>
          <w:color w:val="auto"/>
        </w:rPr>
        <w:t>implement</w:t>
      </w:r>
      <w:r w:rsidR="00432BA0">
        <w:rPr>
          <w:color w:val="auto"/>
        </w:rPr>
        <w:t>ing</w:t>
      </w:r>
      <w:r w:rsidR="005E05B4" w:rsidRPr="00623847">
        <w:rPr>
          <w:color w:val="auto"/>
        </w:rPr>
        <w:t xml:space="preserve"> the </w:t>
      </w:r>
      <w:r w:rsidR="00432BA0">
        <w:rPr>
          <w:color w:val="auto"/>
        </w:rPr>
        <w:t>IRC</w:t>
      </w:r>
      <w:r w:rsidR="00506C22" w:rsidRPr="00623847">
        <w:rPr>
          <w:color w:val="auto"/>
        </w:rPr>
        <w:t xml:space="preserve"> S</w:t>
      </w:r>
      <w:r w:rsidR="005E05B4" w:rsidRPr="00623847">
        <w:rPr>
          <w:color w:val="auto"/>
        </w:rPr>
        <w:t xml:space="preserve">urvey </w:t>
      </w:r>
      <w:r w:rsidR="00776B9C" w:rsidRPr="00623847">
        <w:rPr>
          <w:color w:val="auto"/>
        </w:rPr>
        <w:t xml:space="preserve">on an </w:t>
      </w:r>
      <w:r w:rsidR="005E05B4" w:rsidRPr="00623847">
        <w:rPr>
          <w:color w:val="auto"/>
        </w:rPr>
        <w:t>incremental</w:t>
      </w:r>
      <w:r w:rsidR="00776B9C" w:rsidRPr="00623847">
        <w:rPr>
          <w:color w:val="auto"/>
        </w:rPr>
        <w:t xml:space="preserve"> basis</w:t>
      </w:r>
      <w:r w:rsidR="005E05B4" w:rsidRPr="00623847">
        <w:rPr>
          <w:color w:val="auto"/>
        </w:rPr>
        <w:t xml:space="preserve">.  </w:t>
      </w:r>
      <w:r w:rsidR="00375DD7">
        <w:rPr>
          <w:color w:val="auto"/>
        </w:rPr>
        <w:t>In FY 2010</w:t>
      </w:r>
      <w:r w:rsidR="0037480E">
        <w:rPr>
          <w:color w:val="auto"/>
        </w:rPr>
        <w:t xml:space="preserve">, </w:t>
      </w:r>
      <w:r w:rsidR="00B07D92" w:rsidRPr="00623847">
        <w:rPr>
          <w:color w:val="auto"/>
        </w:rPr>
        <w:t>t</w:t>
      </w:r>
      <w:r w:rsidR="005E05B4" w:rsidRPr="00623847">
        <w:rPr>
          <w:color w:val="auto"/>
        </w:rPr>
        <w:t xml:space="preserve">he </w:t>
      </w:r>
      <w:r w:rsidR="00A40BA8">
        <w:rPr>
          <w:color w:val="auto"/>
        </w:rPr>
        <w:t xml:space="preserve">IRC Survey </w:t>
      </w:r>
      <w:r w:rsidR="00434363" w:rsidRPr="00623847">
        <w:rPr>
          <w:color w:val="auto"/>
        </w:rPr>
        <w:t xml:space="preserve">sample </w:t>
      </w:r>
      <w:r w:rsidR="005E05B4" w:rsidRPr="00623847">
        <w:rPr>
          <w:color w:val="auto"/>
        </w:rPr>
        <w:t>include</w:t>
      </w:r>
      <w:r w:rsidR="00B07D92" w:rsidRPr="00623847">
        <w:rPr>
          <w:color w:val="auto"/>
        </w:rPr>
        <w:t>d</w:t>
      </w:r>
      <w:r w:rsidR="005E05B4" w:rsidRPr="00623847">
        <w:rPr>
          <w:color w:val="auto"/>
        </w:rPr>
        <w:t xml:space="preserve"> </w:t>
      </w:r>
      <w:r w:rsidRPr="00623847">
        <w:rPr>
          <w:color w:val="auto"/>
        </w:rPr>
        <w:t xml:space="preserve">individuals who </w:t>
      </w:r>
      <w:r w:rsidR="005C2C39">
        <w:rPr>
          <w:color w:val="auto"/>
        </w:rPr>
        <w:t>filed online</w:t>
      </w:r>
      <w:r w:rsidR="00B07D92" w:rsidRPr="00623847">
        <w:rPr>
          <w:color w:val="auto"/>
        </w:rPr>
        <w:t xml:space="preserve"> </w:t>
      </w:r>
      <w:r w:rsidR="009E5D2F" w:rsidRPr="00623847">
        <w:rPr>
          <w:color w:val="auto"/>
        </w:rPr>
        <w:t>for</w:t>
      </w:r>
      <w:r w:rsidRPr="00623847">
        <w:rPr>
          <w:color w:val="auto"/>
        </w:rPr>
        <w:t xml:space="preserve"> either</w:t>
      </w:r>
      <w:r w:rsidR="005E05B4" w:rsidRPr="00623847">
        <w:rPr>
          <w:color w:val="auto"/>
        </w:rPr>
        <w:t xml:space="preserve"> </w:t>
      </w:r>
      <w:r w:rsidR="006C3697" w:rsidRPr="00623847">
        <w:rPr>
          <w:color w:val="auto"/>
        </w:rPr>
        <w:t>retirement</w:t>
      </w:r>
      <w:r w:rsidR="005E05B4" w:rsidRPr="00623847">
        <w:rPr>
          <w:color w:val="auto"/>
        </w:rPr>
        <w:t xml:space="preserve"> </w:t>
      </w:r>
      <w:r w:rsidR="006C3697" w:rsidRPr="00623847">
        <w:rPr>
          <w:color w:val="auto"/>
        </w:rPr>
        <w:t xml:space="preserve">benefits, </w:t>
      </w:r>
      <w:r w:rsidR="00F104EA" w:rsidRPr="00623847">
        <w:rPr>
          <w:color w:val="auto"/>
        </w:rPr>
        <w:t xml:space="preserve">Title II </w:t>
      </w:r>
      <w:r w:rsidR="006C3697" w:rsidRPr="00623847">
        <w:rPr>
          <w:color w:val="auto"/>
        </w:rPr>
        <w:t xml:space="preserve">disability benefits </w:t>
      </w:r>
      <w:r w:rsidRPr="00623847">
        <w:rPr>
          <w:color w:val="auto"/>
        </w:rPr>
        <w:t>or</w:t>
      </w:r>
      <w:r w:rsidR="006C3697" w:rsidRPr="00623847">
        <w:rPr>
          <w:color w:val="auto"/>
        </w:rPr>
        <w:t xml:space="preserve"> </w:t>
      </w:r>
      <w:r w:rsidRPr="00623847">
        <w:rPr>
          <w:color w:val="auto"/>
        </w:rPr>
        <w:t xml:space="preserve">a </w:t>
      </w:r>
      <w:r w:rsidR="006C3697" w:rsidRPr="00623847">
        <w:rPr>
          <w:color w:val="auto"/>
        </w:rPr>
        <w:t>Medicare Part</w:t>
      </w:r>
      <w:r w:rsidRPr="00623847">
        <w:rPr>
          <w:color w:val="auto"/>
        </w:rPr>
        <w:t> D Subsidy</w:t>
      </w:r>
      <w:r w:rsidR="006C3697" w:rsidRPr="00623847">
        <w:rPr>
          <w:color w:val="auto"/>
        </w:rPr>
        <w:t>.</w:t>
      </w:r>
      <w:r w:rsidR="005E05B4" w:rsidRPr="00623847">
        <w:rPr>
          <w:color w:val="auto"/>
        </w:rPr>
        <w:t xml:space="preserve"> </w:t>
      </w:r>
      <w:r w:rsidR="00B07D92" w:rsidRPr="00623847">
        <w:rPr>
          <w:color w:val="auto"/>
        </w:rPr>
        <w:t xml:space="preserve"> In FY</w:t>
      </w:r>
      <w:r w:rsidR="00375DD7">
        <w:rPr>
          <w:color w:val="auto"/>
        </w:rPr>
        <w:t> </w:t>
      </w:r>
      <w:r w:rsidR="00B07D92" w:rsidRPr="00623847">
        <w:rPr>
          <w:color w:val="auto"/>
        </w:rPr>
        <w:t>2011</w:t>
      </w:r>
      <w:r w:rsidR="0037480E">
        <w:rPr>
          <w:color w:val="auto"/>
        </w:rPr>
        <w:t>,</w:t>
      </w:r>
      <w:r w:rsidR="00375DD7">
        <w:rPr>
          <w:color w:val="auto"/>
        </w:rPr>
        <w:t xml:space="preserve"> </w:t>
      </w:r>
      <w:r w:rsidR="004E2B5F">
        <w:rPr>
          <w:color w:val="auto"/>
        </w:rPr>
        <w:t>SSA expanded its online application to individuals applying for Medicare Part B</w:t>
      </w:r>
      <w:r w:rsidR="0063333C">
        <w:rPr>
          <w:color w:val="auto"/>
        </w:rPr>
        <w:t xml:space="preserve"> only</w:t>
      </w:r>
      <w:r w:rsidR="004E2B5F">
        <w:rPr>
          <w:color w:val="auto"/>
        </w:rPr>
        <w:t xml:space="preserve">.  </w:t>
      </w:r>
      <w:r w:rsidR="00055A35">
        <w:rPr>
          <w:color w:val="auto"/>
        </w:rPr>
        <w:t>Therefore, w</w:t>
      </w:r>
      <w:r w:rsidR="004E2B5F">
        <w:rPr>
          <w:color w:val="auto"/>
        </w:rPr>
        <w:t>e</w:t>
      </w:r>
      <w:r w:rsidR="00B07D92" w:rsidRPr="00623847">
        <w:rPr>
          <w:color w:val="auto"/>
        </w:rPr>
        <w:t xml:space="preserve"> </w:t>
      </w:r>
      <w:r w:rsidR="00240762">
        <w:rPr>
          <w:color w:val="auto"/>
        </w:rPr>
        <w:t>are</w:t>
      </w:r>
      <w:r w:rsidR="00B07D92" w:rsidRPr="00623847">
        <w:rPr>
          <w:color w:val="auto"/>
        </w:rPr>
        <w:t xml:space="preserve"> </w:t>
      </w:r>
      <w:r w:rsidR="00126088">
        <w:rPr>
          <w:color w:val="auto"/>
        </w:rPr>
        <w:t>add</w:t>
      </w:r>
      <w:r w:rsidR="00240762">
        <w:rPr>
          <w:color w:val="auto"/>
        </w:rPr>
        <w:t>ing</w:t>
      </w:r>
      <w:r w:rsidR="00126088">
        <w:rPr>
          <w:color w:val="auto"/>
        </w:rPr>
        <w:t xml:space="preserve"> </w:t>
      </w:r>
      <w:r w:rsidR="0063333C">
        <w:rPr>
          <w:color w:val="auto"/>
        </w:rPr>
        <w:t xml:space="preserve">a Medicare Part B </w:t>
      </w:r>
      <w:r w:rsidR="00055A35">
        <w:rPr>
          <w:color w:val="auto"/>
        </w:rPr>
        <w:t>sample</w:t>
      </w:r>
      <w:r w:rsidR="00126088">
        <w:rPr>
          <w:color w:val="auto"/>
        </w:rPr>
        <w:t xml:space="preserve"> to the online applica</w:t>
      </w:r>
      <w:r w:rsidR="005C2C39">
        <w:rPr>
          <w:color w:val="auto"/>
        </w:rPr>
        <w:t>nt</w:t>
      </w:r>
      <w:r w:rsidR="00126088">
        <w:rPr>
          <w:color w:val="auto"/>
        </w:rPr>
        <w:t xml:space="preserve"> group</w:t>
      </w:r>
      <w:r w:rsidR="004E2B5F">
        <w:rPr>
          <w:color w:val="auto"/>
        </w:rPr>
        <w:t xml:space="preserve"> in the upcoming survey</w:t>
      </w:r>
      <w:r w:rsidR="00126088">
        <w:rPr>
          <w:color w:val="auto"/>
        </w:rPr>
        <w:t xml:space="preserve">.  </w:t>
      </w:r>
    </w:p>
    <w:p w:rsidR="005C2C39" w:rsidRDefault="005C2C39" w:rsidP="00817CE3">
      <w:pPr>
        <w:pStyle w:val="NormalWeb"/>
        <w:spacing w:before="0" w:beforeAutospacing="0" w:after="0" w:afterAutospacing="0"/>
        <w:rPr>
          <w:color w:val="auto"/>
        </w:rPr>
      </w:pPr>
    </w:p>
    <w:p w:rsidR="00776B9C" w:rsidRPr="00623847" w:rsidRDefault="000552CA" w:rsidP="00817CE3">
      <w:pPr>
        <w:pStyle w:val="NormalWeb"/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In addition, </w:t>
      </w:r>
      <w:r w:rsidR="00CF1AC9">
        <w:rPr>
          <w:color w:val="auto"/>
        </w:rPr>
        <w:t xml:space="preserve">in FY 2011 </w:t>
      </w:r>
      <w:r>
        <w:rPr>
          <w:color w:val="auto"/>
        </w:rPr>
        <w:t xml:space="preserve">we will </w:t>
      </w:r>
      <w:r w:rsidR="00B07D92" w:rsidRPr="00623847">
        <w:rPr>
          <w:color w:val="auto"/>
        </w:rPr>
        <w:t xml:space="preserve">expand the </w:t>
      </w:r>
      <w:r w:rsidR="00055A35">
        <w:rPr>
          <w:color w:val="auto"/>
        </w:rPr>
        <w:t>survey</w:t>
      </w:r>
      <w:r w:rsidR="00B07D92" w:rsidRPr="00623847">
        <w:rPr>
          <w:color w:val="auto"/>
        </w:rPr>
        <w:t xml:space="preserve"> to include individuals who </w:t>
      </w:r>
      <w:r w:rsidR="00223A65">
        <w:rPr>
          <w:color w:val="auto"/>
        </w:rPr>
        <w:t>used SSA’s online</w:t>
      </w:r>
      <w:r w:rsidR="008B193A">
        <w:rPr>
          <w:color w:val="auto"/>
        </w:rPr>
        <w:t xml:space="preserve"> </w:t>
      </w:r>
      <w:r w:rsidR="00B07D92" w:rsidRPr="00623847">
        <w:rPr>
          <w:color w:val="auto"/>
        </w:rPr>
        <w:t xml:space="preserve">change of address or direct deposit service. </w:t>
      </w:r>
      <w:r w:rsidR="00623847">
        <w:rPr>
          <w:color w:val="auto"/>
        </w:rPr>
        <w:t xml:space="preserve"> </w:t>
      </w:r>
      <w:r w:rsidR="00755AAF" w:rsidRPr="00623847">
        <w:rPr>
          <w:color w:val="auto"/>
        </w:rPr>
        <w:t xml:space="preserve">In subsequent years we plan to </w:t>
      </w:r>
      <w:r w:rsidR="00055A35">
        <w:rPr>
          <w:color w:val="auto"/>
        </w:rPr>
        <w:t>add</w:t>
      </w:r>
      <w:r w:rsidR="00755AAF" w:rsidRPr="00623847">
        <w:rPr>
          <w:color w:val="auto"/>
        </w:rPr>
        <w:t xml:space="preserve"> </w:t>
      </w:r>
      <w:r w:rsidR="00F104EA" w:rsidRPr="00623847">
        <w:rPr>
          <w:color w:val="auto"/>
        </w:rPr>
        <w:t xml:space="preserve">the </w:t>
      </w:r>
      <w:r w:rsidR="00755AAF" w:rsidRPr="00623847">
        <w:rPr>
          <w:color w:val="auto"/>
        </w:rPr>
        <w:t>other</w:t>
      </w:r>
      <w:r w:rsidR="00623847">
        <w:rPr>
          <w:color w:val="auto"/>
        </w:rPr>
        <w:t xml:space="preserve"> </w:t>
      </w:r>
      <w:r w:rsidR="00623847" w:rsidRPr="00623847">
        <w:rPr>
          <w:color w:val="auto"/>
        </w:rPr>
        <w:t>two</w:t>
      </w:r>
      <w:r w:rsidR="00755AAF" w:rsidRPr="00623847">
        <w:rPr>
          <w:color w:val="auto"/>
        </w:rPr>
        <w:t xml:space="preserve"> </w:t>
      </w:r>
      <w:r w:rsidR="00F104EA" w:rsidRPr="00623847">
        <w:rPr>
          <w:color w:val="auto"/>
        </w:rPr>
        <w:t xml:space="preserve">categories of </w:t>
      </w:r>
      <w:r w:rsidR="00755AAF" w:rsidRPr="00623847">
        <w:rPr>
          <w:color w:val="auto"/>
        </w:rPr>
        <w:t>transactions</w:t>
      </w:r>
      <w:r w:rsidR="00817CE3" w:rsidRPr="00623847">
        <w:rPr>
          <w:color w:val="auto"/>
        </w:rPr>
        <w:t xml:space="preserve"> SSA currently offers on its website</w:t>
      </w:r>
      <w:r w:rsidR="00506C22" w:rsidRPr="00623847">
        <w:rPr>
          <w:color w:val="auto"/>
        </w:rPr>
        <w:t xml:space="preserve">: </w:t>
      </w:r>
      <w:r w:rsidR="00434363" w:rsidRPr="00623847">
        <w:rPr>
          <w:color w:val="auto"/>
        </w:rPr>
        <w:t xml:space="preserve"> request</w:t>
      </w:r>
      <w:r w:rsidR="00E56C95" w:rsidRPr="00623847">
        <w:rPr>
          <w:color w:val="auto"/>
        </w:rPr>
        <w:t>s</w:t>
      </w:r>
      <w:r w:rsidR="00434363" w:rsidRPr="00623847">
        <w:rPr>
          <w:color w:val="auto"/>
        </w:rPr>
        <w:t xml:space="preserve"> for information and disability report forms</w:t>
      </w:r>
      <w:r w:rsidR="00755AAF" w:rsidRPr="00623847">
        <w:rPr>
          <w:color w:val="auto"/>
        </w:rPr>
        <w:t xml:space="preserve">. </w:t>
      </w:r>
    </w:p>
    <w:p w:rsidR="00776B9C" w:rsidRDefault="00776B9C" w:rsidP="00776B9C">
      <w:pPr>
        <w:pStyle w:val="NormalWeb"/>
        <w:spacing w:before="0" w:beforeAutospacing="0" w:after="0" w:afterAutospacing="0"/>
        <w:rPr>
          <w:color w:val="auto"/>
        </w:rPr>
      </w:pPr>
    </w:p>
    <w:p w:rsidR="00E9128F" w:rsidRDefault="00E9128F" w:rsidP="00776B9C">
      <w:pPr>
        <w:pStyle w:val="NormalWeb"/>
        <w:spacing w:before="0" w:beforeAutospacing="0" w:after="0" w:afterAutospacing="0"/>
        <w:rPr>
          <w:color w:val="auto"/>
        </w:rPr>
      </w:pPr>
      <w:r>
        <w:rPr>
          <w:color w:val="auto"/>
        </w:rPr>
        <w:t>The IRC Survey assesses public perception of the transactional services provided on SSA’s website and collects information to help SSA understand the customer experience behind satisfaction ratings.</w:t>
      </w:r>
    </w:p>
    <w:p w:rsidR="00E9128F" w:rsidRPr="00623847" w:rsidRDefault="00E9128F" w:rsidP="00776B9C">
      <w:pPr>
        <w:pStyle w:val="NormalWeb"/>
        <w:spacing w:before="0" w:beforeAutospacing="0" w:after="0" w:afterAutospacing="0"/>
        <w:rPr>
          <w:color w:val="auto"/>
        </w:rPr>
      </w:pPr>
    </w:p>
    <w:p w:rsidR="007029D2" w:rsidRPr="00623847" w:rsidRDefault="007029D2" w:rsidP="008906C9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</w:rPr>
      </w:pPr>
      <w:r w:rsidRPr="00623847">
        <w:rPr>
          <w:b/>
          <w:bCs/>
        </w:rPr>
        <w:t>SURVEY</w:t>
      </w:r>
      <w:r w:rsidR="00387EC0" w:rsidRPr="00623847">
        <w:rPr>
          <w:b/>
          <w:bCs/>
        </w:rPr>
        <w:t>:</w:t>
      </w:r>
      <w:r w:rsidR="00D673DC" w:rsidRPr="00623847">
        <w:rPr>
          <w:b/>
          <w:bCs/>
        </w:rPr>
        <w:t xml:space="preserve"> </w:t>
      </w:r>
    </w:p>
    <w:p w:rsidR="007029D2" w:rsidRPr="00623847" w:rsidRDefault="007029D2" w:rsidP="008906C9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7029D2" w:rsidRPr="00623847" w:rsidRDefault="007029D2" w:rsidP="008906C9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  <w:u w:val="single"/>
        </w:rPr>
      </w:pPr>
      <w:r w:rsidRPr="00623847">
        <w:rPr>
          <w:b/>
          <w:bCs/>
          <w:u w:val="single"/>
        </w:rPr>
        <w:t>Description of Survey</w:t>
      </w:r>
    </w:p>
    <w:p w:rsidR="00CD2A57" w:rsidRPr="00623847" w:rsidRDefault="00CD2A57" w:rsidP="008906C9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CF1AC9" w:rsidRDefault="00245999" w:rsidP="009F3D73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  <w:r w:rsidRPr="00623847">
        <w:t>We conduct t</w:t>
      </w:r>
      <w:r w:rsidR="00882205" w:rsidRPr="00623847">
        <w:t xml:space="preserve">he </w:t>
      </w:r>
      <w:r w:rsidR="00CF1AC9">
        <w:t>IRC</w:t>
      </w:r>
      <w:r w:rsidRPr="00623847">
        <w:t xml:space="preserve"> Survey by mail using</w:t>
      </w:r>
      <w:r w:rsidR="00882205" w:rsidRPr="00623847">
        <w:t xml:space="preserve"> a brief, scannable questionnaire</w:t>
      </w:r>
      <w:r w:rsidR="00781A97" w:rsidRPr="00623847">
        <w:t>.  The survey cover</w:t>
      </w:r>
      <w:r w:rsidR="00FE4C1A" w:rsidRPr="00623847">
        <w:t>s</w:t>
      </w:r>
      <w:r w:rsidR="00781A97" w:rsidRPr="00623847">
        <w:t xml:space="preserve"> aspects of online service</w:t>
      </w:r>
      <w:r w:rsidR="00FE4C1A" w:rsidRPr="00623847">
        <w:t>s</w:t>
      </w:r>
      <w:r w:rsidR="00781A97" w:rsidRPr="00623847">
        <w:t xml:space="preserve"> </w:t>
      </w:r>
      <w:r w:rsidR="009F3D73" w:rsidRPr="00623847">
        <w:t>which</w:t>
      </w:r>
      <w:r w:rsidR="005B2609" w:rsidRPr="00623847">
        <w:t xml:space="preserve"> we know</w:t>
      </w:r>
      <w:r w:rsidR="00FE4C1A" w:rsidRPr="00623847">
        <w:t>, based on</w:t>
      </w:r>
      <w:r w:rsidR="00781A97" w:rsidRPr="00623847">
        <w:t xml:space="preserve"> SSA’s earlier surveys of these populations</w:t>
      </w:r>
      <w:r w:rsidR="00FE4C1A" w:rsidRPr="00623847">
        <w:t>,</w:t>
      </w:r>
      <w:r w:rsidR="00781A97" w:rsidRPr="00623847">
        <w:t xml:space="preserve"> </w:t>
      </w:r>
      <w:r w:rsidR="009F3D73" w:rsidRPr="00623847">
        <w:lastRenderedPageBreak/>
        <w:t xml:space="preserve">can </w:t>
      </w:r>
      <w:r w:rsidR="00A84884" w:rsidRPr="00623847">
        <w:t xml:space="preserve">have </w:t>
      </w:r>
      <w:r w:rsidR="00FE4C1A" w:rsidRPr="00623847">
        <w:t xml:space="preserve">an </w:t>
      </w:r>
      <w:r w:rsidR="00A84884" w:rsidRPr="00623847">
        <w:t>influence</w:t>
      </w:r>
      <w:r w:rsidR="00781A97" w:rsidRPr="00623847">
        <w:t xml:space="preserve"> </w:t>
      </w:r>
      <w:r w:rsidR="00FE4C1A" w:rsidRPr="00623847">
        <w:t xml:space="preserve">on </w:t>
      </w:r>
      <w:r w:rsidR="00781A97" w:rsidRPr="00623847">
        <w:t>satisfaction.</w:t>
      </w:r>
      <w:r w:rsidR="00882205" w:rsidRPr="00623847">
        <w:t xml:space="preserve"> </w:t>
      </w:r>
      <w:r w:rsidR="00781A97" w:rsidRPr="00623847">
        <w:t xml:space="preserve"> </w:t>
      </w:r>
      <w:r w:rsidR="000552CA">
        <w:t xml:space="preserve">There </w:t>
      </w:r>
      <w:r w:rsidR="00CF1AC9">
        <w:t>are</w:t>
      </w:r>
      <w:r w:rsidR="000552CA">
        <w:t xml:space="preserve"> two questionnaires</w:t>
      </w:r>
      <w:r w:rsidR="00CF1AC9">
        <w:t>,</w:t>
      </w:r>
      <w:r w:rsidR="000552CA">
        <w:t xml:space="preserve"> </w:t>
      </w:r>
      <w:r w:rsidR="00D4517B">
        <w:t>o</w:t>
      </w:r>
      <w:r w:rsidR="000552CA">
        <w:t xml:space="preserve">ne for online applications and </w:t>
      </w:r>
      <w:r w:rsidR="00CF1AC9">
        <w:t>one</w:t>
      </w:r>
      <w:r w:rsidR="000552CA">
        <w:t xml:space="preserve"> for online </w:t>
      </w:r>
      <w:r w:rsidR="000552CA" w:rsidRPr="00623847">
        <w:t>change of address or direct deposit</w:t>
      </w:r>
      <w:r w:rsidR="000552CA">
        <w:t xml:space="preserve"> reports.  </w:t>
      </w:r>
    </w:p>
    <w:p w:rsidR="00CF1AC9" w:rsidRDefault="00CF1AC9" w:rsidP="009F3D73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95445B" w:rsidRPr="00623847" w:rsidRDefault="00CF1AC9" w:rsidP="00122FD0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  <w:r>
        <w:t>The following q</w:t>
      </w:r>
      <w:r w:rsidR="000552CA">
        <w:t xml:space="preserve">uestions </w:t>
      </w:r>
      <w:r>
        <w:t>apply to both groups</w:t>
      </w:r>
      <w:r w:rsidR="00781A97" w:rsidRPr="00623847">
        <w:t>:</w:t>
      </w:r>
    </w:p>
    <w:p w:rsidR="0095445B" w:rsidRPr="00623847" w:rsidRDefault="0095445B" w:rsidP="00122FD0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707E74" w:rsidRDefault="00707E74" w:rsidP="00122FD0">
      <w:pPr>
        <w:pStyle w:val="BodyTextIndent"/>
        <w:keepNext/>
        <w:keepLines/>
        <w:numPr>
          <w:ilvl w:val="0"/>
          <w:numId w:val="13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  <w:ind w:left="432"/>
      </w:pPr>
      <w:r w:rsidRPr="00623847">
        <w:t xml:space="preserve">How the person learned about SSA’s </w:t>
      </w:r>
      <w:r w:rsidR="00635CD5">
        <w:t>Internet</w:t>
      </w:r>
      <w:r w:rsidR="00B348CA" w:rsidRPr="00623847">
        <w:t xml:space="preserve"> transaction</w:t>
      </w:r>
      <w:r w:rsidR="00243B31" w:rsidRPr="00623847">
        <w:t xml:space="preserve"> service</w:t>
      </w:r>
      <w:r w:rsidRPr="00623847">
        <w:t>;</w:t>
      </w:r>
    </w:p>
    <w:p w:rsidR="00122FD0" w:rsidRPr="00623847" w:rsidRDefault="00122FD0" w:rsidP="00122FD0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853FEA" w:rsidRPr="00623847" w:rsidRDefault="00007C7B" w:rsidP="00122FD0">
      <w:pPr>
        <w:pStyle w:val="BodyTextIndent"/>
        <w:keepNext/>
        <w:keepLines/>
        <w:numPr>
          <w:ilvl w:val="0"/>
          <w:numId w:val="13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  <w:ind w:left="432"/>
      </w:pPr>
      <w:r w:rsidRPr="00623847">
        <w:t xml:space="preserve">Whether the person had help to complete the </w:t>
      </w:r>
      <w:r w:rsidR="00635CD5">
        <w:t>Internet</w:t>
      </w:r>
      <w:r w:rsidR="008B193A">
        <w:t xml:space="preserve"> </w:t>
      </w:r>
      <w:r w:rsidR="00243B31" w:rsidRPr="00623847">
        <w:t xml:space="preserve"> transaction </w:t>
      </w:r>
      <w:r w:rsidRPr="00623847">
        <w:t>and</w:t>
      </w:r>
      <w:r w:rsidR="00707E74" w:rsidRPr="00623847">
        <w:t xml:space="preserve"> who helped</w:t>
      </w:r>
      <w:r w:rsidR="00B70AC6" w:rsidRPr="00623847">
        <w:t xml:space="preserve"> them;</w:t>
      </w:r>
    </w:p>
    <w:p w:rsidR="00DA6C0E" w:rsidRPr="00623847" w:rsidRDefault="00DA6C0E" w:rsidP="00240762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853FEA" w:rsidRPr="00623847" w:rsidRDefault="00933589" w:rsidP="002817F1">
      <w:pPr>
        <w:pStyle w:val="BodyTextIndent"/>
        <w:numPr>
          <w:ilvl w:val="0"/>
          <w:numId w:val="15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  <w:ind w:left="432"/>
      </w:pPr>
      <w:r w:rsidRPr="00623847">
        <w:t xml:space="preserve">Satisfaction with the </w:t>
      </w:r>
      <w:r w:rsidR="00707E74" w:rsidRPr="00623847">
        <w:t xml:space="preserve">ease of </w:t>
      </w:r>
      <w:r w:rsidR="002817F1" w:rsidRPr="00623847">
        <w:t xml:space="preserve">finding and </w:t>
      </w:r>
      <w:r w:rsidR="00007C7B" w:rsidRPr="00623847">
        <w:t>using</w:t>
      </w:r>
      <w:r w:rsidR="00707E74" w:rsidRPr="00623847">
        <w:t xml:space="preserve"> the</w:t>
      </w:r>
      <w:r w:rsidR="00623847">
        <w:t xml:space="preserve"> </w:t>
      </w:r>
      <w:r w:rsidR="00635CD5">
        <w:t>Internet</w:t>
      </w:r>
      <w:r w:rsidR="00243B31" w:rsidRPr="00623847">
        <w:t xml:space="preserve"> transaction service</w:t>
      </w:r>
      <w:r w:rsidR="00007C7B" w:rsidRPr="00623847">
        <w:t xml:space="preserve">, including navigation, </w:t>
      </w:r>
      <w:r w:rsidR="00707E74" w:rsidRPr="00623847">
        <w:t>appearance</w:t>
      </w:r>
      <w:r w:rsidR="00007C7B" w:rsidRPr="00623847">
        <w:t xml:space="preserve">, and </w:t>
      </w:r>
      <w:r w:rsidR="002817F1" w:rsidRPr="00623847">
        <w:t>explanations</w:t>
      </w:r>
      <w:r w:rsidR="00007C7B" w:rsidRPr="00623847">
        <w:t xml:space="preserve"> provided</w:t>
      </w:r>
      <w:r w:rsidR="00853FEA" w:rsidRPr="00623847">
        <w:t>;</w:t>
      </w:r>
    </w:p>
    <w:p w:rsidR="00DA6C0E" w:rsidRPr="00623847" w:rsidRDefault="00DA6C0E" w:rsidP="00DA6C0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853FEA" w:rsidRPr="00623847" w:rsidRDefault="0020106A" w:rsidP="002817F1">
      <w:pPr>
        <w:pStyle w:val="BodyTextIndent"/>
        <w:numPr>
          <w:ilvl w:val="0"/>
          <w:numId w:val="15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  <w:ind w:left="432"/>
      </w:pPr>
      <w:r w:rsidRPr="00623847">
        <w:t xml:space="preserve">Satisfaction </w:t>
      </w:r>
      <w:r w:rsidR="002817F1" w:rsidRPr="00623847">
        <w:t>with</w:t>
      </w:r>
      <w:r w:rsidRPr="00623847">
        <w:t xml:space="preserve"> the ease of </w:t>
      </w:r>
      <w:r w:rsidR="002817F1" w:rsidRPr="00623847">
        <w:t>completing</w:t>
      </w:r>
      <w:r w:rsidRPr="00623847">
        <w:t xml:space="preserve"> the </w:t>
      </w:r>
      <w:r w:rsidR="00635CD5">
        <w:t>Internet</w:t>
      </w:r>
      <w:r w:rsidR="00243B31" w:rsidRPr="00623847">
        <w:t xml:space="preserve"> transaction</w:t>
      </w:r>
      <w:r w:rsidR="002817F1" w:rsidRPr="00623847">
        <w:t>, including answering questions, getting clarification</w:t>
      </w:r>
      <w:r w:rsidRPr="00623847">
        <w:t xml:space="preserve"> and the length of time it took</w:t>
      </w:r>
      <w:r w:rsidR="00853FEA" w:rsidRPr="00623847">
        <w:t>;</w:t>
      </w:r>
    </w:p>
    <w:p w:rsidR="00DA6C0E" w:rsidRPr="00623847" w:rsidRDefault="00DA6C0E" w:rsidP="00DA6C0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20106A" w:rsidRPr="00623847" w:rsidRDefault="0020106A" w:rsidP="00E508BF">
      <w:pPr>
        <w:pStyle w:val="BodyTextIndent"/>
        <w:numPr>
          <w:ilvl w:val="0"/>
          <w:numId w:val="15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  <w:ind w:left="432"/>
      </w:pPr>
      <w:r w:rsidRPr="00623847">
        <w:t xml:space="preserve">Satisfaction with explanations about the </w:t>
      </w:r>
      <w:r w:rsidR="00635CD5">
        <w:t>Internet</w:t>
      </w:r>
      <w:r w:rsidR="00243B31" w:rsidRPr="00623847">
        <w:t xml:space="preserve"> transaction </w:t>
      </w:r>
      <w:r w:rsidR="000864BD" w:rsidRPr="00623847">
        <w:t>process</w:t>
      </w:r>
      <w:r w:rsidR="00E508BF" w:rsidRPr="00623847">
        <w:t>/</w:t>
      </w:r>
      <w:r w:rsidR="000864BD" w:rsidRPr="00623847">
        <w:t xml:space="preserve">benefits </w:t>
      </w:r>
      <w:r w:rsidRPr="00623847">
        <w:t xml:space="preserve">and </w:t>
      </w:r>
      <w:r w:rsidR="000864BD" w:rsidRPr="00623847">
        <w:t>about the website</w:t>
      </w:r>
      <w:r w:rsidR="00E508BF" w:rsidRPr="00623847">
        <w:t>’s</w:t>
      </w:r>
      <w:r w:rsidR="000864BD" w:rsidRPr="00623847">
        <w:t xml:space="preserve"> security and </w:t>
      </w:r>
      <w:r w:rsidRPr="00623847">
        <w:t>privacy</w:t>
      </w:r>
      <w:r w:rsidR="000864BD" w:rsidRPr="00623847">
        <w:t>;</w:t>
      </w:r>
    </w:p>
    <w:p w:rsidR="0020106A" w:rsidRPr="00623847" w:rsidRDefault="0020106A" w:rsidP="0020106A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853FEA" w:rsidRPr="00623847" w:rsidRDefault="000864BD" w:rsidP="00FA031B">
      <w:pPr>
        <w:pStyle w:val="BodyTextIndent"/>
        <w:numPr>
          <w:ilvl w:val="0"/>
          <w:numId w:val="15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  <w:ind w:left="432"/>
      </w:pPr>
      <w:r w:rsidRPr="00623847">
        <w:t>O</w:t>
      </w:r>
      <w:r w:rsidR="0020106A" w:rsidRPr="00623847">
        <w:t xml:space="preserve">verall </w:t>
      </w:r>
      <w:r w:rsidR="005137AC" w:rsidRPr="00623847">
        <w:t>opinion</w:t>
      </w:r>
      <w:r w:rsidR="00AB027C" w:rsidRPr="00623847">
        <w:t xml:space="preserve"> </w:t>
      </w:r>
      <w:r w:rsidR="005137AC" w:rsidRPr="00623847">
        <w:t>of</w:t>
      </w:r>
      <w:r w:rsidR="0020106A" w:rsidRPr="00623847">
        <w:t xml:space="preserve"> SSA’s</w:t>
      </w:r>
      <w:r w:rsidR="00243B31" w:rsidRPr="00623847">
        <w:t xml:space="preserve"> </w:t>
      </w:r>
      <w:r w:rsidR="00635CD5">
        <w:t>Internet</w:t>
      </w:r>
      <w:r w:rsidR="00243B31" w:rsidRPr="00623847">
        <w:t xml:space="preserve"> transaction service</w:t>
      </w:r>
      <w:r w:rsidR="00853FEA" w:rsidRPr="00623847">
        <w:t>;</w:t>
      </w:r>
      <w:r w:rsidR="00B5181D" w:rsidRPr="00623847">
        <w:t xml:space="preserve"> and</w:t>
      </w:r>
    </w:p>
    <w:p w:rsidR="00DA6C0E" w:rsidRPr="00623847" w:rsidRDefault="00DA6C0E" w:rsidP="00DA6C0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853FEA" w:rsidRPr="00623847" w:rsidRDefault="000864BD" w:rsidP="009F3D73">
      <w:pPr>
        <w:pStyle w:val="BodyTextIndent"/>
        <w:numPr>
          <w:ilvl w:val="0"/>
          <w:numId w:val="15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  <w:ind w:left="432"/>
      </w:pPr>
      <w:r w:rsidRPr="00623847">
        <w:t>L</w:t>
      </w:r>
      <w:r w:rsidR="0020106A" w:rsidRPr="00623847">
        <w:t xml:space="preserve">ikelihood to recommend SSA’s online </w:t>
      </w:r>
      <w:r w:rsidR="00635CD5">
        <w:t>Internet</w:t>
      </w:r>
      <w:r w:rsidR="00243B31" w:rsidRPr="00623847">
        <w:t xml:space="preserve"> transaction service</w:t>
      </w:r>
      <w:r w:rsidR="0020106A" w:rsidRPr="00623847">
        <w:t xml:space="preserve"> to others and </w:t>
      </w:r>
      <w:r w:rsidRPr="00623847">
        <w:t>to</w:t>
      </w:r>
      <w:r w:rsidR="0020106A" w:rsidRPr="00623847">
        <w:t xml:space="preserve"> use SSA’s </w:t>
      </w:r>
      <w:r w:rsidRPr="00623847">
        <w:t>website</w:t>
      </w:r>
      <w:r w:rsidR="008130B9" w:rsidRPr="00623847">
        <w:t xml:space="preserve"> for future business</w:t>
      </w:r>
      <w:r w:rsidR="00E813BC" w:rsidRPr="00623847">
        <w:t>.</w:t>
      </w:r>
    </w:p>
    <w:p w:rsidR="00AB027C" w:rsidRPr="00623847" w:rsidRDefault="00AB027C" w:rsidP="00FA031B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2D0CCC" w:rsidRPr="00623847" w:rsidRDefault="00CF1AC9" w:rsidP="002209F0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  <w:r>
        <w:t>The following</w:t>
      </w:r>
      <w:r w:rsidR="00E37EC6" w:rsidRPr="00623847">
        <w:t xml:space="preserve"> question</w:t>
      </w:r>
      <w:r w:rsidR="00623847" w:rsidRPr="00623847">
        <w:t>s</w:t>
      </w:r>
      <w:r w:rsidR="00E37EC6" w:rsidRPr="00623847">
        <w:t xml:space="preserve"> </w:t>
      </w:r>
      <w:r w:rsidR="00E37B52">
        <w:t>apply only to</w:t>
      </w:r>
      <w:r w:rsidR="00E37EC6" w:rsidRPr="00623847">
        <w:t xml:space="preserve"> individuals who </w:t>
      </w:r>
      <w:r w:rsidR="00420033">
        <w:t>used the online</w:t>
      </w:r>
      <w:r w:rsidR="00E37EC6" w:rsidRPr="00623847">
        <w:t xml:space="preserve"> change of address or direct deposit </w:t>
      </w:r>
      <w:r w:rsidR="00D4517B">
        <w:t>service</w:t>
      </w:r>
      <w:r w:rsidR="00E37EC6" w:rsidRPr="00623847">
        <w:t xml:space="preserve">:  </w:t>
      </w:r>
    </w:p>
    <w:p w:rsidR="00C72BCB" w:rsidRPr="00623847" w:rsidRDefault="00C72BCB" w:rsidP="002209F0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2D0CCC" w:rsidRPr="00623847" w:rsidRDefault="002D0CCC" w:rsidP="002D0CCC">
      <w:pPr>
        <w:pStyle w:val="BodyTextIndent"/>
        <w:numPr>
          <w:ilvl w:val="0"/>
          <w:numId w:val="13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  <w:ind w:left="432"/>
      </w:pPr>
      <w:r w:rsidRPr="00623847">
        <w:t xml:space="preserve">Whether the person verified their identity by using a password or </w:t>
      </w:r>
      <w:r w:rsidR="00763A64">
        <w:t>knowledge-based authentication</w:t>
      </w:r>
      <w:r w:rsidR="00691291">
        <w:t>;</w:t>
      </w:r>
      <w:r w:rsidRPr="00623847">
        <w:t xml:space="preserve"> and</w:t>
      </w:r>
    </w:p>
    <w:p w:rsidR="002D0CCC" w:rsidRPr="00623847" w:rsidRDefault="002D0CCC" w:rsidP="002D0CC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2D0CCC" w:rsidRPr="00623847" w:rsidRDefault="00CF1AC9" w:rsidP="002D0CCC">
      <w:pPr>
        <w:pStyle w:val="BodyTextIndent"/>
        <w:numPr>
          <w:ilvl w:val="0"/>
          <w:numId w:val="13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  <w:ind w:left="432"/>
      </w:pPr>
      <w:r>
        <w:t>Satisfaction with the</w:t>
      </w:r>
      <w:r w:rsidR="002D0CCC" w:rsidRPr="00623847">
        <w:t xml:space="preserve"> </w:t>
      </w:r>
      <w:r w:rsidR="0098250E" w:rsidRPr="00623847">
        <w:t>eas</w:t>
      </w:r>
      <w:r>
        <w:t>e</w:t>
      </w:r>
      <w:r w:rsidR="0098250E" w:rsidRPr="00623847">
        <w:t xml:space="preserve"> </w:t>
      </w:r>
      <w:r>
        <w:t>of</w:t>
      </w:r>
      <w:r w:rsidR="0098250E" w:rsidRPr="00623847">
        <w:t xml:space="preserve"> obtain</w:t>
      </w:r>
      <w:r>
        <w:t>ing</w:t>
      </w:r>
      <w:r w:rsidR="0098250E" w:rsidRPr="00623847">
        <w:t xml:space="preserve"> a password to use </w:t>
      </w:r>
      <w:r w:rsidR="002D0CCC" w:rsidRPr="00623847">
        <w:t xml:space="preserve">SSA’s </w:t>
      </w:r>
      <w:r w:rsidR="00D87AD3">
        <w:t>change of address or direct deposit</w:t>
      </w:r>
      <w:r w:rsidR="002D0CCC" w:rsidRPr="00623847">
        <w:t xml:space="preserve"> service</w:t>
      </w:r>
      <w:r w:rsidR="0098250E" w:rsidRPr="00623847">
        <w:t>.</w:t>
      </w:r>
    </w:p>
    <w:p w:rsidR="002D0CCC" w:rsidRPr="00623847" w:rsidRDefault="002D0CCC" w:rsidP="002D0CC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720" w:firstLine="0"/>
      </w:pPr>
    </w:p>
    <w:p w:rsidR="005E458B" w:rsidRPr="00623847" w:rsidRDefault="00DA6C0E" w:rsidP="002209F0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  <w:r w:rsidRPr="00623847">
        <w:t xml:space="preserve">We </w:t>
      </w:r>
      <w:r w:rsidR="00B5181D" w:rsidRPr="00623847">
        <w:t xml:space="preserve">have </w:t>
      </w:r>
      <w:r w:rsidR="002209F0" w:rsidRPr="00623847">
        <w:t>included</w:t>
      </w:r>
      <w:r w:rsidRPr="00623847">
        <w:t xml:space="preserve"> a copy of </w:t>
      </w:r>
      <w:r w:rsidR="00B54988" w:rsidRPr="00623847">
        <w:t>bo</w:t>
      </w:r>
      <w:r w:rsidRPr="00623847">
        <w:t xml:space="preserve">th </w:t>
      </w:r>
      <w:r w:rsidR="00B5181D" w:rsidRPr="00623847">
        <w:t>questionnaire</w:t>
      </w:r>
      <w:r w:rsidR="00B54988" w:rsidRPr="00623847">
        <w:t>s</w:t>
      </w:r>
      <w:r w:rsidR="00B5181D" w:rsidRPr="00623847">
        <w:t xml:space="preserve"> along with the survey correspondence (p</w:t>
      </w:r>
      <w:r w:rsidR="00EB5064" w:rsidRPr="00623847">
        <w:t>re</w:t>
      </w:r>
      <w:r w:rsidR="00B5181D" w:rsidRPr="00623847">
        <w:t>-notification postcard a</w:t>
      </w:r>
      <w:r w:rsidRPr="00623847">
        <w:t>nd cover letters</w:t>
      </w:r>
      <w:r w:rsidR="00B5181D" w:rsidRPr="00623847">
        <w:t>)</w:t>
      </w:r>
      <w:r w:rsidRPr="00623847">
        <w:t xml:space="preserve"> </w:t>
      </w:r>
      <w:r w:rsidR="002209F0" w:rsidRPr="00623847">
        <w:t>with</w:t>
      </w:r>
      <w:r w:rsidRPr="00623847">
        <w:t xml:space="preserve"> this submission.  </w:t>
      </w:r>
    </w:p>
    <w:p w:rsidR="007029D2" w:rsidRPr="00623847" w:rsidRDefault="007029D2" w:rsidP="008906C9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7029D2" w:rsidRPr="00623847" w:rsidRDefault="007029D2" w:rsidP="00495280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  <w:u w:val="single"/>
        </w:rPr>
      </w:pPr>
      <w:r w:rsidRPr="00623847">
        <w:rPr>
          <w:b/>
          <w:bCs/>
          <w:u w:val="single"/>
        </w:rPr>
        <w:t>Statistical Information</w:t>
      </w:r>
    </w:p>
    <w:p w:rsidR="007029D2" w:rsidRPr="00623847" w:rsidRDefault="007029D2" w:rsidP="008906C9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7029D2" w:rsidRPr="00623847" w:rsidRDefault="007029D2" w:rsidP="00D87D04">
      <w:pPr>
        <w:rPr>
          <w:b/>
          <w:bCs/>
          <w:i/>
          <w:iCs/>
        </w:rPr>
      </w:pPr>
      <w:r w:rsidRPr="00623847">
        <w:rPr>
          <w:b/>
          <w:bCs/>
          <w:i/>
          <w:iCs/>
        </w:rPr>
        <w:t>Sample Selection</w:t>
      </w:r>
    </w:p>
    <w:p w:rsidR="00B347B0" w:rsidRPr="00623847" w:rsidRDefault="00B347B0" w:rsidP="008906C9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FE7440" w:rsidRPr="00623847" w:rsidRDefault="00B347B0" w:rsidP="002209F0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  <w:r w:rsidRPr="00623847">
        <w:t xml:space="preserve">SSA </w:t>
      </w:r>
      <w:r w:rsidR="005848E4" w:rsidRPr="00623847">
        <w:t xml:space="preserve">maintains </w:t>
      </w:r>
      <w:r w:rsidR="000067A2" w:rsidRPr="00623847">
        <w:t xml:space="preserve">data </w:t>
      </w:r>
      <w:r w:rsidR="005848E4" w:rsidRPr="00623847">
        <w:t xml:space="preserve">files of </w:t>
      </w:r>
      <w:r w:rsidR="002209F0" w:rsidRPr="00623847">
        <w:t>all</w:t>
      </w:r>
      <w:r w:rsidR="005848E4" w:rsidRPr="00623847">
        <w:t xml:space="preserve"> </w:t>
      </w:r>
      <w:r w:rsidR="00635CD5">
        <w:t>Internet</w:t>
      </w:r>
      <w:r w:rsidR="005848E4" w:rsidRPr="00623847">
        <w:t xml:space="preserve"> transactions</w:t>
      </w:r>
      <w:r w:rsidR="00755AAF" w:rsidRPr="00623847">
        <w:t>.</w:t>
      </w:r>
      <w:r w:rsidR="005848E4" w:rsidRPr="00623847">
        <w:t xml:space="preserve"> </w:t>
      </w:r>
      <w:r w:rsidR="000067A2" w:rsidRPr="00623847">
        <w:t xml:space="preserve"> We</w:t>
      </w:r>
      <w:r w:rsidR="005848E4" w:rsidRPr="00623847">
        <w:t xml:space="preserve"> </w:t>
      </w:r>
      <w:r w:rsidR="000067A2" w:rsidRPr="00623847">
        <w:t>will use those files to</w:t>
      </w:r>
      <w:r w:rsidR="005848E4" w:rsidRPr="00623847">
        <w:t xml:space="preserve"> select </w:t>
      </w:r>
      <w:r w:rsidR="000067A2" w:rsidRPr="00623847">
        <w:t xml:space="preserve">a random </w:t>
      </w:r>
      <w:r w:rsidR="005848E4" w:rsidRPr="00623847">
        <w:t xml:space="preserve">sample </w:t>
      </w:r>
      <w:r w:rsidR="000067A2" w:rsidRPr="00623847">
        <w:t xml:space="preserve">of individuals who </w:t>
      </w:r>
      <w:r w:rsidR="002209F0" w:rsidRPr="00623847">
        <w:t>complete</w:t>
      </w:r>
      <w:r w:rsidR="000067A2" w:rsidRPr="00623847">
        <w:t xml:space="preserve"> an o</w:t>
      </w:r>
      <w:r w:rsidR="008620D4" w:rsidRPr="00623847">
        <w:t>nline application</w:t>
      </w:r>
      <w:r w:rsidR="00DF71C3" w:rsidRPr="00623847">
        <w:t xml:space="preserve"> or </w:t>
      </w:r>
      <w:r w:rsidR="00CA54D9">
        <w:t>use</w:t>
      </w:r>
      <w:r w:rsidR="00CA54D9" w:rsidRPr="00623847">
        <w:t xml:space="preserve"> </w:t>
      </w:r>
      <w:r w:rsidR="00CA54D9">
        <w:t xml:space="preserve">the online </w:t>
      </w:r>
      <w:r w:rsidR="00DF71C3" w:rsidRPr="00623847">
        <w:t>change of address/direct deposit</w:t>
      </w:r>
      <w:r w:rsidR="007B10B3">
        <w:t xml:space="preserve"> service</w:t>
      </w:r>
      <w:r w:rsidR="00DF71C3" w:rsidRPr="00623847">
        <w:t xml:space="preserve"> </w:t>
      </w:r>
      <w:r w:rsidR="000067A2" w:rsidRPr="00623847">
        <w:t>during a two-week period in</w:t>
      </w:r>
      <w:r w:rsidR="002209F0" w:rsidRPr="00623847">
        <w:t xml:space="preserve"> </w:t>
      </w:r>
      <w:r w:rsidR="00021DF6">
        <w:t>October</w:t>
      </w:r>
      <w:r w:rsidR="00CF1AC9">
        <w:t> 2010</w:t>
      </w:r>
      <w:r w:rsidR="000C7058" w:rsidRPr="00623847">
        <w:t>.</w:t>
      </w:r>
      <w:r w:rsidR="000067A2" w:rsidRPr="00623847">
        <w:t xml:space="preserve">  </w:t>
      </w:r>
    </w:p>
    <w:p w:rsidR="00FE7440" w:rsidRPr="00623847" w:rsidRDefault="00FE7440" w:rsidP="002209F0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BA7943" w:rsidRPr="00623847" w:rsidRDefault="00BA7943" w:rsidP="000A1360">
      <w:pPr>
        <w:keepNext/>
        <w:keepLines/>
      </w:pPr>
      <w:r w:rsidRPr="00623847">
        <w:t xml:space="preserve">The following table shows the </w:t>
      </w:r>
      <w:r w:rsidR="006B459A">
        <w:t xml:space="preserve">estimated volume of </w:t>
      </w:r>
      <w:r w:rsidRPr="00623847">
        <w:t xml:space="preserve">online </w:t>
      </w:r>
      <w:r w:rsidR="000A1360" w:rsidRPr="00623847">
        <w:t xml:space="preserve">applications </w:t>
      </w:r>
      <w:r w:rsidRPr="00623847">
        <w:t xml:space="preserve">processed in </w:t>
      </w:r>
      <w:r w:rsidR="00553FAC">
        <w:t>a year</w:t>
      </w:r>
      <w:r w:rsidRPr="00623847">
        <w:t xml:space="preserve"> based on SSA’s eService Usage Statistics.  </w:t>
      </w:r>
      <w:r w:rsidR="00CF1AC9" w:rsidRPr="00623847">
        <w:t xml:space="preserve">We will stratify </w:t>
      </w:r>
      <w:r w:rsidR="004E2B5F">
        <w:t xml:space="preserve">the </w:t>
      </w:r>
      <w:r w:rsidR="00CF1AC9" w:rsidRPr="00623847">
        <w:t xml:space="preserve">sample to select an equal number (2,000) of </w:t>
      </w:r>
      <w:r w:rsidR="000F30EE">
        <w:t xml:space="preserve">each </w:t>
      </w:r>
      <w:r w:rsidR="00CF1AC9">
        <w:t>group</w:t>
      </w:r>
      <w:r w:rsidR="00CF1AC9" w:rsidRPr="00623847">
        <w:t>.</w:t>
      </w:r>
    </w:p>
    <w:p w:rsidR="00BA7943" w:rsidRPr="00623847" w:rsidRDefault="00BA7943" w:rsidP="00BA7943">
      <w:pPr>
        <w:keepNext/>
        <w:keepLines/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3214"/>
      </w:tblGrid>
      <w:tr w:rsidR="00BA7943" w:rsidRPr="00623847" w:rsidTr="00ED221A">
        <w:trPr>
          <w:trHeight w:val="288"/>
        </w:trPr>
        <w:tc>
          <w:tcPr>
            <w:tcW w:w="3780" w:type="dxa"/>
            <w:vAlign w:val="center"/>
          </w:tcPr>
          <w:p w:rsidR="00BA7943" w:rsidRPr="007B0C4A" w:rsidRDefault="00BA7943" w:rsidP="00AC7790">
            <w:pPr>
              <w:keepNext/>
              <w:keepLines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  <w:r w:rsidRPr="007B0C4A">
              <w:rPr>
                <w:rFonts w:eastAsia="SimSun"/>
                <w:b/>
                <w:bCs/>
                <w:sz w:val="20"/>
                <w:szCs w:val="20"/>
              </w:rPr>
              <w:t>Online Application</w:t>
            </w:r>
          </w:p>
        </w:tc>
        <w:tc>
          <w:tcPr>
            <w:tcW w:w="3214" w:type="dxa"/>
            <w:vAlign w:val="center"/>
          </w:tcPr>
          <w:p w:rsidR="00BA7943" w:rsidRPr="007B0C4A" w:rsidRDefault="00ED221A" w:rsidP="00AC7790">
            <w:pPr>
              <w:keepNext/>
              <w:keepLines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  <w:r w:rsidRPr="007B0C4A">
              <w:rPr>
                <w:rFonts w:eastAsia="SimSun"/>
                <w:b/>
                <w:bCs/>
                <w:sz w:val="20"/>
                <w:szCs w:val="20"/>
              </w:rPr>
              <w:t xml:space="preserve">Estimated </w:t>
            </w:r>
            <w:r w:rsidR="00BA7943" w:rsidRPr="007B0C4A">
              <w:rPr>
                <w:rFonts w:eastAsia="SimSun"/>
                <w:b/>
                <w:bCs/>
                <w:sz w:val="20"/>
                <w:szCs w:val="20"/>
              </w:rPr>
              <w:t>Yearly Universe</w:t>
            </w:r>
          </w:p>
        </w:tc>
      </w:tr>
      <w:tr w:rsidR="00BA7943" w:rsidRPr="00623847" w:rsidTr="00ED221A">
        <w:trPr>
          <w:trHeight w:val="288"/>
        </w:trPr>
        <w:tc>
          <w:tcPr>
            <w:tcW w:w="3780" w:type="dxa"/>
            <w:vAlign w:val="center"/>
          </w:tcPr>
          <w:p w:rsidR="00BA7943" w:rsidRPr="007B0C4A" w:rsidRDefault="00BA7943" w:rsidP="00AC7790">
            <w:pPr>
              <w:keepNext/>
              <w:keepLines/>
              <w:rPr>
                <w:rFonts w:eastAsia="SimSun"/>
                <w:sz w:val="20"/>
                <w:szCs w:val="20"/>
              </w:rPr>
            </w:pPr>
            <w:r w:rsidRPr="007B0C4A">
              <w:rPr>
                <w:rFonts w:eastAsia="SimSun"/>
                <w:sz w:val="20"/>
                <w:szCs w:val="20"/>
              </w:rPr>
              <w:t>Retirement Benefits</w:t>
            </w:r>
          </w:p>
        </w:tc>
        <w:tc>
          <w:tcPr>
            <w:tcW w:w="3214" w:type="dxa"/>
            <w:vAlign w:val="center"/>
          </w:tcPr>
          <w:p w:rsidR="00BA7943" w:rsidRPr="007B0C4A" w:rsidRDefault="004C23AB" w:rsidP="00AC7790">
            <w:pPr>
              <w:keepNext/>
              <w:keepLines/>
              <w:jc w:val="center"/>
              <w:rPr>
                <w:rFonts w:eastAsia="SimSun"/>
                <w:sz w:val="20"/>
                <w:szCs w:val="20"/>
              </w:rPr>
            </w:pPr>
            <w:r w:rsidRPr="007B0C4A">
              <w:rPr>
                <w:rFonts w:eastAsia="SimSun"/>
                <w:sz w:val="20"/>
                <w:szCs w:val="20"/>
              </w:rPr>
              <w:t>930</w:t>
            </w:r>
            <w:r w:rsidR="00BA7943" w:rsidRPr="007B0C4A">
              <w:rPr>
                <w:rFonts w:eastAsia="SimSun"/>
                <w:sz w:val="20"/>
                <w:szCs w:val="20"/>
              </w:rPr>
              <w:t>,000</w:t>
            </w:r>
          </w:p>
        </w:tc>
      </w:tr>
      <w:tr w:rsidR="00BA7943" w:rsidRPr="00623847" w:rsidTr="00ED221A">
        <w:trPr>
          <w:trHeight w:val="288"/>
        </w:trPr>
        <w:tc>
          <w:tcPr>
            <w:tcW w:w="3780" w:type="dxa"/>
            <w:vAlign w:val="center"/>
          </w:tcPr>
          <w:p w:rsidR="00BA7943" w:rsidRPr="007B0C4A" w:rsidRDefault="00BA7943" w:rsidP="00AC7790">
            <w:pPr>
              <w:keepNext/>
              <w:keepLines/>
              <w:rPr>
                <w:rFonts w:eastAsia="SimSun"/>
                <w:sz w:val="20"/>
                <w:szCs w:val="20"/>
              </w:rPr>
            </w:pPr>
            <w:r w:rsidRPr="007B0C4A">
              <w:rPr>
                <w:rFonts w:eastAsia="SimSun"/>
                <w:sz w:val="20"/>
                <w:szCs w:val="20"/>
              </w:rPr>
              <w:t>Disability Benefits</w:t>
            </w:r>
          </w:p>
        </w:tc>
        <w:tc>
          <w:tcPr>
            <w:tcW w:w="3214" w:type="dxa"/>
            <w:vAlign w:val="center"/>
          </w:tcPr>
          <w:p w:rsidR="00BA7943" w:rsidRPr="007B0C4A" w:rsidRDefault="004C23AB" w:rsidP="00AC7790">
            <w:pPr>
              <w:keepNext/>
              <w:keepLines/>
              <w:jc w:val="center"/>
              <w:rPr>
                <w:rFonts w:eastAsia="SimSun"/>
                <w:sz w:val="20"/>
                <w:szCs w:val="20"/>
              </w:rPr>
            </w:pPr>
            <w:r w:rsidRPr="007B0C4A">
              <w:rPr>
                <w:rFonts w:eastAsia="SimSun"/>
                <w:sz w:val="20"/>
                <w:szCs w:val="20"/>
              </w:rPr>
              <w:t>699</w:t>
            </w:r>
            <w:r w:rsidR="00BA7943" w:rsidRPr="007B0C4A">
              <w:rPr>
                <w:rFonts w:eastAsia="SimSun"/>
                <w:sz w:val="20"/>
                <w:szCs w:val="20"/>
              </w:rPr>
              <w:t>,000</w:t>
            </w:r>
          </w:p>
        </w:tc>
      </w:tr>
      <w:tr w:rsidR="004C23AB" w:rsidRPr="00623847" w:rsidTr="00ED221A">
        <w:trPr>
          <w:trHeight w:val="288"/>
        </w:trPr>
        <w:tc>
          <w:tcPr>
            <w:tcW w:w="3780" w:type="dxa"/>
            <w:vAlign w:val="center"/>
          </w:tcPr>
          <w:p w:rsidR="004C23AB" w:rsidRPr="007B0C4A" w:rsidRDefault="004C23AB" w:rsidP="00AC7790">
            <w:pPr>
              <w:keepNext/>
              <w:keepLines/>
              <w:rPr>
                <w:rFonts w:eastAsia="SimSun"/>
                <w:sz w:val="20"/>
                <w:szCs w:val="20"/>
              </w:rPr>
            </w:pPr>
            <w:r w:rsidRPr="007B0C4A">
              <w:rPr>
                <w:rFonts w:eastAsia="SimSun"/>
                <w:sz w:val="20"/>
                <w:szCs w:val="20"/>
              </w:rPr>
              <w:t>Medicare Part B</w:t>
            </w:r>
          </w:p>
        </w:tc>
        <w:tc>
          <w:tcPr>
            <w:tcW w:w="3214" w:type="dxa"/>
            <w:vAlign w:val="center"/>
          </w:tcPr>
          <w:p w:rsidR="004C23AB" w:rsidRPr="007B0C4A" w:rsidDel="004C23AB" w:rsidRDefault="00AA560D" w:rsidP="00AC7790">
            <w:pPr>
              <w:keepNext/>
              <w:keepLines/>
              <w:jc w:val="center"/>
              <w:rPr>
                <w:rFonts w:eastAsia="SimSun"/>
                <w:sz w:val="20"/>
                <w:szCs w:val="20"/>
              </w:rPr>
            </w:pPr>
            <w:r w:rsidRPr="007B0C4A">
              <w:rPr>
                <w:rFonts w:eastAsia="SimSun"/>
                <w:sz w:val="20"/>
                <w:szCs w:val="20"/>
              </w:rPr>
              <w:t>210,000</w:t>
            </w:r>
          </w:p>
        </w:tc>
      </w:tr>
      <w:tr w:rsidR="00BA7943" w:rsidRPr="00623847" w:rsidTr="00ED221A">
        <w:trPr>
          <w:trHeight w:val="288"/>
        </w:trPr>
        <w:tc>
          <w:tcPr>
            <w:tcW w:w="3780" w:type="dxa"/>
            <w:vAlign w:val="center"/>
          </w:tcPr>
          <w:p w:rsidR="00BA7943" w:rsidRPr="007B0C4A" w:rsidRDefault="00BA7943" w:rsidP="00AC7790">
            <w:pPr>
              <w:keepNext/>
              <w:keepLines/>
              <w:rPr>
                <w:rFonts w:eastAsia="SimSun"/>
                <w:sz w:val="20"/>
                <w:szCs w:val="20"/>
              </w:rPr>
            </w:pPr>
            <w:r w:rsidRPr="007B0C4A">
              <w:rPr>
                <w:rFonts w:eastAsia="SimSun"/>
                <w:sz w:val="20"/>
                <w:szCs w:val="20"/>
              </w:rPr>
              <w:t>Medicare Part D Subsidy</w:t>
            </w:r>
          </w:p>
        </w:tc>
        <w:tc>
          <w:tcPr>
            <w:tcW w:w="3214" w:type="dxa"/>
            <w:vAlign w:val="center"/>
          </w:tcPr>
          <w:p w:rsidR="00BA7943" w:rsidRPr="007B0C4A" w:rsidRDefault="004C23AB" w:rsidP="00AC7790">
            <w:pPr>
              <w:keepNext/>
              <w:keepLines/>
              <w:jc w:val="center"/>
              <w:rPr>
                <w:rFonts w:eastAsia="SimSun"/>
                <w:sz w:val="20"/>
                <w:szCs w:val="20"/>
              </w:rPr>
            </w:pPr>
            <w:r w:rsidRPr="007B0C4A">
              <w:rPr>
                <w:rFonts w:eastAsia="SimSun"/>
                <w:sz w:val="20"/>
                <w:szCs w:val="20"/>
              </w:rPr>
              <w:t>482</w:t>
            </w:r>
            <w:r w:rsidR="00BA7943" w:rsidRPr="007B0C4A">
              <w:rPr>
                <w:rFonts w:eastAsia="SimSun"/>
                <w:sz w:val="20"/>
                <w:szCs w:val="20"/>
              </w:rPr>
              <w:t>,000</w:t>
            </w:r>
          </w:p>
        </w:tc>
      </w:tr>
    </w:tbl>
    <w:p w:rsidR="00BA7943" w:rsidRPr="00623847" w:rsidRDefault="00BA7943" w:rsidP="008906C9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3051DE" w:rsidRPr="00623847" w:rsidRDefault="003051DE" w:rsidP="002209F0">
      <w:pPr>
        <w:pStyle w:val="Header"/>
        <w:keepNext/>
        <w:keepLines/>
        <w:tabs>
          <w:tab w:val="clear" w:pos="4320"/>
          <w:tab w:val="clear" w:pos="8640"/>
        </w:tabs>
      </w:pPr>
      <w:r w:rsidRPr="00623847">
        <w:t xml:space="preserve">The following table shows the </w:t>
      </w:r>
      <w:r w:rsidR="006B459A">
        <w:t xml:space="preserve">estimated volume of </w:t>
      </w:r>
      <w:r w:rsidRPr="00623847">
        <w:t xml:space="preserve">online </w:t>
      </w:r>
      <w:r w:rsidR="00CF1AC9">
        <w:t xml:space="preserve">change </w:t>
      </w:r>
      <w:r w:rsidR="00E37B52">
        <w:t>reports</w:t>
      </w:r>
      <w:r w:rsidRPr="00623847">
        <w:t xml:space="preserve"> that </w:t>
      </w:r>
      <w:r w:rsidR="00553FAC">
        <w:t>are</w:t>
      </w:r>
      <w:r w:rsidR="006076E0" w:rsidRPr="00623847">
        <w:t xml:space="preserve"> </w:t>
      </w:r>
      <w:r w:rsidRPr="00623847">
        <w:t xml:space="preserve">processed in </w:t>
      </w:r>
      <w:r w:rsidR="00553FAC">
        <w:t>a year</w:t>
      </w:r>
      <w:r w:rsidRPr="00623847">
        <w:t xml:space="preserve"> based on SSA’s eService Usage Statistics. </w:t>
      </w:r>
      <w:r w:rsidR="00CF1AC9">
        <w:t xml:space="preserve"> </w:t>
      </w:r>
      <w:r w:rsidR="00CF1AC9" w:rsidRPr="00623847">
        <w:t xml:space="preserve">We will stratify </w:t>
      </w:r>
      <w:r w:rsidR="00A06C2A">
        <w:t xml:space="preserve">the </w:t>
      </w:r>
      <w:r w:rsidR="00CF1AC9" w:rsidRPr="00623847">
        <w:t xml:space="preserve">sample to select an equal number (3,000) of </w:t>
      </w:r>
      <w:r w:rsidR="000F30EE">
        <w:t>each group</w:t>
      </w:r>
      <w:r w:rsidR="00CF1AC9" w:rsidRPr="00623847">
        <w:t>.</w:t>
      </w:r>
    </w:p>
    <w:p w:rsidR="000C7058" w:rsidRPr="00623847" w:rsidRDefault="000C7058" w:rsidP="002209F0">
      <w:pPr>
        <w:pStyle w:val="Header"/>
        <w:keepNext/>
        <w:keepLines/>
        <w:tabs>
          <w:tab w:val="clear" w:pos="4320"/>
          <w:tab w:val="clear" w:pos="8640"/>
        </w:tabs>
      </w:pP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0"/>
        <w:gridCol w:w="3214"/>
      </w:tblGrid>
      <w:tr w:rsidR="003051DE" w:rsidRPr="00623847" w:rsidTr="007B0C4A">
        <w:trPr>
          <w:trHeight w:val="288"/>
        </w:trPr>
        <w:tc>
          <w:tcPr>
            <w:tcW w:w="3870" w:type="dxa"/>
            <w:vAlign w:val="center"/>
          </w:tcPr>
          <w:p w:rsidR="003051DE" w:rsidRPr="007B0C4A" w:rsidRDefault="003051DE" w:rsidP="00B3099A">
            <w:pPr>
              <w:keepNext/>
              <w:keepLines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  <w:r w:rsidRPr="007B0C4A">
              <w:rPr>
                <w:rFonts w:eastAsia="SimSun"/>
                <w:b/>
                <w:bCs/>
                <w:sz w:val="20"/>
                <w:szCs w:val="20"/>
              </w:rPr>
              <w:t xml:space="preserve">Online </w:t>
            </w:r>
            <w:r w:rsidR="00826B62" w:rsidRPr="007B0C4A">
              <w:rPr>
                <w:rFonts w:eastAsia="SimSun"/>
                <w:b/>
                <w:bCs/>
                <w:sz w:val="20"/>
                <w:szCs w:val="20"/>
              </w:rPr>
              <w:t xml:space="preserve">Change </w:t>
            </w:r>
            <w:r w:rsidR="00B3099A">
              <w:rPr>
                <w:rFonts w:eastAsia="SimSun"/>
                <w:b/>
                <w:bCs/>
                <w:sz w:val="20"/>
                <w:szCs w:val="20"/>
              </w:rPr>
              <w:t>Report</w:t>
            </w:r>
          </w:p>
        </w:tc>
        <w:tc>
          <w:tcPr>
            <w:tcW w:w="3214" w:type="dxa"/>
            <w:vAlign w:val="center"/>
          </w:tcPr>
          <w:p w:rsidR="003051DE" w:rsidRPr="007B0C4A" w:rsidRDefault="00ED221A" w:rsidP="003051DE">
            <w:pPr>
              <w:keepNext/>
              <w:keepLines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  <w:r w:rsidRPr="007B0C4A">
              <w:rPr>
                <w:rFonts w:eastAsia="SimSun"/>
                <w:b/>
                <w:bCs/>
                <w:sz w:val="20"/>
                <w:szCs w:val="20"/>
              </w:rPr>
              <w:t xml:space="preserve">Estimated </w:t>
            </w:r>
            <w:r w:rsidR="003051DE" w:rsidRPr="007B0C4A">
              <w:rPr>
                <w:rFonts w:eastAsia="SimSun"/>
                <w:b/>
                <w:bCs/>
                <w:sz w:val="20"/>
                <w:szCs w:val="20"/>
              </w:rPr>
              <w:t>Yearly Universe</w:t>
            </w:r>
          </w:p>
        </w:tc>
      </w:tr>
      <w:tr w:rsidR="003051DE" w:rsidRPr="00623847" w:rsidTr="007B0C4A">
        <w:trPr>
          <w:trHeight w:val="288"/>
        </w:trPr>
        <w:tc>
          <w:tcPr>
            <w:tcW w:w="3870" w:type="dxa"/>
            <w:vAlign w:val="center"/>
          </w:tcPr>
          <w:p w:rsidR="003051DE" w:rsidRPr="007B0C4A" w:rsidRDefault="003051DE" w:rsidP="003051DE">
            <w:pPr>
              <w:keepNext/>
              <w:keepLines/>
              <w:rPr>
                <w:rFonts w:eastAsia="SimSun"/>
                <w:sz w:val="20"/>
                <w:szCs w:val="20"/>
              </w:rPr>
            </w:pPr>
            <w:r w:rsidRPr="007B0C4A">
              <w:rPr>
                <w:rFonts w:eastAsia="SimSun"/>
                <w:sz w:val="20"/>
                <w:szCs w:val="20"/>
              </w:rPr>
              <w:t>Change of Address</w:t>
            </w:r>
          </w:p>
        </w:tc>
        <w:tc>
          <w:tcPr>
            <w:tcW w:w="3214" w:type="dxa"/>
            <w:vAlign w:val="center"/>
          </w:tcPr>
          <w:p w:rsidR="003051DE" w:rsidRPr="007B0C4A" w:rsidRDefault="003051DE" w:rsidP="003051DE">
            <w:pPr>
              <w:keepNext/>
              <w:keepLines/>
              <w:jc w:val="center"/>
              <w:rPr>
                <w:rFonts w:eastAsia="SimSun"/>
                <w:sz w:val="20"/>
                <w:szCs w:val="20"/>
              </w:rPr>
            </w:pPr>
            <w:r w:rsidRPr="007B0C4A">
              <w:rPr>
                <w:rFonts w:eastAsia="SimSun"/>
                <w:sz w:val="20"/>
                <w:szCs w:val="20"/>
              </w:rPr>
              <w:t>420,000</w:t>
            </w:r>
          </w:p>
        </w:tc>
      </w:tr>
      <w:tr w:rsidR="003051DE" w:rsidRPr="00623847" w:rsidTr="007B0C4A">
        <w:trPr>
          <w:trHeight w:val="288"/>
        </w:trPr>
        <w:tc>
          <w:tcPr>
            <w:tcW w:w="3870" w:type="dxa"/>
            <w:vAlign w:val="center"/>
          </w:tcPr>
          <w:p w:rsidR="003051DE" w:rsidRPr="007B0C4A" w:rsidRDefault="003051DE" w:rsidP="003051DE">
            <w:pPr>
              <w:keepNext/>
              <w:keepLines/>
              <w:rPr>
                <w:rFonts w:eastAsia="SimSun"/>
                <w:sz w:val="20"/>
                <w:szCs w:val="20"/>
              </w:rPr>
            </w:pPr>
            <w:r w:rsidRPr="007B0C4A">
              <w:rPr>
                <w:rFonts w:eastAsia="SimSun"/>
                <w:sz w:val="20"/>
                <w:szCs w:val="20"/>
              </w:rPr>
              <w:t>Direct Deposit</w:t>
            </w:r>
          </w:p>
        </w:tc>
        <w:tc>
          <w:tcPr>
            <w:tcW w:w="3214" w:type="dxa"/>
            <w:vAlign w:val="center"/>
          </w:tcPr>
          <w:p w:rsidR="003051DE" w:rsidRPr="007B0C4A" w:rsidRDefault="003051DE" w:rsidP="003051DE">
            <w:pPr>
              <w:keepNext/>
              <w:keepLines/>
              <w:jc w:val="center"/>
              <w:rPr>
                <w:rFonts w:eastAsia="SimSun"/>
                <w:sz w:val="20"/>
                <w:szCs w:val="20"/>
              </w:rPr>
            </w:pPr>
            <w:r w:rsidRPr="007B0C4A">
              <w:rPr>
                <w:rFonts w:eastAsia="SimSun"/>
                <w:sz w:val="20"/>
                <w:szCs w:val="20"/>
              </w:rPr>
              <w:t>180,000</w:t>
            </w:r>
          </w:p>
        </w:tc>
      </w:tr>
    </w:tbl>
    <w:p w:rsidR="003051DE" w:rsidRPr="00623847" w:rsidRDefault="003051DE" w:rsidP="003051D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826B62" w:rsidRPr="00623847" w:rsidRDefault="00826B62" w:rsidP="00A06C2A">
      <w:r w:rsidRPr="00623847">
        <w:t xml:space="preserve">To produce a combined </w:t>
      </w:r>
      <w:r w:rsidR="00635CD5">
        <w:t>Internet</w:t>
      </w:r>
      <w:r w:rsidRPr="00623847">
        <w:t xml:space="preserve"> satisfaction rating, we will weight the survey data to reflect the actual universes recorded for each </w:t>
      </w:r>
      <w:r w:rsidR="00635CD5">
        <w:t>Internet</w:t>
      </w:r>
      <w:r w:rsidRPr="00623847">
        <w:t xml:space="preserve"> transaction during the sample period.</w:t>
      </w:r>
    </w:p>
    <w:p w:rsidR="000C7058" w:rsidRPr="0010316C" w:rsidRDefault="000C7058" w:rsidP="0010316C">
      <w:pPr>
        <w:pStyle w:val="Header"/>
        <w:tabs>
          <w:tab w:val="clear" w:pos="4320"/>
          <w:tab w:val="clear" w:pos="8640"/>
        </w:tabs>
        <w:rPr>
          <w:bCs/>
          <w:iCs/>
        </w:rPr>
      </w:pPr>
    </w:p>
    <w:p w:rsidR="007029D2" w:rsidRPr="00623847" w:rsidRDefault="002209F0" w:rsidP="002209F0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  <w:i/>
          <w:iCs/>
        </w:rPr>
      </w:pPr>
      <w:r w:rsidRPr="00623847">
        <w:rPr>
          <w:b/>
          <w:bCs/>
          <w:i/>
          <w:iCs/>
        </w:rPr>
        <w:t xml:space="preserve">Methodology </w:t>
      </w:r>
    </w:p>
    <w:p w:rsidR="00B347B0" w:rsidRPr="00623847" w:rsidRDefault="00B347B0" w:rsidP="008906C9">
      <w:pPr>
        <w:pStyle w:val="Header"/>
        <w:tabs>
          <w:tab w:val="clear" w:pos="4320"/>
          <w:tab w:val="clear" w:pos="8640"/>
        </w:tabs>
      </w:pPr>
    </w:p>
    <w:p w:rsidR="002209F0" w:rsidRPr="00623847" w:rsidRDefault="00941797" w:rsidP="00941797">
      <w:pPr>
        <w:pStyle w:val="Header"/>
        <w:tabs>
          <w:tab w:val="clear" w:pos="4320"/>
          <w:tab w:val="clear" w:pos="8640"/>
        </w:tabs>
      </w:pPr>
      <w:r w:rsidRPr="00623847">
        <w:t>For the sake of consistency, w</w:t>
      </w:r>
      <w:r w:rsidR="005A3630" w:rsidRPr="00623847">
        <w:t xml:space="preserve">e </w:t>
      </w:r>
      <w:r w:rsidRPr="00623847">
        <w:t>plan to</w:t>
      </w:r>
      <w:r w:rsidR="005A3630" w:rsidRPr="00623847">
        <w:t xml:space="preserve"> follow the same methodology </w:t>
      </w:r>
      <w:r w:rsidRPr="00623847">
        <w:t xml:space="preserve">we </w:t>
      </w:r>
      <w:r w:rsidR="005A3630" w:rsidRPr="00623847">
        <w:t xml:space="preserve">use for the </w:t>
      </w:r>
      <w:r w:rsidRPr="00623847">
        <w:t>other performance measure</w:t>
      </w:r>
      <w:r w:rsidR="005A3630" w:rsidRPr="00623847">
        <w:t xml:space="preserve"> </w:t>
      </w:r>
      <w:r w:rsidR="00D87D04" w:rsidRPr="00623847">
        <w:t xml:space="preserve">survey </w:t>
      </w:r>
      <w:r w:rsidRPr="00623847">
        <w:t>that is conducted by mail (</w:t>
      </w:r>
      <w:r w:rsidR="00D87D04" w:rsidRPr="00623847">
        <w:t xml:space="preserve">i.e., </w:t>
      </w:r>
      <w:r w:rsidRPr="00623847">
        <w:t xml:space="preserve">the </w:t>
      </w:r>
      <w:r w:rsidR="005A3630" w:rsidRPr="00623847">
        <w:t>Office Visitor Survey</w:t>
      </w:r>
      <w:r w:rsidRPr="00623847">
        <w:t>)</w:t>
      </w:r>
      <w:r w:rsidR="005A3630" w:rsidRPr="00623847">
        <w:t xml:space="preserve">.  </w:t>
      </w:r>
      <w:r w:rsidRPr="00623847">
        <w:t xml:space="preserve">First, we will send a pre-notification postcard to all sampled individuals advising them to expect the survey questionnaire.  Within three business days, we will mail the questionnaire with a cover letter explaining the purpose of the survey.  And finally, five business days later, we will send a follow-up letter and another copy of the questionnaire to all sampled individuals.  </w:t>
      </w:r>
    </w:p>
    <w:p w:rsidR="00FF1DBE" w:rsidRPr="00623847" w:rsidRDefault="00FF1DBE" w:rsidP="00941797">
      <w:pPr>
        <w:pStyle w:val="Header"/>
        <w:tabs>
          <w:tab w:val="clear" w:pos="4320"/>
          <w:tab w:val="clear" w:pos="8640"/>
        </w:tabs>
      </w:pPr>
    </w:p>
    <w:p w:rsidR="002209F0" w:rsidRPr="00623847" w:rsidRDefault="002209F0" w:rsidP="002209F0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  <w:i/>
          <w:iCs/>
        </w:rPr>
      </w:pPr>
      <w:r w:rsidRPr="00623847">
        <w:rPr>
          <w:b/>
          <w:bCs/>
          <w:i/>
          <w:iCs/>
        </w:rPr>
        <w:t>Response Rate</w:t>
      </w:r>
    </w:p>
    <w:p w:rsidR="002209F0" w:rsidRPr="00623847" w:rsidRDefault="002209F0" w:rsidP="000A1360">
      <w:pPr>
        <w:pStyle w:val="Header"/>
        <w:tabs>
          <w:tab w:val="clear" w:pos="4320"/>
          <w:tab w:val="clear" w:pos="8640"/>
        </w:tabs>
      </w:pPr>
    </w:p>
    <w:p w:rsidR="00B347B0" w:rsidRPr="00623847" w:rsidRDefault="003B2EEA" w:rsidP="000A1360">
      <w:pPr>
        <w:pStyle w:val="Header"/>
        <w:tabs>
          <w:tab w:val="clear" w:pos="4320"/>
          <w:tab w:val="clear" w:pos="8640"/>
        </w:tabs>
      </w:pPr>
      <w:r w:rsidRPr="00623847">
        <w:t>SSA will take t</w:t>
      </w:r>
      <w:r w:rsidR="00CD2A57" w:rsidRPr="00623847">
        <w:t>he following steps to maximize response rates</w:t>
      </w:r>
      <w:r w:rsidR="00B347B0" w:rsidRPr="00623847">
        <w:t>:</w:t>
      </w:r>
    </w:p>
    <w:p w:rsidR="00B347B0" w:rsidRPr="00623847" w:rsidRDefault="00B347B0" w:rsidP="008906C9">
      <w:pPr>
        <w:pStyle w:val="Header"/>
        <w:tabs>
          <w:tab w:val="clear" w:pos="4320"/>
          <w:tab w:val="clear" w:pos="8640"/>
        </w:tabs>
      </w:pPr>
    </w:p>
    <w:p w:rsidR="00B347B0" w:rsidRPr="00623847" w:rsidRDefault="00CD2A57" w:rsidP="006C60D9">
      <w:pPr>
        <w:pStyle w:val="Header"/>
        <w:numPr>
          <w:ilvl w:val="0"/>
          <w:numId w:val="18"/>
        </w:numPr>
        <w:tabs>
          <w:tab w:val="clear" w:pos="864"/>
          <w:tab w:val="clear" w:pos="4320"/>
          <w:tab w:val="clear" w:pos="8640"/>
          <w:tab w:val="num" w:pos="432"/>
        </w:tabs>
        <w:ind w:left="432"/>
      </w:pPr>
      <w:r w:rsidRPr="00623847">
        <w:t xml:space="preserve">To minimize the time between the customers’ service experience and the survey, thereby ensuring salience, </w:t>
      </w:r>
      <w:r w:rsidR="003B2EEA" w:rsidRPr="00623847">
        <w:t xml:space="preserve">we will select </w:t>
      </w:r>
      <w:r w:rsidR="006C60D9" w:rsidRPr="00623847">
        <w:t>the</w:t>
      </w:r>
      <w:r w:rsidR="00CD5867" w:rsidRPr="00623847">
        <w:t xml:space="preserve"> </w:t>
      </w:r>
      <w:r w:rsidRPr="00623847">
        <w:t>sample</w:t>
      </w:r>
      <w:r w:rsidR="00CD5867" w:rsidRPr="00623847">
        <w:t xml:space="preserve"> listing</w:t>
      </w:r>
      <w:r w:rsidR="0009469C" w:rsidRPr="00623847">
        <w:t>s</w:t>
      </w:r>
      <w:r w:rsidR="00A72792" w:rsidRPr="00623847">
        <w:t xml:space="preserve"> </w:t>
      </w:r>
      <w:r w:rsidR="006C60D9" w:rsidRPr="00623847">
        <w:t xml:space="preserve">shortly after the individual completes </w:t>
      </w:r>
      <w:r w:rsidR="00A015A7" w:rsidRPr="00623847">
        <w:t>either</w:t>
      </w:r>
      <w:r w:rsidR="00826B62" w:rsidRPr="00623847">
        <w:t xml:space="preserve"> </w:t>
      </w:r>
      <w:r w:rsidR="0009469C" w:rsidRPr="00623847">
        <w:t>an</w:t>
      </w:r>
      <w:r w:rsidR="006C60D9" w:rsidRPr="00623847">
        <w:t xml:space="preserve"> online application</w:t>
      </w:r>
      <w:r w:rsidR="0009469C" w:rsidRPr="00623847">
        <w:t xml:space="preserve"> </w:t>
      </w:r>
      <w:r w:rsidR="00A015A7" w:rsidRPr="00623847">
        <w:t xml:space="preserve">or a </w:t>
      </w:r>
      <w:r w:rsidR="0009469C" w:rsidRPr="00623847">
        <w:t>request</w:t>
      </w:r>
      <w:r w:rsidR="00A015A7" w:rsidRPr="00623847">
        <w:t xml:space="preserve"> for</w:t>
      </w:r>
      <w:r w:rsidR="0009469C" w:rsidRPr="00623847">
        <w:t xml:space="preserve"> a change of address</w:t>
      </w:r>
      <w:r w:rsidR="00A015A7" w:rsidRPr="00623847">
        <w:t>/</w:t>
      </w:r>
      <w:r w:rsidR="0009469C" w:rsidRPr="00623847">
        <w:t>direct deposit</w:t>
      </w:r>
      <w:r w:rsidR="00A015A7" w:rsidRPr="00623847">
        <w:t>.</w:t>
      </w:r>
      <w:r w:rsidR="005137AC" w:rsidRPr="00623847">
        <w:t xml:space="preserve">  </w:t>
      </w:r>
    </w:p>
    <w:p w:rsidR="003B2EEA" w:rsidRPr="00623847" w:rsidRDefault="003B2EEA" w:rsidP="003B2EEA">
      <w:pPr>
        <w:pStyle w:val="Header"/>
        <w:tabs>
          <w:tab w:val="clear" w:pos="4320"/>
          <w:tab w:val="clear" w:pos="8640"/>
        </w:tabs>
      </w:pPr>
    </w:p>
    <w:p w:rsidR="002303B3" w:rsidRDefault="006C60D9" w:rsidP="006C60D9">
      <w:pPr>
        <w:pStyle w:val="Header"/>
        <w:numPr>
          <w:ilvl w:val="0"/>
          <w:numId w:val="18"/>
        </w:numPr>
        <w:tabs>
          <w:tab w:val="clear" w:pos="864"/>
          <w:tab w:val="clear" w:pos="4320"/>
          <w:tab w:val="clear" w:pos="8640"/>
          <w:tab w:val="num" w:pos="432"/>
        </w:tabs>
        <w:ind w:left="432"/>
      </w:pPr>
      <w:r w:rsidRPr="00623847">
        <w:t>The contractor will</w:t>
      </w:r>
      <w:r w:rsidR="005F3DD4" w:rsidRPr="00623847">
        <w:t xml:space="preserve"> mail a </w:t>
      </w:r>
      <w:r w:rsidR="00F14A00" w:rsidRPr="00623847">
        <w:t xml:space="preserve">pre-notification </w:t>
      </w:r>
      <w:r w:rsidR="005F3DD4" w:rsidRPr="00623847">
        <w:t>po</w:t>
      </w:r>
      <w:r w:rsidR="0003593F" w:rsidRPr="00623847">
        <w:t xml:space="preserve">stcard </w:t>
      </w:r>
      <w:r w:rsidRPr="00623847">
        <w:t xml:space="preserve">within two days </w:t>
      </w:r>
      <w:r w:rsidR="00ED2193" w:rsidRPr="00623847">
        <w:t xml:space="preserve">after </w:t>
      </w:r>
      <w:r w:rsidRPr="00623847">
        <w:t xml:space="preserve">they receive the </w:t>
      </w:r>
      <w:r w:rsidR="00ED2193" w:rsidRPr="00623847">
        <w:t xml:space="preserve">sample </w:t>
      </w:r>
      <w:r w:rsidRPr="00623847">
        <w:t>listing.  The postcard</w:t>
      </w:r>
      <w:r w:rsidR="0038024E" w:rsidRPr="00623847">
        <w:t xml:space="preserve"> inform</w:t>
      </w:r>
      <w:r w:rsidRPr="00623847">
        <w:t>s</w:t>
      </w:r>
      <w:r w:rsidR="0003593F" w:rsidRPr="00623847">
        <w:t xml:space="preserve"> participants that</w:t>
      </w:r>
      <w:r w:rsidR="005F3DD4" w:rsidRPr="00623847">
        <w:t xml:space="preserve"> 1)</w:t>
      </w:r>
      <w:r w:rsidRPr="00623847">
        <w:t> </w:t>
      </w:r>
      <w:r w:rsidR="0003593F" w:rsidRPr="00623847">
        <w:t xml:space="preserve">they </w:t>
      </w:r>
      <w:r w:rsidR="0038024E" w:rsidRPr="00623847">
        <w:t xml:space="preserve">have been selected for the survey and </w:t>
      </w:r>
      <w:r w:rsidRPr="00623847">
        <w:t>2) </w:t>
      </w:r>
      <w:r w:rsidR="005F3DD4" w:rsidRPr="00623847">
        <w:t xml:space="preserve">they should </w:t>
      </w:r>
      <w:r w:rsidR="0038024E" w:rsidRPr="00623847">
        <w:t xml:space="preserve">be on the lookout for the </w:t>
      </w:r>
      <w:r w:rsidR="008508EC" w:rsidRPr="00623847">
        <w:t>envelope containing the questionnaire</w:t>
      </w:r>
      <w:r w:rsidR="0038024E" w:rsidRPr="00623847">
        <w:t>.  Using a postcard format allows the recipient to quickly see that the survey is sanctioned by SSA</w:t>
      </w:r>
      <w:r w:rsidR="007C0D5A" w:rsidRPr="00623847">
        <w:t xml:space="preserve">.  </w:t>
      </w:r>
      <w:r w:rsidR="005F3DD4" w:rsidRPr="00623847">
        <w:t>Additionally</w:t>
      </w:r>
      <w:r w:rsidR="007C0D5A" w:rsidRPr="00623847">
        <w:t xml:space="preserve">, </w:t>
      </w:r>
      <w:r w:rsidR="00F74788" w:rsidRPr="00623847">
        <w:t xml:space="preserve">the postcard will </w:t>
      </w:r>
      <w:r w:rsidR="0038024E" w:rsidRPr="00623847">
        <w:t>identif</w:t>
      </w:r>
      <w:r w:rsidR="00F74788" w:rsidRPr="00623847">
        <w:t>y</w:t>
      </w:r>
      <w:r w:rsidR="0038024E" w:rsidRPr="00623847">
        <w:t xml:space="preserve"> the contractor </w:t>
      </w:r>
      <w:r w:rsidR="007C0D5A" w:rsidRPr="00623847">
        <w:t>who is conducting the survey for SSA</w:t>
      </w:r>
      <w:r w:rsidR="005F3DD4" w:rsidRPr="00623847">
        <w:t>,</w:t>
      </w:r>
      <w:r w:rsidR="007C0D5A" w:rsidRPr="00623847">
        <w:t xml:space="preserve"> </w:t>
      </w:r>
      <w:r w:rsidR="00F74788" w:rsidRPr="00623847">
        <w:t xml:space="preserve">and </w:t>
      </w:r>
      <w:r w:rsidR="0038024E" w:rsidRPr="00623847">
        <w:t>should increase the likelihood that participants will open the envelope when they receive the questionnaire.</w:t>
      </w:r>
    </w:p>
    <w:p w:rsidR="00B8590E" w:rsidRPr="00623847" w:rsidRDefault="00B8590E" w:rsidP="00B8590E">
      <w:pPr>
        <w:pStyle w:val="Header"/>
        <w:tabs>
          <w:tab w:val="clear" w:pos="4320"/>
          <w:tab w:val="clear" w:pos="8640"/>
        </w:tabs>
      </w:pPr>
    </w:p>
    <w:p w:rsidR="00CD2A57" w:rsidRPr="00623847" w:rsidRDefault="005F3DD4" w:rsidP="00461340">
      <w:pPr>
        <w:pStyle w:val="Header"/>
        <w:keepNext/>
        <w:keepLines/>
        <w:numPr>
          <w:ilvl w:val="0"/>
          <w:numId w:val="18"/>
        </w:numPr>
        <w:tabs>
          <w:tab w:val="clear" w:pos="864"/>
          <w:tab w:val="clear" w:pos="4320"/>
          <w:tab w:val="clear" w:pos="8640"/>
          <w:tab w:val="num" w:pos="432"/>
        </w:tabs>
        <w:ind w:left="432"/>
      </w:pPr>
      <w:r w:rsidRPr="00623847">
        <w:t xml:space="preserve">We will mail the survey </w:t>
      </w:r>
      <w:r w:rsidR="00DE6D22" w:rsidRPr="00623847">
        <w:t xml:space="preserve">questionnaire </w:t>
      </w:r>
      <w:r w:rsidR="00D673DC" w:rsidRPr="00623847">
        <w:t xml:space="preserve">within </w:t>
      </w:r>
      <w:r w:rsidR="00F30765" w:rsidRPr="00623847">
        <w:t>3</w:t>
      </w:r>
      <w:r w:rsidR="00CD2A57" w:rsidRPr="00623847">
        <w:t xml:space="preserve"> business days </w:t>
      </w:r>
      <w:r w:rsidR="006C60D9" w:rsidRPr="00623847">
        <w:t>after</w:t>
      </w:r>
      <w:r w:rsidR="00ED2193" w:rsidRPr="00623847">
        <w:t xml:space="preserve"> </w:t>
      </w:r>
      <w:r w:rsidRPr="00623847">
        <w:t xml:space="preserve">sending </w:t>
      </w:r>
      <w:r w:rsidR="00ED2193" w:rsidRPr="00623847">
        <w:t xml:space="preserve">the </w:t>
      </w:r>
      <w:r w:rsidR="00F14A00" w:rsidRPr="00623847">
        <w:t>pre-notification</w:t>
      </w:r>
      <w:r w:rsidR="00ED2193" w:rsidRPr="00623847">
        <w:t xml:space="preserve"> postcard.  </w:t>
      </w:r>
      <w:r w:rsidRPr="00623847">
        <w:t>A</w:t>
      </w:r>
      <w:r w:rsidR="00A84C95">
        <w:t>n a</w:t>
      </w:r>
      <w:r w:rsidR="00CD2A57" w:rsidRPr="00623847">
        <w:t xml:space="preserve">gency official </w:t>
      </w:r>
      <w:r w:rsidRPr="00623847">
        <w:t xml:space="preserve">signs </w:t>
      </w:r>
      <w:r w:rsidR="006C60D9" w:rsidRPr="00623847">
        <w:t>the</w:t>
      </w:r>
      <w:r w:rsidRPr="00623847">
        <w:t xml:space="preserve"> </w:t>
      </w:r>
      <w:r w:rsidR="006C60D9" w:rsidRPr="00623847">
        <w:t>survey cover letter and</w:t>
      </w:r>
      <w:r w:rsidR="00CD2A57" w:rsidRPr="00623847">
        <w:t xml:space="preserve"> encourages the individual to respond by emphasizing the importance of the survey</w:t>
      </w:r>
      <w:r w:rsidR="00ED2193" w:rsidRPr="00623847">
        <w:t>.</w:t>
      </w:r>
    </w:p>
    <w:p w:rsidR="005F3DD4" w:rsidRPr="00623847" w:rsidRDefault="005F3DD4" w:rsidP="005F3DD4">
      <w:pPr>
        <w:pStyle w:val="Header"/>
        <w:tabs>
          <w:tab w:val="clear" w:pos="4320"/>
          <w:tab w:val="clear" w:pos="8640"/>
        </w:tabs>
      </w:pPr>
    </w:p>
    <w:p w:rsidR="004A0C56" w:rsidRPr="00623847" w:rsidRDefault="0017516E" w:rsidP="00DB5FD6">
      <w:pPr>
        <w:pStyle w:val="Header"/>
        <w:numPr>
          <w:ilvl w:val="0"/>
          <w:numId w:val="18"/>
        </w:numPr>
        <w:tabs>
          <w:tab w:val="clear" w:pos="864"/>
          <w:tab w:val="clear" w:pos="4320"/>
          <w:tab w:val="clear" w:pos="8640"/>
          <w:tab w:val="num" w:pos="432"/>
        </w:tabs>
        <w:ind w:left="432"/>
      </w:pPr>
      <w:r w:rsidRPr="00623847">
        <w:t>Five</w:t>
      </w:r>
      <w:r w:rsidR="00CD2A57" w:rsidRPr="00623847">
        <w:t xml:space="preserve"> busin</w:t>
      </w:r>
      <w:r w:rsidR="005F3DD4" w:rsidRPr="00623847">
        <w:t xml:space="preserve">ess days after </w:t>
      </w:r>
      <w:r w:rsidR="00DB5FD6" w:rsidRPr="00623847">
        <w:t xml:space="preserve">we send the </w:t>
      </w:r>
      <w:r w:rsidR="005F3DD4" w:rsidRPr="00623847">
        <w:t xml:space="preserve">first </w:t>
      </w:r>
      <w:r w:rsidR="00DB5FD6" w:rsidRPr="00623847">
        <w:t>questionnaire</w:t>
      </w:r>
      <w:r w:rsidR="005F3DD4" w:rsidRPr="00623847">
        <w:t xml:space="preserve">, we will mail </w:t>
      </w:r>
      <w:r w:rsidR="00CD2A57" w:rsidRPr="00623847">
        <w:t xml:space="preserve">a follow-up letter and a duplicate </w:t>
      </w:r>
      <w:r w:rsidR="00ED2193" w:rsidRPr="00623847">
        <w:t>questionnaire</w:t>
      </w:r>
      <w:r w:rsidR="00CD2A57" w:rsidRPr="00623847">
        <w:t xml:space="preserve"> to all individuals in the sample</w:t>
      </w:r>
      <w:r w:rsidR="00A72792" w:rsidRPr="00623847">
        <w:t>.</w:t>
      </w:r>
      <w:r w:rsidR="005F3DD4" w:rsidRPr="00623847">
        <w:t xml:space="preserve">  We </w:t>
      </w:r>
      <w:r w:rsidR="00DB5FD6" w:rsidRPr="00623847">
        <w:t>will</w:t>
      </w:r>
      <w:r w:rsidR="005F3DD4" w:rsidRPr="00623847">
        <w:t xml:space="preserve"> not send more </w:t>
      </w:r>
      <w:r w:rsidR="00A01DD2" w:rsidRPr="00623847">
        <w:t>than</w:t>
      </w:r>
      <w:r w:rsidR="005F3DD4" w:rsidRPr="00623847">
        <w:t xml:space="preserve"> one follow-up because </w:t>
      </w:r>
      <w:r w:rsidR="00CD2A57" w:rsidRPr="00623847">
        <w:t xml:space="preserve">responses for service satisfaction surveys must be obtained shortly after the date of the contact </w:t>
      </w:r>
      <w:r w:rsidR="005F3DD4" w:rsidRPr="00623847">
        <w:t>(</w:t>
      </w:r>
      <w:r w:rsidR="00CD2A57" w:rsidRPr="00623847">
        <w:t>while respondents</w:t>
      </w:r>
      <w:r w:rsidR="005F3DD4" w:rsidRPr="00623847">
        <w:t>' perceptions are still fresh) to ensure their validity and utility.</w:t>
      </w:r>
    </w:p>
    <w:p w:rsidR="005F3DD4" w:rsidRPr="00623847" w:rsidRDefault="005F3DD4" w:rsidP="005F3DD4">
      <w:pPr>
        <w:pStyle w:val="Header"/>
        <w:tabs>
          <w:tab w:val="clear" w:pos="4320"/>
          <w:tab w:val="clear" w:pos="8640"/>
        </w:tabs>
      </w:pPr>
    </w:p>
    <w:p w:rsidR="00A72792" w:rsidRPr="00623847" w:rsidRDefault="00515C29" w:rsidP="005A3630">
      <w:pPr>
        <w:pStyle w:val="Header"/>
        <w:numPr>
          <w:ilvl w:val="0"/>
          <w:numId w:val="18"/>
        </w:numPr>
        <w:tabs>
          <w:tab w:val="clear" w:pos="864"/>
          <w:tab w:val="clear" w:pos="4320"/>
          <w:tab w:val="clear" w:pos="8640"/>
          <w:tab w:val="num" w:pos="432"/>
        </w:tabs>
        <w:ind w:left="432"/>
      </w:pPr>
      <w:r w:rsidRPr="00623847">
        <w:t>The questionnaire is short and</w:t>
      </w:r>
      <w:r w:rsidR="00A72792" w:rsidRPr="00623847">
        <w:t xml:space="preserve"> has an eye</w:t>
      </w:r>
      <w:r w:rsidR="00A72792" w:rsidRPr="00623847">
        <w:noBreakHyphen/>
        <w:t>catching title</w:t>
      </w:r>
      <w:r w:rsidRPr="00623847">
        <w:t xml:space="preserve">.  The scannable </w:t>
      </w:r>
      <w:r w:rsidR="000F4364" w:rsidRPr="00623847">
        <w:t>questionnaire</w:t>
      </w:r>
      <w:r w:rsidRPr="00623847">
        <w:t xml:space="preserve"> will be designed </w:t>
      </w:r>
      <w:r w:rsidR="00A47AC4" w:rsidRPr="00623847">
        <w:t>for ease of use</w:t>
      </w:r>
      <w:r w:rsidRPr="00623847">
        <w:t xml:space="preserve"> by an aged and disabled population, e.g., font sizes will be large</w:t>
      </w:r>
      <w:r w:rsidR="005A3630" w:rsidRPr="00623847">
        <w:t>r</w:t>
      </w:r>
      <w:r w:rsidRPr="00623847">
        <w:t>,</w:t>
      </w:r>
      <w:r w:rsidR="008A0828" w:rsidRPr="00623847">
        <w:t xml:space="preserve"> </w:t>
      </w:r>
      <w:r w:rsidR="00786F61" w:rsidRPr="00623847">
        <w:t>d</w:t>
      </w:r>
      <w:r w:rsidRPr="00623847">
        <w:t xml:space="preserve">ifficult fill-in bubbles will </w:t>
      </w:r>
      <w:r w:rsidR="00786F61" w:rsidRPr="00623847">
        <w:t xml:space="preserve">not </w:t>
      </w:r>
      <w:r w:rsidRPr="00623847">
        <w:t>be used.</w:t>
      </w:r>
    </w:p>
    <w:p w:rsidR="00EB4AB5" w:rsidRPr="00623847" w:rsidRDefault="00EB4AB5" w:rsidP="00EB4AB5">
      <w:pPr>
        <w:pStyle w:val="Header"/>
        <w:tabs>
          <w:tab w:val="clear" w:pos="4320"/>
          <w:tab w:val="clear" w:pos="8640"/>
        </w:tabs>
      </w:pPr>
    </w:p>
    <w:p w:rsidR="005A3630" w:rsidRDefault="00751FDF" w:rsidP="00EB4AB5">
      <w:pPr>
        <w:pStyle w:val="Header"/>
        <w:tabs>
          <w:tab w:val="clear" w:pos="4320"/>
          <w:tab w:val="clear" w:pos="8640"/>
        </w:tabs>
      </w:pPr>
      <w:r>
        <w:t>Using the same methodology in the FY</w:t>
      </w:r>
      <w:r w:rsidR="00461340">
        <w:t> </w:t>
      </w:r>
      <w:r>
        <w:t xml:space="preserve">2010 </w:t>
      </w:r>
      <w:r w:rsidR="00461340">
        <w:t>IRC</w:t>
      </w:r>
      <w:r>
        <w:t xml:space="preserve"> Survey, SSA achieved a combined response rate of 46</w:t>
      </w:r>
      <w:r w:rsidR="00461340">
        <w:t> </w:t>
      </w:r>
      <w:r>
        <w:t>percent.</w:t>
      </w:r>
      <w:r w:rsidR="00461340">
        <w:t xml:space="preserve"> </w:t>
      </w:r>
      <w:r>
        <w:t xml:space="preserve"> </w:t>
      </w:r>
      <w:r w:rsidR="00E43EAD" w:rsidRPr="00E43EAD">
        <w:t>Th</w:t>
      </w:r>
      <w:r w:rsidR="00E43EAD">
        <w:t>is response rate</w:t>
      </w:r>
      <w:r w:rsidR="00E43EAD" w:rsidRPr="00E43EAD">
        <w:t xml:space="preserve"> </w:t>
      </w:r>
      <w:r w:rsidR="00E43EAD">
        <w:t>is</w:t>
      </w:r>
      <w:r w:rsidR="00E43EAD" w:rsidRPr="00E43EAD">
        <w:t xml:space="preserve"> the highest possible considering that time permits only a limited number of contacts.  We expect to achieve an equally good response rate in the upcoming survey.</w:t>
      </w:r>
    </w:p>
    <w:p w:rsidR="00913918" w:rsidRPr="00623847" w:rsidRDefault="00913918" w:rsidP="00EB4AB5">
      <w:pPr>
        <w:pStyle w:val="Header"/>
        <w:tabs>
          <w:tab w:val="clear" w:pos="4320"/>
          <w:tab w:val="clear" w:pos="8640"/>
        </w:tabs>
      </w:pPr>
    </w:p>
    <w:p w:rsidR="007029D2" w:rsidRPr="00623847" w:rsidRDefault="007029D2" w:rsidP="00913918">
      <w:pPr>
        <w:pStyle w:val="Header"/>
        <w:tabs>
          <w:tab w:val="clear" w:pos="4320"/>
          <w:tab w:val="clear" w:pos="8640"/>
        </w:tabs>
        <w:rPr>
          <w:b/>
          <w:bCs/>
          <w:i/>
          <w:iCs/>
        </w:rPr>
      </w:pPr>
      <w:r w:rsidRPr="00623847">
        <w:rPr>
          <w:b/>
          <w:bCs/>
          <w:i/>
          <w:iCs/>
        </w:rPr>
        <w:t xml:space="preserve">Sampling </w:t>
      </w:r>
      <w:r w:rsidRPr="00461340">
        <w:rPr>
          <w:b/>
          <w:bCs/>
          <w:i/>
          <w:iCs/>
        </w:rPr>
        <w:t>Variability</w:t>
      </w:r>
    </w:p>
    <w:p w:rsidR="00CD2A57" w:rsidRPr="00623847" w:rsidRDefault="00CD2A57" w:rsidP="00835DDD"/>
    <w:p w:rsidR="008620D4" w:rsidRDefault="008620D4" w:rsidP="00FF1DBE">
      <w:r w:rsidRPr="00623847">
        <w:t xml:space="preserve">The key </w:t>
      </w:r>
      <w:r w:rsidR="00DB5FD6" w:rsidRPr="00623847">
        <w:t>variable</w:t>
      </w:r>
      <w:r w:rsidRPr="00623847">
        <w:t xml:space="preserve"> in the </w:t>
      </w:r>
      <w:r w:rsidR="00060837">
        <w:t>IRC</w:t>
      </w:r>
      <w:r w:rsidR="00835DDD" w:rsidRPr="00623847">
        <w:t xml:space="preserve"> S</w:t>
      </w:r>
      <w:r w:rsidRPr="00623847">
        <w:t xml:space="preserve">urvey </w:t>
      </w:r>
      <w:r w:rsidR="00835DDD" w:rsidRPr="00623847">
        <w:t xml:space="preserve">is overall satisfaction with the </w:t>
      </w:r>
      <w:r w:rsidR="00635CD5">
        <w:t>Internet</w:t>
      </w:r>
      <w:r w:rsidRPr="00623847">
        <w:t xml:space="preserve"> </w:t>
      </w:r>
      <w:r w:rsidR="00835DDD" w:rsidRPr="00623847">
        <w:t>transaction</w:t>
      </w:r>
      <w:r w:rsidRPr="00623847">
        <w:t xml:space="preserve"> (</w:t>
      </w:r>
      <w:r w:rsidR="00835DDD" w:rsidRPr="00623847">
        <w:t xml:space="preserve">i.e., </w:t>
      </w:r>
      <w:r w:rsidR="00FF1DBE" w:rsidRPr="00623847">
        <w:t xml:space="preserve">percent giving a rating of </w:t>
      </w:r>
      <w:r w:rsidRPr="00623847">
        <w:t>excellent, very good or good).</w:t>
      </w:r>
      <w:r w:rsidR="00835DDD" w:rsidRPr="00623847">
        <w:t xml:space="preserve">  </w:t>
      </w:r>
      <w:r w:rsidR="00060837">
        <w:t>O</w:t>
      </w:r>
      <w:r w:rsidR="00060837" w:rsidRPr="00060837">
        <w:t>ur proposed sample size</w:t>
      </w:r>
      <w:r w:rsidR="00060837">
        <w:t>s</w:t>
      </w:r>
      <w:r w:rsidR="00060837" w:rsidRPr="00060837">
        <w:t xml:space="preserve"> of </w:t>
      </w:r>
      <w:r w:rsidR="00060837">
        <w:t>2</w:t>
      </w:r>
      <w:r w:rsidR="00060837" w:rsidRPr="00060837">
        <w:t xml:space="preserve">,000 cases </w:t>
      </w:r>
      <w:r w:rsidR="00060837">
        <w:t>for online applications and 3,000</w:t>
      </w:r>
      <w:r w:rsidR="00917315">
        <w:t> </w:t>
      </w:r>
      <w:r w:rsidR="00060837">
        <w:t xml:space="preserve">cases for </w:t>
      </w:r>
      <w:r w:rsidR="00B3099A">
        <w:t xml:space="preserve">change </w:t>
      </w:r>
      <w:r w:rsidR="00917315">
        <w:t xml:space="preserve">reports </w:t>
      </w:r>
      <w:r w:rsidR="00060837">
        <w:t xml:space="preserve">are </w:t>
      </w:r>
      <w:r w:rsidR="00060837" w:rsidRPr="00060837">
        <w:t>large enough, assuming a 50 percent response rate, to</w:t>
      </w:r>
      <w:r w:rsidR="00060837" w:rsidRPr="00060837">
        <w:rPr>
          <w:b/>
        </w:rPr>
        <w:t xml:space="preserve"> </w:t>
      </w:r>
      <w:r w:rsidR="00060837" w:rsidRPr="00060837">
        <w:t>provide a sampling variability at the 95</w:t>
      </w:r>
      <w:r w:rsidR="00060837" w:rsidRPr="00060837">
        <w:noBreakHyphen/>
        <w:t>percent confidence level equal to:</w:t>
      </w:r>
    </w:p>
    <w:p w:rsidR="00060837" w:rsidRDefault="00060837" w:rsidP="00FF1DBE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2970"/>
        <w:gridCol w:w="2340"/>
      </w:tblGrid>
      <w:tr w:rsidR="00060837" w:rsidRPr="00060837" w:rsidTr="00376843">
        <w:trPr>
          <w:trHeight w:val="288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60837" w:rsidRPr="00060837" w:rsidRDefault="00060837" w:rsidP="00060837">
            <w:pPr>
              <w:rPr>
                <w:b/>
                <w:bCs/>
                <w:sz w:val="20"/>
                <w:szCs w:val="20"/>
              </w:rPr>
            </w:pPr>
            <w:r w:rsidRPr="00060837">
              <w:rPr>
                <w:b/>
                <w:bCs/>
                <w:sz w:val="20"/>
                <w:szCs w:val="20"/>
              </w:rPr>
              <w:t>Stratum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060837" w:rsidRPr="00060837" w:rsidRDefault="00060837" w:rsidP="00060837">
            <w:pPr>
              <w:rPr>
                <w:b/>
                <w:bCs/>
                <w:sz w:val="20"/>
                <w:szCs w:val="20"/>
              </w:rPr>
            </w:pPr>
            <w:r w:rsidRPr="00060837">
              <w:rPr>
                <w:b/>
                <w:bCs/>
                <w:sz w:val="20"/>
                <w:szCs w:val="20"/>
              </w:rPr>
              <w:t>Key Variable (E/VG/G Rating)</w:t>
            </w:r>
            <w:r w:rsidR="005249BC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060837" w:rsidRPr="00060837" w:rsidRDefault="00060837" w:rsidP="00060837">
            <w:pPr>
              <w:rPr>
                <w:b/>
                <w:bCs/>
                <w:sz w:val="20"/>
                <w:szCs w:val="20"/>
              </w:rPr>
            </w:pPr>
            <w:r w:rsidRPr="00060837">
              <w:rPr>
                <w:b/>
                <w:bCs/>
                <w:sz w:val="20"/>
                <w:szCs w:val="20"/>
              </w:rPr>
              <w:t>Sampling Variability</w:t>
            </w:r>
          </w:p>
        </w:tc>
      </w:tr>
      <w:tr w:rsidR="00060837" w:rsidRPr="00060837" w:rsidTr="00376843">
        <w:trPr>
          <w:trHeight w:val="288"/>
        </w:trPr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060837" w:rsidRPr="00060837" w:rsidRDefault="00060837" w:rsidP="00060837">
            <w:pPr>
              <w:rPr>
                <w:b/>
                <w:i/>
                <w:sz w:val="20"/>
                <w:szCs w:val="20"/>
              </w:rPr>
            </w:pPr>
            <w:r w:rsidRPr="00060837">
              <w:rPr>
                <w:b/>
                <w:i/>
                <w:sz w:val="20"/>
                <w:szCs w:val="20"/>
              </w:rPr>
              <w:t>Applications</w:t>
            </w:r>
          </w:p>
        </w:tc>
        <w:tc>
          <w:tcPr>
            <w:tcW w:w="2970" w:type="dxa"/>
            <w:tcBorders>
              <w:top w:val="nil"/>
              <w:bottom w:val="nil"/>
            </w:tcBorders>
            <w:vAlign w:val="center"/>
          </w:tcPr>
          <w:p w:rsidR="00060837" w:rsidRDefault="00060837" w:rsidP="00060837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</w:tcPr>
          <w:p w:rsidR="00060837" w:rsidRPr="00060837" w:rsidRDefault="00060837" w:rsidP="00060837">
            <w:pPr>
              <w:rPr>
                <w:sz w:val="20"/>
                <w:szCs w:val="20"/>
              </w:rPr>
            </w:pPr>
          </w:p>
        </w:tc>
      </w:tr>
      <w:tr w:rsidR="00060837" w:rsidRPr="00060837" w:rsidTr="00376843">
        <w:trPr>
          <w:trHeight w:val="288"/>
        </w:trPr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060837" w:rsidRPr="00060837" w:rsidRDefault="00060837" w:rsidP="00060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Retirement</w:t>
            </w:r>
          </w:p>
        </w:tc>
        <w:tc>
          <w:tcPr>
            <w:tcW w:w="2970" w:type="dxa"/>
            <w:tcBorders>
              <w:top w:val="nil"/>
              <w:bottom w:val="nil"/>
            </w:tcBorders>
            <w:vAlign w:val="center"/>
          </w:tcPr>
          <w:p w:rsidR="00060837" w:rsidRPr="00060837" w:rsidRDefault="00060837" w:rsidP="00376843">
            <w:pPr>
              <w:tabs>
                <w:tab w:val="decimal" w:pos="12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  <w:r w:rsidRPr="00060837">
              <w:rPr>
                <w:sz w:val="20"/>
                <w:szCs w:val="20"/>
              </w:rPr>
              <w:t>%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</w:tcPr>
          <w:p w:rsidR="00060837" w:rsidRPr="00060837" w:rsidRDefault="00060837" w:rsidP="00376843">
            <w:pPr>
              <w:tabs>
                <w:tab w:val="decimal" w:pos="1062"/>
              </w:tabs>
              <w:rPr>
                <w:sz w:val="20"/>
                <w:szCs w:val="20"/>
              </w:rPr>
            </w:pPr>
            <w:r w:rsidRPr="00060837">
              <w:rPr>
                <w:sz w:val="20"/>
                <w:szCs w:val="20"/>
              </w:rPr>
              <w:t>+/- 1.</w:t>
            </w:r>
            <w:r>
              <w:rPr>
                <w:sz w:val="20"/>
                <w:szCs w:val="20"/>
              </w:rPr>
              <w:t>4</w:t>
            </w:r>
          </w:p>
        </w:tc>
      </w:tr>
      <w:tr w:rsidR="00060837" w:rsidRPr="00060837" w:rsidTr="00376843">
        <w:trPr>
          <w:trHeight w:val="288"/>
        </w:trPr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060837" w:rsidRPr="00060837" w:rsidRDefault="00060837" w:rsidP="00060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Disability</w:t>
            </w:r>
          </w:p>
        </w:tc>
        <w:tc>
          <w:tcPr>
            <w:tcW w:w="2970" w:type="dxa"/>
            <w:tcBorders>
              <w:top w:val="nil"/>
              <w:bottom w:val="nil"/>
            </w:tcBorders>
            <w:vAlign w:val="center"/>
          </w:tcPr>
          <w:p w:rsidR="00060837" w:rsidRPr="00060837" w:rsidRDefault="00060837" w:rsidP="00376843">
            <w:pPr>
              <w:tabs>
                <w:tab w:val="decimal" w:pos="12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Pr="00060837">
              <w:rPr>
                <w:sz w:val="20"/>
                <w:szCs w:val="20"/>
              </w:rPr>
              <w:t>%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</w:tcPr>
          <w:p w:rsidR="00060837" w:rsidRPr="00060837" w:rsidRDefault="00060837" w:rsidP="00376843">
            <w:pPr>
              <w:tabs>
                <w:tab w:val="decimal" w:pos="1062"/>
              </w:tabs>
              <w:rPr>
                <w:sz w:val="20"/>
                <w:szCs w:val="20"/>
              </w:rPr>
            </w:pPr>
            <w:r w:rsidRPr="00060837">
              <w:rPr>
                <w:sz w:val="20"/>
                <w:szCs w:val="20"/>
              </w:rPr>
              <w:t xml:space="preserve">+/- </w:t>
            </w:r>
            <w:r>
              <w:rPr>
                <w:sz w:val="20"/>
                <w:szCs w:val="20"/>
              </w:rPr>
              <w:t>2.2</w:t>
            </w:r>
          </w:p>
        </w:tc>
      </w:tr>
      <w:tr w:rsidR="00060837" w:rsidRPr="00060837" w:rsidTr="00376843">
        <w:trPr>
          <w:trHeight w:val="288"/>
        </w:trPr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060837" w:rsidRDefault="00060837" w:rsidP="00060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Medicare Part B</w:t>
            </w:r>
          </w:p>
        </w:tc>
        <w:tc>
          <w:tcPr>
            <w:tcW w:w="2970" w:type="dxa"/>
            <w:tcBorders>
              <w:top w:val="nil"/>
              <w:bottom w:val="nil"/>
            </w:tcBorders>
            <w:vAlign w:val="center"/>
          </w:tcPr>
          <w:p w:rsidR="00060837" w:rsidRDefault="00A503B1" w:rsidP="00376843">
            <w:pPr>
              <w:tabs>
                <w:tab w:val="decimal" w:pos="12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</w:tcPr>
          <w:p w:rsidR="00060837" w:rsidRPr="00060837" w:rsidRDefault="00060837" w:rsidP="00376843">
            <w:pPr>
              <w:tabs>
                <w:tab w:val="decimal" w:pos="106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+/- 1.9</w:t>
            </w:r>
          </w:p>
        </w:tc>
      </w:tr>
      <w:tr w:rsidR="00060837" w:rsidRPr="00060837" w:rsidTr="00376843">
        <w:trPr>
          <w:trHeight w:val="288"/>
        </w:trPr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060837" w:rsidRDefault="00060837" w:rsidP="00060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Medicare Part D</w:t>
            </w:r>
          </w:p>
        </w:tc>
        <w:tc>
          <w:tcPr>
            <w:tcW w:w="2970" w:type="dxa"/>
            <w:tcBorders>
              <w:top w:val="nil"/>
              <w:bottom w:val="nil"/>
            </w:tcBorders>
            <w:vAlign w:val="center"/>
          </w:tcPr>
          <w:p w:rsidR="00060837" w:rsidRDefault="00060837" w:rsidP="00376843">
            <w:pPr>
              <w:tabs>
                <w:tab w:val="decimal" w:pos="12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91%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</w:tcPr>
          <w:p w:rsidR="00060837" w:rsidRDefault="00060837" w:rsidP="00376843">
            <w:pPr>
              <w:tabs>
                <w:tab w:val="decimal" w:pos="106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+/- 1.9</w:t>
            </w:r>
          </w:p>
        </w:tc>
      </w:tr>
      <w:tr w:rsidR="00060837" w:rsidRPr="00060837" w:rsidTr="00376843">
        <w:trPr>
          <w:trHeight w:val="288"/>
        </w:trPr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060837" w:rsidRPr="00060837" w:rsidRDefault="00B3099A" w:rsidP="00B3099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Change </w:t>
            </w:r>
            <w:r w:rsidR="00B8590E" w:rsidRPr="00060837">
              <w:rPr>
                <w:b/>
                <w:i/>
                <w:sz w:val="20"/>
                <w:szCs w:val="20"/>
              </w:rPr>
              <w:t>Repor</w:t>
            </w:r>
            <w:r w:rsidR="00B8590E">
              <w:rPr>
                <w:b/>
                <w:i/>
                <w:sz w:val="20"/>
                <w:szCs w:val="20"/>
              </w:rPr>
              <w:t>t</w:t>
            </w:r>
            <w:r w:rsidR="00B8590E" w:rsidRPr="00060837">
              <w:rPr>
                <w:b/>
                <w:i/>
                <w:sz w:val="20"/>
                <w:szCs w:val="20"/>
              </w:rPr>
              <w:t>s</w:t>
            </w:r>
          </w:p>
        </w:tc>
        <w:tc>
          <w:tcPr>
            <w:tcW w:w="2970" w:type="dxa"/>
            <w:tcBorders>
              <w:top w:val="nil"/>
              <w:bottom w:val="nil"/>
            </w:tcBorders>
            <w:vAlign w:val="center"/>
          </w:tcPr>
          <w:p w:rsidR="00060837" w:rsidRDefault="00060837" w:rsidP="00376843">
            <w:pPr>
              <w:tabs>
                <w:tab w:val="decimal" w:pos="1272"/>
              </w:tabs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</w:tcPr>
          <w:p w:rsidR="00060837" w:rsidRDefault="00060837" w:rsidP="00376843">
            <w:pPr>
              <w:tabs>
                <w:tab w:val="decimal" w:pos="1062"/>
              </w:tabs>
              <w:rPr>
                <w:sz w:val="20"/>
                <w:szCs w:val="20"/>
              </w:rPr>
            </w:pPr>
          </w:p>
        </w:tc>
      </w:tr>
      <w:tr w:rsidR="00060837" w:rsidRPr="00060837" w:rsidTr="00376843">
        <w:trPr>
          <w:trHeight w:val="288"/>
        </w:trPr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060837" w:rsidRDefault="00060837" w:rsidP="00060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Change of address</w:t>
            </w:r>
          </w:p>
        </w:tc>
        <w:tc>
          <w:tcPr>
            <w:tcW w:w="2970" w:type="dxa"/>
            <w:tcBorders>
              <w:top w:val="nil"/>
              <w:bottom w:val="nil"/>
            </w:tcBorders>
            <w:vAlign w:val="center"/>
          </w:tcPr>
          <w:p w:rsidR="00060837" w:rsidRDefault="00A503B1" w:rsidP="00376843">
            <w:pPr>
              <w:tabs>
                <w:tab w:val="decimal" w:pos="12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96%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</w:tcPr>
          <w:p w:rsidR="00060837" w:rsidRPr="00060837" w:rsidRDefault="00060837" w:rsidP="00376843">
            <w:pPr>
              <w:tabs>
                <w:tab w:val="decimal" w:pos="1062"/>
              </w:tabs>
              <w:rPr>
                <w:sz w:val="20"/>
                <w:szCs w:val="20"/>
              </w:rPr>
            </w:pPr>
            <w:r w:rsidRPr="00060837">
              <w:rPr>
                <w:sz w:val="20"/>
                <w:szCs w:val="20"/>
              </w:rPr>
              <w:t>+/- 1.</w:t>
            </w:r>
            <w:r>
              <w:rPr>
                <w:sz w:val="20"/>
                <w:szCs w:val="20"/>
              </w:rPr>
              <w:t>4</w:t>
            </w:r>
          </w:p>
        </w:tc>
      </w:tr>
      <w:tr w:rsidR="00060837" w:rsidRPr="00060837" w:rsidTr="00A503B1">
        <w:trPr>
          <w:trHeight w:val="288"/>
        </w:trPr>
        <w:tc>
          <w:tcPr>
            <w:tcW w:w="2160" w:type="dxa"/>
            <w:tcBorders>
              <w:top w:val="nil"/>
              <w:bottom w:val="single" w:sz="4" w:space="0" w:color="auto"/>
            </w:tcBorders>
            <w:vAlign w:val="center"/>
          </w:tcPr>
          <w:p w:rsidR="00060837" w:rsidRDefault="00060837" w:rsidP="00060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Direct deposit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  <w:vAlign w:val="center"/>
          </w:tcPr>
          <w:p w:rsidR="00060837" w:rsidRDefault="00060837" w:rsidP="00376843">
            <w:pPr>
              <w:tabs>
                <w:tab w:val="decimal" w:pos="12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96%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  <w:vAlign w:val="center"/>
          </w:tcPr>
          <w:p w:rsidR="00060837" w:rsidRPr="00060837" w:rsidRDefault="00060837" w:rsidP="00376843">
            <w:pPr>
              <w:tabs>
                <w:tab w:val="decimal" w:pos="1062"/>
              </w:tabs>
              <w:rPr>
                <w:sz w:val="20"/>
                <w:szCs w:val="20"/>
              </w:rPr>
            </w:pPr>
            <w:r w:rsidRPr="00060837">
              <w:rPr>
                <w:sz w:val="20"/>
                <w:szCs w:val="20"/>
              </w:rPr>
              <w:t>+/- 1.</w:t>
            </w:r>
            <w:r>
              <w:rPr>
                <w:sz w:val="20"/>
                <w:szCs w:val="20"/>
              </w:rPr>
              <w:t>4</w:t>
            </w:r>
          </w:p>
        </w:tc>
      </w:tr>
      <w:tr w:rsidR="007C02D1" w:rsidRPr="00060837" w:rsidTr="00A503B1">
        <w:trPr>
          <w:trHeight w:val="288"/>
        </w:trPr>
        <w:tc>
          <w:tcPr>
            <w:tcW w:w="74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02D1" w:rsidRPr="007C02D1" w:rsidRDefault="007C02D1" w:rsidP="005249BC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="00A503B1">
              <w:rPr>
                <w:sz w:val="20"/>
                <w:szCs w:val="20"/>
              </w:rPr>
              <w:t>The E/VG/G ratings for retirement, disability and Medicare P</w:t>
            </w:r>
            <w:r w:rsidR="005B7AEF">
              <w:rPr>
                <w:sz w:val="20"/>
                <w:szCs w:val="20"/>
              </w:rPr>
              <w:t>art D reflect the actual rating</w:t>
            </w:r>
            <w:r w:rsidR="00A503B1">
              <w:rPr>
                <w:sz w:val="20"/>
                <w:szCs w:val="20"/>
              </w:rPr>
              <w:t>s obtained in the FY</w:t>
            </w:r>
            <w:r w:rsidR="005249BC">
              <w:rPr>
                <w:sz w:val="20"/>
                <w:szCs w:val="20"/>
              </w:rPr>
              <w:t> </w:t>
            </w:r>
            <w:r w:rsidR="00A503B1">
              <w:rPr>
                <w:sz w:val="20"/>
                <w:szCs w:val="20"/>
              </w:rPr>
              <w:t xml:space="preserve">2010 IRC Survey.  </w:t>
            </w:r>
            <w:proofErr w:type="gramStart"/>
            <w:r w:rsidR="00A503B1">
              <w:rPr>
                <w:sz w:val="20"/>
                <w:szCs w:val="20"/>
              </w:rPr>
              <w:t xml:space="preserve">Satisfaction for the other strata </w:t>
            </w:r>
            <w:r w:rsidR="005249BC">
              <w:rPr>
                <w:sz w:val="20"/>
                <w:szCs w:val="20"/>
              </w:rPr>
              <w:t>are</w:t>
            </w:r>
            <w:proofErr w:type="gramEnd"/>
            <w:r w:rsidR="00A503B1">
              <w:rPr>
                <w:sz w:val="20"/>
                <w:szCs w:val="20"/>
              </w:rPr>
              <w:t xml:space="preserve"> e</w:t>
            </w:r>
            <w:r>
              <w:rPr>
                <w:sz w:val="20"/>
                <w:szCs w:val="20"/>
              </w:rPr>
              <w:t>stimated</w:t>
            </w:r>
            <w:r w:rsidR="00A503B1">
              <w:rPr>
                <w:sz w:val="20"/>
                <w:szCs w:val="20"/>
              </w:rPr>
              <w:t>.</w:t>
            </w:r>
          </w:p>
        </w:tc>
      </w:tr>
    </w:tbl>
    <w:p w:rsidR="00060837" w:rsidRDefault="00060837" w:rsidP="00FF1DBE"/>
    <w:p w:rsidR="00CD2A57" w:rsidRPr="00623847" w:rsidRDefault="00CD2A57" w:rsidP="00BB2E42">
      <w:r w:rsidRPr="00623847">
        <w:t>OQ</w:t>
      </w:r>
      <w:r w:rsidR="004731DA" w:rsidRPr="00623847">
        <w:t>P</w:t>
      </w:r>
      <w:r w:rsidR="00A01DD2" w:rsidRPr="00623847">
        <w:t xml:space="preserve"> will perform all sampling and data analysis</w:t>
      </w:r>
      <w:r w:rsidRPr="00623847">
        <w:t xml:space="preserve">.  </w:t>
      </w:r>
      <w:r w:rsidR="000C7657" w:rsidRPr="00623847">
        <w:t>Dan Zabronsky</w:t>
      </w:r>
      <w:r w:rsidRPr="00623847">
        <w:t>, Director</w:t>
      </w:r>
      <w:r w:rsidR="00BB2E42" w:rsidRPr="00623847">
        <w:t xml:space="preserve"> of SSA’s</w:t>
      </w:r>
      <w:r w:rsidRPr="00623847">
        <w:t xml:space="preserve"> Division of </w:t>
      </w:r>
      <w:r w:rsidR="000C7657" w:rsidRPr="00623847">
        <w:t>Modeling</w:t>
      </w:r>
      <w:r w:rsidRPr="00623847">
        <w:t xml:space="preserve">, </w:t>
      </w:r>
      <w:r w:rsidR="00BB2E42" w:rsidRPr="00623847">
        <w:t>will</w:t>
      </w:r>
      <w:r w:rsidR="00A01DD2" w:rsidRPr="00623847">
        <w:t xml:space="preserve"> provide statistical support, and is available for discussion of statistical-related issues.</w:t>
      </w:r>
      <w:r w:rsidR="009C55C1" w:rsidRPr="00623847">
        <w:t xml:space="preserve">  He can be reached at (410) 965-5953.</w:t>
      </w:r>
    </w:p>
    <w:p w:rsidR="007029D2" w:rsidRPr="00623847" w:rsidRDefault="007029D2" w:rsidP="00387EC0">
      <w:pPr>
        <w:rPr>
          <w:bCs/>
        </w:rPr>
      </w:pPr>
    </w:p>
    <w:p w:rsidR="007029D2" w:rsidRPr="00623847" w:rsidRDefault="007029D2" w:rsidP="00184B42">
      <w:pPr>
        <w:keepNext/>
        <w:keepLines/>
      </w:pPr>
      <w:r w:rsidRPr="00623847">
        <w:rPr>
          <w:b/>
        </w:rPr>
        <w:t>IF FOCUS GROUP MEMBERS WILL RECEIVE A PAYMENT,</w:t>
      </w:r>
      <w:r w:rsidR="005D519C">
        <w:rPr>
          <w:b/>
        </w:rPr>
        <w:t xml:space="preserve"> </w:t>
      </w:r>
      <w:r w:rsidRPr="00623847">
        <w:rPr>
          <w:b/>
        </w:rPr>
        <w:t>INDICATE AMOUNT</w:t>
      </w:r>
      <w:r w:rsidRPr="00623847">
        <w:t xml:space="preserve"> </w:t>
      </w:r>
      <w:r w:rsidRPr="00623847">
        <w:rPr>
          <w:i/>
        </w:rPr>
        <w:t>(No more than $25 can be authorized under OMB rules):</w:t>
      </w:r>
      <w:r w:rsidRPr="00623847">
        <w:t xml:space="preserve">  </w:t>
      </w:r>
    </w:p>
    <w:p w:rsidR="007029D2" w:rsidRPr="00623847" w:rsidRDefault="007029D2" w:rsidP="00184B42">
      <w:pPr>
        <w:keepNext/>
        <w:keepLines/>
      </w:pPr>
    </w:p>
    <w:p w:rsidR="00A01DD2" w:rsidRDefault="00A01DD2" w:rsidP="00184B42">
      <w:pPr>
        <w:keepNext/>
        <w:keepLines/>
      </w:pPr>
      <w:r w:rsidRPr="00623847">
        <w:t>We will not compensate participants for this survey.</w:t>
      </w:r>
    </w:p>
    <w:p w:rsidR="002C29C1" w:rsidRPr="00623847" w:rsidRDefault="002C29C1" w:rsidP="00387EC0"/>
    <w:p w:rsidR="007029D2" w:rsidRPr="00623847" w:rsidRDefault="007029D2" w:rsidP="008906C9">
      <w:pPr>
        <w:keepNext/>
        <w:keepLines/>
        <w:rPr>
          <w:b/>
        </w:rPr>
      </w:pPr>
      <w:r w:rsidRPr="00623847">
        <w:rPr>
          <w:b/>
        </w:rPr>
        <w:t>USE OF SURVEY RESULTS:</w:t>
      </w:r>
    </w:p>
    <w:p w:rsidR="007029D2" w:rsidRPr="00623847" w:rsidRDefault="007029D2" w:rsidP="00C76888">
      <w:pPr>
        <w:keepNext/>
        <w:keepLines/>
      </w:pPr>
    </w:p>
    <w:p w:rsidR="007029D2" w:rsidRPr="00623847" w:rsidRDefault="007029D2" w:rsidP="00322B85">
      <w:pPr>
        <w:pStyle w:val="Header"/>
        <w:keepNext/>
        <w:keepLines/>
        <w:tabs>
          <w:tab w:val="clear" w:pos="4320"/>
          <w:tab w:val="clear" w:pos="8640"/>
        </w:tabs>
      </w:pPr>
      <w:r w:rsidRPr="00623847">
        <w:t xml:space="preserve">SSA </w:t>
      </w:r>
      <w:r w:rsidR="00A01DD2" w:rsidRPr="00623847">
        <w:t xml:space="preserve">will use the results of this survey </w:t>
      </w:r>
      <w:r w:rsidRPr="00623847">
        <w:t xml:space="preserve">to evaluate and improve various aspects of its </w:t>
      </w:r>
      <w:r w:rsidR="00635CD5">
        <w:t>Internet</w:t>
      </w:r>
      <w:r w:rsidR="00966D6C" w:rsidRPr="00623847">
        <w:t xml:space="preserve"> services</w:t>
      </w:r>
      <w:r w:rsidRPr="00623847">
        <w:t xml:space="preserve">.  In addition, </w:t>
      </w:r>
      <w:r w:rsidR="00A01DD2" w:rsidRPr="00623847">
        <w:t xml:space="preserve">the Agency will use the </w:t>
      </w:r>
      <w:r w:rsidR="006E131A">
        <w:t>findings</w:t>
      </w:r>
      <w:r w:rsidRPr="00623847">
        <w:t xml:space="preserve"> in combination with results from the </w:t>
      </w:r>
      <w:r w:rsidR="00541400" w:rsidRPr="00623847">
        <w:t xml:space="preserve">800 Number Caller, </w:t>
      </w:r>
      <w:r w:rsidRPr="00623847">
        <w:t xml:space="preserve">Field Office </w:t>
      </w:r>
      <w:r w:rsidR="00CD3E47" w:rsidRPr="00623847">
        <w:t>Caller</w:t>
      </w:r>
      <w:r w:rsidR="00966D6C" w:rsidRPr="00623847">
        <w:t xml:space="preserve">, and Office Visitor </w:t>
      </w:r>
      <w:r w:rsidR="00CD3E47" w:rsidRPr="00623847">
        <w:t>s</w:t>
      </w:r>
      <w:r w:rsidRPr="00623847">
        <w:t xml:space="preserve">urveys to </w:t>
      </w:r>
      <w:r w:rsidR="006E131A">
        <w:t>compute</w:t>
      </w:r>
      <w:r w:rsidR="00691337" w:rsidRPr="00623847">
        <w:t xml:space="preserve"> </w:t>
      </w:r>
      <w:r w:rsidR="00322B85" w:rsidRPr="00623847">
        <w:t>the agency’s</w:t>
      </w:r>
      <w:r w:rsidR="00691337" w:rsidRPr="00623847">
        <w:t xml:space="preserve"> combined performance </w:t>
      </w:r>
      <w:r w:rsidR="00697179" w:rsidRPr="00623847">
        <w:t>indicator</w:t>
      </w:r>
      <w:r w:rsidR="00691337" w:rsidRPr="00623847">
        <w:t xml:space="preserve"> </w:t>
      </w:r>
      <w:r w:rsidR="00322B85" w:rsidRPr="00623847">
        <w:t>of overall satisfaction</w:t>
      </w:r>
      <w:r w:rsidR="00A01DD2" w:rsidRPr="00623847">
        <w:t>.</w:t>
      </w:r>
    </w:p>
    <w:p w:rsidR="007029D2" w:rsidRPr="00623847" w:rsidRDefault="007029D2" w:rsidP="00387EC0">
      <w:pPr>
        <w:rPr>
          <w:bCs/>
        </w:rPr>
      </w:pPr>
    </w:p>
    <w:p w:rsidR="007029D2" w:rsidRPr="00C54547" w:rsidRDefault="007029D2" w:rsidP="000221C4">
      <w:pPr>
        <w:keepNext/>
      </w:pPr>
      <w:r w:rsidRPr="00623847">
        <w:rPr>
          <w:b/>
        </w:rPr>
        <w:t>BURDEN HOUR COMPUTATION</w:t>
      </w:r>
      <w:r w:rsidRPr="00623847">
        <w:t xml:space="preserve"> </w:t>
      </w:r>
      <w:r w:rsidRPr="00623847">
        <w:rPr>
          <w:i/>
        </w:rPr>
        <w:t>(Number of respo</w:t>
      </w:r>
      <w:r w:rsidR="004723A4" w:rsidRPr="00623847">
        <w:rPr>
          <w:i/>
        </w:rPr>
        <w:t>nses (X) estimated response time </w:t>
      </w:r>
      <w:r w:rsidRPr="00623847">
        <w:rPr>
          <w:i/>
        </w:rPr>
        <w:t>(/60) = annual burden hours):</w:t>
      </w:r>
    </w:p>
    <w:p w:rsidR="007029D2" w:rsidRPr="00623847" w:rsidRDefault="007029D2" w:rsidP="000221C4">
      <w:pPr>
        <w:keepNext/>
      </w:pPr>
    </w:p>
    <w:p w:rsidR="007029D2" w:rsidRPr="005D519C" w:rsidRDefault="007029D2" w:rsidP="000221C4">
      <w:pPr>
        <w:keepNext/>
        <w:rPr>
          <w:b/>
          <w:bCs/>
        </w:rPr>
      </w:pPr>
      <w:r w:rsidRPr="00623847">
        <w:rPr>
          <w:b/>
          <w:bCs/>
        </w:rPr>
        <w:t>Number of Responses:</w:t>
      </w:r>
      <w:r w:rsidRPr="00623847">
        <w:rPr>
          <w:b/>
          <w:bCs/>
        </w:rPr>
        <w:tab/>
      </w:r>
      <w:r w:rsidR="00403025">
        <w:rPr>
          <w:b/>
          <w:bCs/>
        </w:rPr>
        <w:tab/>
      </w:r>
      <w:r w:rsidR="00C876EF" w:rsidRPr="005D519C">
        <w:rPr>
          <w:bCs/>
        </w:rPr>
        <w:t>1</w:t>
      </w:r>
      <w:r w:rsidR="0015757D" w:rsidRPr="005D519C">
        <w:rPr>
          <w:bCs/>
        </w:rPr>
        <w:t>4</w:t>
      </w:r>
      <w:r w:rsidR="000C7657" w:rsidRPr="005D519C">
        <w:t>,000</w:t>
      </w:r>
    </w:p>
    <w:p w:rsidR="007029D2" w:rsidRPr="005D519C" w:rsidRDefault="007029D2" w:rsidP="008410E1">
      <w:pPr>
        <w:rPr>
          <w:b/>
          <w:bCs/>
        </w:rPr>
      </w:pPr>
      <w:r w:rsidRPr="005D519C">
        <w:rPr>
          <w:b/>
          <w:bCs/>
        </w:rPr>
        <w:t>Estimated Response Time:</w:t>
      </w:r>
      <w:r w:rsidRPr="005D519C">
        <w:rPr>
          <w:b/>
          <w:bCs/>
        </w:rPr>
        <w:tab/>
      </w:r>
      <w:r w:rsidR="00C54547" w:rsidRPr="00C54547">
        <w:rPr>
          <w:bCs/>
        </w:rPr>
        <w:t>5</w:t>
      </w:r>
      <w:r w:rsidR="00C54547">
        <w:t> </w:t>
      </w:r>
      <w:r w:rsidRPr="005D519C">
        <w:t>minutes</w:t>
      </w:r>
      <w:r w:rsidRPr="005D519C">
        <w:rPr>
          <w:b/>
          <w:bCs/>
        </w:rPr>
        <w:t xml:space="preserve"> </w:t>
      </w:r>
    </w:p>
    <w:p w:rsidR="007029D2" w:rsidRPr="00623847" w:rsidRDefault="007029D2" w:rsidP="00EF7F3C">
      <w:pPr>
        <w:rPr>
          <w:b/>
          <w:bCs/>
        </w:rPr>
      </w:pPr>
      <w:r w:rsidRPr="005D519C">
        <w:rPr>
          <w:b/>
          <w:bCs/>
        </w:rPr>
        <w:t>Annual Burden Hours:</w:t>
      </w:r>
      <w:r w:rsidRPr="005D519C">
        <w:rPr>
          <w:b/>
          <w:bCs/>
        </w:rPr>
        <w:tab/>
      </w:r>
      <w:r w:rsidR="00403025">
        <w:rPr>
          <w:b/>
          <w:bCs/>
        </w:rPr>
        <w:tab/>
      </w:r>
      <w:r w:rsidR="00C876EF" w:rsidRPr="005D519C">
        <w:rPr>
          <w:bCs/>
        </w:rPr>
        <w:t>1</w:t>
      </w:r>
      <w:r w:rsidR="00C876EF" w:rsidRPr="005D519C">
        <w:rPr>
          <w:b/>
          <w:bCs/>
        </w:rPr>
        <w:t>,</w:t>
      </w:r>
      <w:r w:rsidR="0015757D" w:rsidRPr="005D519C">
        <w:rPr>
          <w:bCs/>
        </w:rPr>
        <w:t>167</w:t>
      </w:r>
      <w:r w:rsidRPr="005D519C">
        <w:t xml:space="preserve"> hours</w:t>
      </w:r>
      <w:r w:rsidRPr="00623847">
        <w:rPr>
          <w:b/>
          <w:bCs/>
        </w:rPr>
        <w:t xml:space="preserve"> </w:t>
      </w:r>
    </w:p>
    <w:sectPr w:rsidR="007029D2" w:rsidRPr="00623847" w:rsidSect="000F449C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B52" w:rsidRDefault="00E37B52">
      <w:r>
        <w:separator/>
      </w:r>
    </w:p>
  </w:endnote>
  <w:endnote w:type="continuationSeparator" w:id="0">
    <w:p w:rsidR="00E37B52" w:rsidRDefault="00E37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B52" w:rsidRDefault="00E37B52" w:rsidP="00DB5FD6">
    <w:pPr>
      <w:pStyle w:val="Footer"/>
      <w:tabs>
        <w:tab w:val="clear" w:pos="8640"/>
        <w:tab w:val="right" w:pos="9000"/>
      </w:tabs>
      <w:jc w:val="right"/>
      <w:rPr>
        <w:rStyle w:val="PageNumber"/>
        <w:snapToGrid w:val="0"/>
        <w:sz w:val="14"/>
      </w:rPr>
    </w:pPr>
    <w:r>
      <w:rPr>
        <w:rStyle w:val="PageNumber"/>
        <w:snapToGrid w:val="0"/>
        <w:sz w:val="14"/>
      </w:rPr>
      <w:t xml:space="preserve">0960-0526 </w:t>
    </w:r>
    <w:r w:rsidRPr="00BA05FF">
      <w:rPr>
        <w:rStyle w:val="PageNumber"/>
        <w:snapToGrid w:val="0"/>
        <w:sz w:val="14"/>
      </w:rPr>
      <w:t>Generic Clearance</w:t>
    </w:r>
  </w:p>
  <w:p w:rsidR="00E37B52" w:rsidRPr="00BA05FF" w:rsidRDefault="00E37B52" w:rsidP="00AD77E6">
    <w:pPr>
      <w:pStyle w:val="Footer"/>
      <w:tabs>
        <w:tab w:val="clear" w:pos="8640"/>
        <w:tab w:val="right" w:pos="9000"/>
      </w:tabs>
      <w:jc w:val="right"/>
      <w:rPr>
        <w:rStyle w:val="PageNumber"/>
        <w:snapToGrid w:val="0"/>
        <w:sz w:val="14"/>
      </w:rPr>
    </w:pPr>
    <w:r>
      <w:rPr>
        <w:rStyle w:val="PageNumber"/>
        <w:snapToGrid w:val="0"/>
        <w:sz w:val="14"/>
      </w:rPr>
      <w:t>FY 2011</w:t>
    </w:r>
    <w:r w:rsidRPr="00BA05FF">
      <w:rPr>
        <w:rStyle w:val="PageNumber"/>
        <w:snapToGrid w:val="0"/>
        <w:sz w:val="14"/>
      </w:rPr>
      <w:t xml:space="preserve"> </w:t>
    </w:r>
    <w:r>
      <w:rPr>
        <w:rStyle w:val="PageNumber"/>
        <w:snapToGrid w:val="0"/>
        <w:sz w:val="14"/>
      </w:rPr>
      <w:t>Internet Report Card Survey</w:t>
    </w:r>
  </w:p>
  <w:p w:rsidR="00E37B52" w:rsidRDefault="00D6623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E37B52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84C95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B52" w:rsidRDefault="00E37B52">
      <w:r>
        <w:separator/>
      </w:r>
    </w:p>
  </w:footnote>
  <w:footnote w:type="continuationSeparator" w:id="0">
    <w:p w:rsidR="00E37B52" w:rsidRDefault="00E37B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30588"/>
    <w:multiLevelType w:val="hybridMultilevel"/>
    <w:tmpl w:val="C0EEE410"/>
    <w:lvl w:ilvl="0" w:tplc="B08C9A06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">
    <w:nsid w:val="0A11714B"/>
    <w:multiLevelType w:val="hybridMultilevel"/>
    <w:tmpl w:val="2048DBCE"/>
    <w:lvl w:ilvl="0" w:tplc="FC6C7162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92"/>
        </w:tabs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12"/>
        </w:tabs>
        <w:ind w:left="8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32"/>
        </w:tabs>
        <w:ind w:left="8832" w:hanging="360"/>
      </w:pPr>
      <w:rPr>
        <w:rFonts w:ascii="Wingdings" w:hAnsi="Wingdings" w:hint="default"/>
      </w:rPr>
    </w:lvl>
  </w:abstractNum>
  <w:abstractNum w:abstractNumId="4">
    <w:nsid w:val="1A817BB3"/>
    <w:multiLevelType w:val="multilevel"/>
    <w:tmpl w:val="02D4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5">
    <w:nsid w:val="1CFA589B"/>
    <w:multiLevelType w:val="multilevel"/>
    <w:tmpl w:val="02D4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6">
    <w:nsid w:val="23B9207D"/>
    <w:multiLevelType w:val="multilevel"/>
    <w:tmpl w:val="02D4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7">
    <w:nsid w:val="2FF33194"/>
    <w:multiLevelType w:val="hybridMultilevel"/>
    <w:tmpl w:val="92AEA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2546CF"/>
    <w:multiLevelType w:val="multilevel"/>
    <w:tmpl w:val="CE1481B8"/>
    <w:lvl w:ilvl="0">
      <w:start w:val="1"/>
      <w:numFmt w:val="bullet"/>
      <w:lvlText w:val="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494AD9"/>
    <w:multiLevelType w:val="hybridMultilevel"/>
    <w:tmpl w:val="6DD88AC4"/>
    <w:lvl w:ilvl="0" w:tplc="3718F5E0">
      <w:start w:val="1"/>
      <w:numFmt w:val="bullet"/>
      <w:lvlText w:val="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151ABD"/>
    <w:multiLevelType w:val="hybridMultilevel"/>
    <w:tmpl w:val="F754E40E"/>
    <w:lvl w:ilvl="0" w:tplc="3718F5E0">
      <w:start w:val="1"/>
      <w:numFmt w:val="bullet"/>
      <w:lvlText w:val="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FA202F"/>
    <w:multiLevelType w:val="hybridMultilevel"/>
    <w:tmpl w:val="AFDAE83A"/>
    <w:lvl w:ilvl="0" w:tplc="F816EA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84235C"/>
    <w:multiLevelType w:val="hybridMultilevel"/>
    <w:tmpl w:val="7F94DD30"/>
    <w:lvl w:ilvl="0" w:tplc="108AEAFA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3">
    <w:nsid w:val="56A713BA"/>
    <w:multiLevelType w:val="hybridMultilevel"/>
    <w:tmpl w:val="02D4DDD4"/>
    <w:lvl w:ilvl="0" w:tplc="F816E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4">
    <w:nsid w:val="71C845E1"/>
    <w:multiLevelType w:val="hybridMultilevel"/>
    <w:tmpl w:val="F1EA4E08"/>
    <w:lvl w:ilvl="0" w:tplc="3718F5E0">
      <w:start w:val="1"/>
      <w:numFmt w:val="bullet"/>
      <w:lvlText w:val="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600476"/>
    <w:multiLevelType w:val="hybridMultilevel"/>
    <w:tmpl w:val="A04617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2773FD"/>
    <w:multiLevelType w:val="hybridMultilevel"/>
    <w:tmpl w:val="1F38FF58"/>
    <w:lvl w:ilvl="0" w:tplc="02A2770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69551C"/>
    <w:multiLevelType w:val="hybridMultilevel"/>
    <w:tmpl w:val="CE1481B8"/>
    <w:lvl w:ilvl="0" w:tplc="3718F5E0">
      <w:start w:val="1"/>
      <w:numFmt w:val="bullet"/>
      <w:lvlText w:val="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D87064B"/>
    <w:multiLevelType w:val="hybridMultilevel"/>
    <w:tmpl w:val="231E93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8"/>
  </w:num>
  <w:num w:numId="4">
    <w:abstractNumId w:val="10"/>
  </w:num>
  <w:num w:numId="5">
    <w:abstractNumId w:val="9"/>
  </w:num>
  <w:num w:numId="6">
    <w:abstractNumId w:val="14"/>
  </w:num>
  <w:num w:numId="7">
    <w:abstractNumId w:val="17"/>
  </w:num>
  <w:num w:numId="8">
    <w:abstractNumId w:val="8"/>
  </w:num>
  <w:num w:numId="9">
    <w:abstractNumId w:val="11"/>
  </w:num>
  <w:num w:numId="10">
    <w:abstractNumId w:val="13"/>
  </w:num>
  <w:num w:numId="11">
    <w:abstractNumId w:val="15"/>
  </w:num>
  <w:num w:numId="12">
    <w:abstractNumId w:val="6"/>
  </w:num>
  <w:num w:numId="13">
    <w:abstractNumId w:val="1"/>
  </w:num>
  <w:num w:numId="14">
    <w:abstractNumId w:val="4"/>
  </w:num>
  <w:num w:numId="15">
    <w:abstractNumId w:val="12"/>
  </w:num>
  <w:num w:numId="16">
    <w:abstractNumId w:val="5"/>
  </w:num>
  <w:num w:numId="17">
    <w:abstractNumId w:val="2"/>
  </w:num>
  <w:num w:numId="18">
    <w:abstractNumId w:val="16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43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4125"/>
    <w:rsid w:val="00002675"/>
    <w:rsid w:val="000041C1"/>
    <w:rsid w:val="000063EE"/>
    <w:rsid w:val="000067A2"/>
    <w:rsid w:val="00007C7B"/>
    <w:rsid w:val="000150C4"/>
    <w:rsid w:val="00021DF6"/>
    <w:rsid w:val="000221C4"/>
    <w:rsid w:val="000269BF"/>
    <w:rsid w:val="000315AC"/>
    <w:rsid w:val="000355EC"/>
    <w:rsid w:val="0003593F"/>
    <w:rsid w:val="00042238"/>
    <w:rsid w:val="00047B88"/>
    <w:rsid w:val="00050795"/>
    <w:rsid w:val="000552CA"/>
    <w:rsid w:val="00055A35"/>
    <w:rsid w:val="00056B4C"/>
    <w:rsid w:val="00060837"/>
    <w:rsid w:val="00061288"/>
    <w:rsid w:val="0006457D"/>
    <w:rsid w:val="0006737C"/>
    <w:rsid w:val="000864BD"/>
    <w:rsid w:val="00092677"/>
    <w:rsid w:val="00093110"/>
    <w:rsid w:val="00093A5C"/>
    <w:rsid w:val="0009469C"/>
    <w:rsid w:val="000A1360"/>
    <w:rsid w:val="000A2885"/>
    <w:rsid w:val="000A5BC4"/>
    <w:rsid w:val="000B35A4"/>
    <w:rsid w:val="000B68A4"/>
    <w:rsid w:val="000C6259"/>
    <w:rsid w:val="000C7058"/>
    <w:rsid w:val="000C7657"/>
    <w:rsid w:val="000E67CF"/>
    <w:rsid w:val="000F30EE"/>
    <w:rsid w:val="000F4364"/>
    <w:rsid w:val="000F449C"/>
    <w:rsid w:val="0010316C"/>
    <w:rsid w:val="001068AD"/>
    <w:rsid w:val="001117D2"/>
    <w:rsid w:val="00112BF4"/>
    <w:rsid w:val="00122FD0"/>
    <w:rsid w:val="00123027"/>
    <w:rsid w:val="00125B81"/>
    <w:rsid w:val="00126088"/>
    <w:rsid w:val="0013033E"/>
    <w:rsid w:val="00130939"/>
    <w:rsid w:val="001328D9"/>
    <w:rsid w:val="0015757D"/>
    <w:rsid w:val="00162DCE"/>
    <w:rsid w:val="0017516E"/>
    <w:rsid w:val="00184676"/>
    <w:rsid w:val="00184B42"/>
    <w:rsid w:val="00185903"/>
    <w:rsid w:val="001A1AE9"/>
    <w:rsid w:val="001A5B07"/>
    <w:rsid w:val="001A7498"/>
    <w:rsid w:val="001A776D"/>
    <w:rsid w:val="001B38E0"/>
    <w:rsid w:val="001B40F6"/>
    <w:rsid w:val="001B75E4"/>
    <w:rsid w:val="001B7B6A"/>
    <w:rsid w:val="001C5738"/>
    <w:rsid w:val="001D0FE5"/>
    <w:rsid w:val="001D2161"/>
    <w:rsid w:val="001E6EDD"/>
    <w:rsid w:val="001E77FF"/>
    <w:rsid w:val="001F0BA7"/>
    <w:rsid w:val="0020106A"/>
    <w:rsid w:val="00203A55"/>
    <w:rsid w:val="00212B54"/>
    <w:rsid w:val="0021412C"/>
    <w:rsid w:val="00214B40"/>
    <w:rsid w:val="002209F0"/>
    <w:rsid w:val="00221FEF"/>
    <w:rsid w:val="00223A65"/>
    <w:rsid w:val="0022546A"/>
    <w:rsid w:val="00230117"/>
    <w:rsid w:val="002303B3"/>
    <w:rsid w:val="002343CD"/>
    <w:rsid w:val="00235447"/>
    <w:rsid w:val="00240762"/>
    <w:rsid w:val="00243B31"/>
    <w:rsid w:val="002442D9"/>
    <w:rsid w:val="0024517E"/>
    <w:rsid w:val="00245999"/>
    <w:rsid w:val="00246463"/>
    <w:rsid w:val="00246DFB"/>
    <w:rsid w:val="002536E5"/>
    <w:rsid w:val="00263045"/>
    <w:rsid w:val="00266D85"/>
    <w:rsid w:val="002710B2"/>
    <w:rsid w:val="00271F51"/>
    <w:rsid w:val="002728A3"/>
    <w:rsid w:val="002817F1"/>
    <w:rsid w:val="0028664C"/>
    <w:rsid w:val="002905C6"/>
    <w:rsid w:val="002A5F61"/>
    <w:rsid w:val="002A7CCD"/>
    <w:rsid w:val="002B0D0E"/>
    <w:rsid w:val="002B79DD"/>
    <w:rsid w:val="002C03EE"/>
    <w:rsid w:val="002C29C1"/>
    <w:rsid w:val="002C3222"/>
    <w:rsid w:val="002C58D5"/>
    <w:rsid w:val="002D0CCC"/>
    <w:rsid w:val="002D2D03"/>
    <w:rsid w:val="002D40EC"/>
    <w:rsid w:val="002E14B7"/>
    <w:rsid w:val="002E4B62"/>
    <w:rsid w:val="002E6833"/>
    <w:rsid w:val="002F103A"/>
    <w:rsid w:val="002F1799"/>
    <w:rsid w:val="002F3BB1"/>
    <w:rsid w:val="003051DE"/>
    <w:rsid w:val="00307724"/>
    <w:rsid w:val="003144B1"/>
    <w:rsid w:val="00321489"/>
    <w:rsid w:val="00322B85"/>
    <w:rsid w:val="0032522E"/>
    <w:rsid w:val="0032717C"/>
    <w:rsid w:val="00330CBC"/>
    <w:rsid w:val="00337A3F"/>
    <w:rsid w:val="003416B2"/>
    <w:rsid w:val="00342F55"/>
    <w:rsid w:val="00345EFF"/>
    <w:rsid w:val="003534A6"/>
    <w:rsid w:val="0035549F"/>
    <w:rsid w:val="00356CD0"/>
    <w:rsid w:val="00360D4A"/>
    <w:rsid w:val="00362B47"/>
    <w:rsid w:val="003638AA"/>
    <w:rsid w:val="00364E32"/>
    <w:rsid w:val="00365320"/>
    <w:rsid w:val="00370231"/>
    <w:rsid w:val="0037173D"/>
    <w:rsid w:val="0037480E"/>
    <w:rsid w:val="00375DD7"/>
    <w:rsid w:val="00376843"/>
    <w:rsid w:val="0038024E"/>
    <w:rsid w:val="0038261A"/>
    <w:rsid w:val="00387D44"/>
    <w:rsid w:val="00387EC0"/>
    <w:rsid w:val="00397517"/>
    <w:rsid w:val="003A1314"/>
    <w:rsid w:val="003A3173"/>
    <w:rsid w:val="003A6FF3"/>
    <w:rsid w:val="003B084F"/>
    <w:rsid w:val="003B2EEA"/>
    <w:rsid w:val="003C2EB5"/>
    <w:rsid w:val="003C5A86"/>
    <w:rsid w:val="003D093B"/>
    <w:rsid w:val="003D5C2A"/>
    <w:rsid w:val="003D6050"/>
    <w:rsid w:val="003F1436"/>
    <w:rsid w:val="003F23AC"/>
    <w:rsid w:val="003F6530"/>
    <w:rsid w:val="003F6BB5"/>
    <w:rsid w:val="004020DE"/>
    <w:rsid w:val="00403025"/>
    <w:rsid w:val="004100BB"/>
    <w:rsid w:val="0041507B"/>
    <w:rsid w:val="00416317"/>
    <w:rsid w:val="00420033"/>
    <w:rsid w:val="00427611"/>
    <w:rsid w:val="00432BA0"/>
    <w:rsid w:val="0043344A"/>
    <w:rsid w:val="00434363"/>
    <w:rsid w:val="0044212D"/>
    <w:rsid w:val="00445D9C"/>
    <w:rsid w:val="004476B1"/>
    <w:rsid w:val="00452F3B"/>
    <w:rsid w:val="00461340"/>
    <w:rsid w:val="00464F80"/>
    <w:rsid w:val="004723A4"/>
    <w:rsid w:val="004731DA"/>
    <w:rsid w:val="00474D9A"/>
    <w:rsid w:val="0047540B"/>
    <w:rsid w:val="00490B9B"/>
    <w:rsid w:val="00494705"/>
    <w:rsid w:val="00495280"/>
    <w:rsid w:val="004A0C56"/>
    <w:rsid w:val="004A4787"/>
    <w:rsid w:val="004A698A"/>
    <w:rsid w:val="004B0708"/>
    <w:rsid w:val="004B2EF9"/>
    <w:rsid w:val="004B4CD8"/>
    <w:rsid w:val="004B66E6"/>
    <w:rsid w:val="004B6FA8"/>
    <w:rsid w:val="004C23AB"/>
    <w:rsid w:val="004C51A9"/>
    <w:rsid w:val="004C715D"/>
    <w:rsid w:val="004D1DFF"/>
    <w:rsid w:val="004D2DA8"/>
    <w:rsid w:val="004D477B"/>
    <w:rsid w:val="004E2224"/>
    <w:rsid w:val="004E2B5F"/>
    <w:rsid w:val="004E5CC9"/>
    <w:rsid w:val="004F3E59"/>
    <w:rsid w:val="004F5B18"/>
    <w:rsid w:val="00503ACB"/>
    <w:rsid w:val="00506C22"/>
    <w:rsid w:val="00511281"/>
    <w:rsid w:val="00512079"/>
    <w:rsid w:val="00513050"/>
    <w:rsid w:val="005132DA"/>
    <w:rsid w:val="005137AC"/>
    <w:rsid w:val="005138CB"/>
    <w:rsid w:val="00515845"/>
    <w:rsid w:val="00515C29"/>
    <w:rsid w:val="0051607F"/>
    <w:rsid w:val="00522AAD"/>
    <w:rsid w:val="005249BC"/>
    <w:rsid w:val="00531D4C"/>
    <w:rsid w:val="005348F6"/>
    <w:rsid w:val="00541400"/>
    <w:rsid w:val="00553FAC"/>
    <w:rsid w:val="00555E74"/>
    <w:rsid w:val="00556486"/>
    <w:rsid w:val="00567038"/>
    <w:rsid w:val="00567817"/>
    <w:rsid w:val="00571E1A"/>
    <w:rsid w:val="0057391F"/>
    <w:rsid w:val="0057790C"/>
    <w:rsid w:val="00580561"/>
    <w:rsid w:val="00581E7C"/>
    <w:rsid w:val="0058260D"/>
    <w:rsid w:val="005848E4"/>
    <w:rsid w:val="00587896"/>
    <w:rsid w:val="005A1EDA"/>
    <w:rsid w:val="005A3630"/>
    <w:rsid w:val="005A6986"/>
    <w:rsid w:val="005B2609"/>
    <w:rsid w:val="005B7AEF"/>
    <w:rsid w:val="005C2C39"/>
    <w:rsid w:val="005C7C41"/>
    <w:rsid w:val="005D4125"/>
    <w:rsid w:val="005D519C"/>
    <w:rsid w:val="005D7D0B"/>
    <w:rsid w:val="005E05B4"/>
    <w:rsid w:val="005E44E0"/>
    <w:rsid w:val="005E458B"/>
    <w:rsid w:val="005E58AB"/>
    <w:rsid w:val="005F3DD4"/>
    <w:rsid w:val="005F6CC3"/>
    <w:rsid w:val="006076E0"/>
    <w:rsid w:val="00610F7D"/>
    <w:rsid w:val="00611169"/>
    <w:rsid w:val="006124C1"/>
    <w:rsid w:val="0062224B"/>
    <w:rsid w:val="00623847"/>
    <w:rsid w:val="006278EA"/>
    <w:rsid w:val="00631960"/>
    <w:rsid w:val="00631B1A"/>
    <w:rsid w:val="0063333C"/>
    <w:rsid w:val="00635CD5"/>
    <w:rsid w:val="00640B3B"/>
    <w:rsid w:val="0064528A"/>
    <w:rsid w:val="0065234E"/>
    <w:rsid w:val="00652A85"/>
    <w:rsid w:val="00656034"/>
    <w:rsid w:val="00662416"/>
    <w:rsid w:val="00665239"/>
    <w:rsid w:val="00676190"/>
    <w:rsid w:val="00677115"/>
    <w:rsid w:val="00680226"/>
    <w:rsid w:val="00680DB5"/>
    <w:rsid w:val="0068288F"/>
    <w:rsid w:val="006847B7"/>
    <w:rsid w:val="0068736C"/>
    <w:rsid w:val="00691199"/>
    <w:rsid w:val="00691291"/>
    <w:rsid w:val="00691337"/>
    <w:rsid w:val="00692315"/>
    <w:rsid w:val="00692ED2"/>
    <w:rsid w:val="00697179"/>
    <w:rsid w:val="006A48EA"/>
    <w:rsid w:val="006A4C63"/>
    <w:rsid w:val="006A508D"/>
    <w:rsid w:val="006A673B"/>
    <w:rsid w:val="006A7FBD"/>
    <w:rsid w:val="006B0E87"/>
    <w:rsid w:val="006B32B1"/>
    <w:rsid w:val="006B459A"/>
    <w:rsid w:val="006C3697"/>
    <w:rsid w:val="006C60D9"/>
    <w:rsid w:val="006C6A01"/>
    <w:rsid w:val="006D2461"/>
    <w:rsid w:val="006D4DCB"/>
    <w:rsid w:val="006E0D8D"/>
    <w:rsid w:val="006E131A"/>
    <w:rsid w:val="006E2B0B"/>
    <w:rsid w:val="006F314D"/>
    <w:rsid w:val="006F52F4"/>
    <w:rsid w:val="00701902"/>
    <w:rsid w:val="007029D2"/>
    <w:rsid w:val="00707E74"/>
    <w:rsid w:val="00714A49"/>
    <w:rsid w:val="00717016"/>
    <w:rsid w:val="00727296"/>
    <w:rsid w:val="00727D4C"/>
    <w:rsid w:val="00740ED0"/>
    <w:rsid w:val="00742A40"/>
    <w:rsid w:val="00743929"/>
    <w:rsid w:val="007466D3"/>
    <w:rsid w:val="00750C4F"/>
    <w:rsid w:val="00751FDF"/>
    <w:rsid w:val="00755AAF"/>
    <w:rsid w:val="00757FD2"/>
    <w:rsid w:val="0076197F"/>
    <w:rsid w:val="00763A64"/>
    <w:rsid w:val="007650E1"/>
    <w:rsid w:val="00766AB4"/>
    <w:rsid w:val="0077164E"/>
    <w:rsid w:val="00772FAF"/>
    <w:rsid w:val="00774B7A"/>
    <w:rsid w:val="00776B9C"/>
    <w:rsid w:val="00781A97"/>
    <w:rsid w:val="00782A00"/>
    <w:rsid w:val="00785BE0"/>
    <w:rsid w:val="00786F61"/>
    <w:rsid w:val="007A69A6"/>
    <w:rsid w:val="007A6EC0"/>
    <w:rsid w:val="007B0C4A"/>
    <w:rsid w:val="007B10B3"/>
    <w:rsid w:val="007C02D1"/>
    <w:rsid w:val="007C0D5A"/>
    <w:rsid w:val="007C7812"/>
    <w:rsid w:val="007D4DF8"/>
    <w:rsid w:val="007E1F3D"/>
    <w:rsid w:val="007E6DB7"/>
    <w:rsid w:val="007E777D"/>
    <w:rsid w:val="007F5108"/>
    <w:rsid w:val="00800BB0"/>
    <w:rsid w:val="0080701B"/>
    <w:rsid w:val="0081045F"/>
    <w:rsid w:val="008130B9"/>
    <w:rsid w:val="00813B1A"/>
    <w:rsid w:val="00814372"/>
    <w:rsid w:val="0081465B"/>
    <w:rsid w:val="00817CE3"/>
    <w:rsid w:val="008255B2"/>
    <w:rsid w:val="00826B62"/>
    <w:rsid w:val="00827AA6"/>
    <w:rsid w:val="00835DDD"/>
    <w:rsid w:val="00836C75"/>
    <w:rsid w:val="008410E1"/>
    <w:rsid w:val="008508EC"/>
    <w:rsid w:val="00853FEA"/>
    <w:rsid w:val="008542B3"/>
    <w:rsid w:val="00856BF7"/>
    <w:rsid w:val="00857A78"/>
    <w:rsid w:val="008620D4"/>
    <w:rsid w:val="0086669A"/>
    <w:rsid w:val="0087012D"/>
    <w:rsid w:val="00880BF2"/>
    <w:rsid w:val="00882205"/>
    <w:rsid w:val="00882E88"/>
    <w:rsid w:val="00884C18"/>
    <w:rsid w:val="00887B0D"/>
    <w:rsid w:val="008906C9"/>
    <w:rsid w:val="0089198E"/>
    <w:rsid w:val="008A0828"/>
    <w:rsid w:val="008A576D"/>
    <w:rsid w:val="008A67D4"/>
    <w:rsid w:val="008B01AB"/>
    <w:rsid w:val="008B193A"/>
    <w:rsid w:val="008B2D46"/>
    <w:rsid w:val="008B728E"/>
    <w:rsid w:val="008C7C25"/>
    <w:rsid w:val="008D2100"/>
    <w:rsid w:val="008D2EA8"/>
    <w:rsid w:val="008E148F"/>
    <w:rsid w:val="008E658E"/>
    <w:rsid w:val="008F1FE6"/>
    <w:rsid w:val="008F264F"/>
    <w:rsid w:val="009014C5"/>
    <w:rsid w:val="009018CC"/>
    <w:rsid w:val="00902684"/>
    <w:rsid w:val="00903C62"/>
    <w:rsid w:val="00905526"/>
    <w:rsid w:val="00906F60"/>
    <w:rsid w:val="00907EBF"/>
    <w:rsid w:val="00913320"/>
    <w:rsid w:val="00913918"/>
    <w:rsid w:val="00914C83"/>
    <w:rsid w:val="00917315"/>
    <w:rsid w:val="009252BA"/>
    <w:rsid w:val="009325CC"/>
    <w:rsid w:val="00933589"/>
    <w:rsid w:val="00933E94"/>
    <w:rsid w:val="00941797"/>
    <w:rsid w:val="00942B2C"/>
    <w:rsid w:val="00950F58"/>
    <w:rsid w:val="0095445B"/>
    <w:rsid w:val="00962CE7"/>
    <w:rsid w:val="0096408B"/>
    <w:rsid w:val="00964C41"/>
    <w:rsid w:val="00966D6C"/>
    <w:rsid w:val="0097059A"/>
    <w:rsid w:val="0098250E"/>
    <w:rsid w:val="00991590"/>
    <w:rsid w:val="009B673F"/>
    <w:rsid w:val="009C55C1"/>
    <w:rsid w:val="009C6134"/>
    <w:rsid w:val="009D0380"/>
    <w:rsid w:val="009D4CFB"/>
    <w:rsid w:val="009D6932"/>
    <w:rsid w:val="009D6B8C"/>
    <w:rsid w:val="009E0730"/>
    <w:rsid w:val="009E2D93"/>
    <w:rsid w:val="009E2E4F"/>
    <w:rsid w:val="009E4E2A"/>
    <w:rsid w:val="009E59F1"/>
    <w:rsid w:val="009E5D2F"/>
    <w:rsid w:val="009F3D73"/>
    <w:rsid w:val="009F5182"/>
    <w:rsid w:val="00A015A7"/>
    <w:rsid w:val="00A01DD2"/>
    <w:rsid w:val="00A0469B"/>
    <w:rsid w:val="00A06C2A"/>
    <w:rsid w:val="00A17AFD"/>
    <w:rsid w:val="00A221AC"/>
    <w:rsid w:val="00A278B3"/>
    <w:rsid w:val="00A36E7D"/>
    <w:rsid w:val="00A40BA8"/>
    <w:rsid w:val="00A434C4"/>
    <w:rsid w:val="00A4565B"/>
    <w:rsid w:val="00A46617"/>
    <w:rsid w:val="00A47AC4"/>
    <w:rsid w:val="00A503B1"/>
    <w:rsid w:val="00A5314B"/>
    <w:rsid w:val="00A56194"/>
    <w:rsid w:val="00A614A7"/>
    <w:rsid w:val="00A67BFF"/>
    <w:rsid w:val="00A72792"/>
    <w:rsid w:val="00A7703E"/>
    <w:rsid w:val="00A77D55"/>
    <w:rsid w:val="00A84884"/>
    <w:rsid w:val="00A84C95"/>
    <w:rsid w:val="00A84F77"/>
    <w:rsid w:val="00A9369E"/>
    <w:rsid w:val="00A979AA"/>
    <w:rsid w:val="00AA15C3"/>
    <w:rsid w:val="00AA1FE1"/>
    <w:rsid w:val="00AA4835"/>
    <w:rsid w:val="00AA560D"/>
    <w:rsid w:val="00AA64BC"/>
    <w:rsid w:val="00AB027C"/>
    <w:rsid w:val="00AB11E8"/>
    <w:rsid w:val="00AB4493"/>
    <w:rsid w:val="00AB735C"/>
    <w:rsid w:val="00AC7790"/>
    <w:rsid w:val="00AD0C44"/>
    <w:rsid w:val="00AD2431"/>
    <w:rsid w:val="00AD77E6"/>
    <w:rsid w:val="00AD7B14"/>
    <w:rsid w:val="00AE0E7F"/>
    <w:rsid w:val="00AE37A0"/>
    <w:rsid w:val="00AF2712"/>
    <w:rsid w:val="00AF7680"/>
    <w:rsid w:val="00AF7A0D"/>
    <w:rsid w:val="00B071A6"/>
    <w:rsid w:val="00B07D92"/>
    <w:rsid w:val="00B15A3D"/>
    <w:rsid w:val="00B16D6D"/>
    <w:rsid w:val="00B21711"/>
    <w:rsid w:val="00B23671"/>
    <w:rsid w:val="00B24BBA"/>
    <w:rsid w:val="00B276FC"/>
    <w:rsid w:val="00B3099A"/>
    <w:rsid w:val="00B347B0"/>
    <w:rsid w:val="00B348CA"/>
    <w:rsid w:val="00B37D08"/>
    <w:rsid w:val="00B5181D"/>
    <w:rsid w:val="00B54988"/>
    <w:rsid w:val="00B55D2C"/>
    <w:rsid w:val="00B652F8"/>
    <w:rsid w:val="00B70AC6"/>
    <w:rsid w:val="00B712C3"/>
    <w:rsid w:val="00B81792"/>
    <w:rsid w:val="00B8590E"/>
    <w:rsid w:val="00B94369"/>
    <w:rsid w:val="00B952E4"/>
    <w:rsid w:val="00B97D37"/>
    <w:rsid w:val="00BA05FF"/>
    <w:rsid w:val="00BA162C"/>
    <w:rsid w:val="00BA4581"/>
    <w:rsid w:val="00BA7307"/>
    <w:rsid w:val="00BA7943"/>
    <w:rsid w:val="00BB2E42"/>
    <w:rsid w:val="00BC4A41"/>
    <w:rsid w:val="00BC4E38"/>
    <w:rsid w:val="00BC535B"/>
    <w:rsid w:val="00BD1033"/>
    <w:rsid w:val="00BE63CA"/>
    <w:rsid w:val="00BF156F"/>
    <w:rsid w:val="00BF1771"/>
    <w:rsid w:val="00C1311C"/>
    <w:rsid w:val="00C204F3"/>
    <w:rsid w:val="00C26D62"/>
    <w:rsid w:val="00C30802"/>
    <w:rsid w:val="00C3172E"/>
    <w:rsid w:val="00C332E0"/>
    <w:rsid w:val="00C34D60"/>
    <w:rsid w:val="00C43635"/>
    <w:rsid w:val="00C509A9"/>
    <w:rsid w:val="00C50E09"/>
    <w:rsid w:val="00C5128F"/>
    <w:rsid w:val="00C54547"/>
    <w:rsid w:val="00C64B00"/>
    <w:rsid w:val="00C6650B"/>
    <w:rsid w:val="00C705A4"/>
    <w:rsid w:val="00C72BCB"/>
    <w:rsid w:val="00C72E64"/>
    <w:rsid w:val="00C76888"/>
    <w:rsid w:val="00C77305"/>
    <w:rsid w:val="00C842BE"/>
    <w:rsid w:val="00C85909"/>
    <w:rsid w:val="00C876EF"/>
    <w:rsid w:val="00CA3810"/>
    <w:rsid w:val="00CA54D9"/>
    <w:rsid w:val="00CA670F"/>
    <w:rsid w:val="00CA7595"/>
    <w:rsid w:val="00CB20E9"/>
    <w:rsid w:val="00CB359A"/>
    <w:rsid w:val="00CC0D32"/>
    <w:rsid w:val="00CD1628"/>
    <w:rsid w:val="00CD1B52"/>
    <w:rsid w:val="00CD2A57"/>
    <w:rsid w:val="00CD3E47"/>
    <w:rsid w:val="00CD5867"/>
    <w:rsid w:val="00CE36FE"/>
    <w:rsid w:val="00CF1AC9"/>
    <w:rsid w:val="00D1797D"/>
    <w:rsid w:val="00D22C79"/>
    <w:rsid w:val="00D34577"/>
    <w:rsid w:val="00D4517B"/>
    <w:rsid w:val="00D473F5"/>
    <w:rsid w:val="00D475CD"/>
    <w:rsid w:val="00D51C76"/>
    <w:rsid w:val="00D54576"/>
    <w:rsid w:val="00D56DD0"/>
    <w:rsid w:val="00D644F3"/>
    <w:rsid w:val="00D66237"/>
    <w:rsid w:val="00D673DC"/>
    <w:rsid w:val="00D77C8C"/>
    <w:rsid w:val="00D81F73"/>
    <w:rsid w:val="00D82596"/>
    <w:rsid w:val="00D82CB6"/>
    <w:rsid w:val="00D87AD3"/>
    <w:rsid w:val="00D87D04"/>
    <w:rsid w:val="00D93F57"/>
    <w:rsid w:val="00DA1005"/>
    <w:rsid w:val="00DA6C0E"/>
    <w:rsid w:val="00DA7A24"/>
    <w:rsid w:val="00DB154E"/>
    <w:rsid w:val="00DB1A23"/>
    <w:rsid w:val="00DB28BC"/>
    <w:rsid w:val="00DB4153"/>
    <w:rsid w:val="00DB5FD6"/>
    <w:rsid w:val="00DC0150"/>
    <w:rsid w:val="00DC119C"/>
    <w:rsid w:val="00DD0060"/>
    <w:rsid w:val="00DE1919"/>
    <w:rsid w:val="00DE6D22"/>
    <w:rsid w:val="00DF4588"/>
    <w:rsid w:val="00DF71C3"/>
    <w:rsid w:val="00E1624B"/>
    <w:rsid w:val="00E22CE8"/>
    <w:rsid w:val="00E3001F"/>
    <w:rsid w:val="00E37B52"/>
    <w:rsid w:val="00E37EC6"/>
    <w:rsid w:val="00E40455"/>
    <w:rsid w:val="00E41776"/>
    <w:rsid w:val="00E43EAD"/>
    <w:rsid w:val="00E45D1B"/>
    <w:rsid w:val="00E4757D"/>
    <w:rsid w:val="00E508BF"/>
    <w:rsid w:val="00E529DE"/>
    <w:rsid w:val="00E56C95"/>
    <w:rsid w:val="00E60440"/>
    <w:rsid w:val="00E638F4"/>
    <w:rsid w:val="00E63A2D"/>
    <w:rsid w:val="00E65AD9"/>
    <w:rsid w:val="00E7447A"/>
    <w:rsid w:val="00E751BA"/>
    <w:rsid w:val="00E76271"/>
    <w:rsid w:val="00E769A5"/>
    <w:rsid w:val="00E813BC"/>
    <w:rsid w:val="00E8249D"/>
    <w:rsid w:val="00E9112B"/>
    <w:rsid w:val="00E9128F"/>
    <w:rsid w:val="00EA3BA4"/>
    <w:rsid w:val="00EA4373"/>
    <w:rsid w:val="00EA7316"/>
    <w:rsid w:val="00EB0F12"/>
    <w:rsid w:val="00EB4AB5"/>
    <w:rsid w:val="00EB5064"/>
    <w:rsid w:val="00EC09D5"/>
    <w:rsid w:val="00EC1DEC"/>
    <w:rsid w:val="00EC2196"/>
    <w:rsid w:val="00EC3D29"/>
    <w:rsid w:val="00ED2193"/>
    <w:rsid w:val="00ED221A"/>
    <w:rsid w:val="00EF0E79"/>
    <w:rsid w:val="00EF7F3C"/>
    <w:rsid w:val="00F104EA"/>
    <w:rsid w:val="00F10A12"/>
    <w:rsid w:val="00F11E3D"/>
    <w:rsid w:val="00F14A00"/>
    <w:rsid w:val="00F25EEB"/>
    <w:rsid w:val="00F2759E"/>
    <w:rsid w:val="00F30765"/>
    <w:rsid w:val="00F30F61"/>
    <w:rsid w:val="00F32577"/>
    <w:rsid w:val="00F32C2D"/>
    <w:rsid w:val="00F32DF0"/>
    <w:rsid w:val="00F369B3"/>
    <w:rsid w:val="00F467EB"/>
    <w:rsid w:val="00F51FC7"/>
    <w:rsid w:val="00F557A8"/>
    <w:rsid w:val="00F57454"/>
    <w:rsid w:val="00F635FA"/>
    <w:rsid w:val="00F67338"/>
    <w:rsid w:val="00F70650"/>
    <w:rsid w:val="00F71A9E"/>
    <w:rsid w:val="00F738F5"/>
    <w:rsid w:val="00F744B6"/>
    <w:rsid w:val="00F74788"/>
    <w:rsid w:val="00F81388"/>
    <w:rsid w:val="00F81F50"/>
    <w:rsid w:val="00F83074"/>
    <w:rsid w:val="00F90BD3"/>
    <w:rsid w:val="00F959C0"/>
    <w:rsid w:val="00FA031B"/>
    <w:rsid w:val="00FB02F3"/>
    <w:rsid w:val="00FB306A"/>
    <w:rsid w:val="00FD6968"/>
    <w:rsid w:val="00FD714A"/>
    <w:rsid w:val="00FE4C1A"/>
    <w:rsid w:val="00FE5F6B"/>
    <w:rsid w:val="00FE64BB"/>
    <w:rsid w:val="00FE7440"/>
    <w:rsid w:val="00FF1DBE"/>
    <w:rsid w:val="00FF3DB9"/>
    <w:rsid w:val="00FF4A04"/>
    <w:rsid w:val="00FF5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680226"/>
    <w:pPr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link w:val="BodyTextIndentChar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2D0CCC"/>
    <w:rPr>
      <w:sz w:val="24"/>
      <w:szCs w:val="24"/>
      <w:lang w:eastAsia="zh-CN"/>
    </w:rPr>
  </w:style>
  <w:style w:type="character" w:styleId="Hyperlink">
    <w:name w:val="Hyperlink"/>
    <w:basedOn w:val="DefaultParagraphFont"/>
    <w:rsid w:val="00D54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59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1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B0138-EE1E-4757-9E23-C70D328E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1422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S1KE3</vt:lpstr>
    </vt:vector>
  </TitlesOfParts>
  <Company>Social Security Administration</Company>
  <LinksUpToDate>false</LinksUpToDate>
  <CharactersWithSpaces>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S1KE3</dc:title>
  <dc:creator>294880</dc:creator>
  <cp:lastModifiedBy>889123</cp:lastModifiedBy>
  <cp:revision>3</cp:revision>
  <cp:lastPrinted>2010-06-21T13:27:00Z</cp:lastPrinted>
  <dcterms:created xsi:type="dcterms:W3CDTF">2010-07-02T14:18:00Z</dcterms:created>
  <dcterms:modified xsi:type="dcterms:W3CDTF">2010-07-02T14:18:00Z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-822683275</vt:i4>
  </property>
  <property fmtid="{D5CDD505-2E9C-101B-9397-08002B2CF9AE}" pid="3" name="_ReviewCycleID">
    <vt:i4>-822683275</vt:i4>
  </property>
  <property fmtid="{D5CDD505-2E9C-101B-9397-08002B2CF9AE}" pid="4" name="_NewReviewCycle">
    <vt:lpwstr/>
  </property>
  <property fmtid="{D5CDD505-2E9C-101B-9397-08002B2CF9AE}" pid="5" name="_EmailSubject">
    <vt:lpwstr>FY 2011 Internet Report Card Survey Description for OMB comments (2)</vt:lpwstr>
  </property>
  <property fmtid="{D5CDD505-2E9C-101B-9397-08002B2CF9AE}" pid="6" name="_AuthorEmail">
    <vt:lpwstr>Sharon.Redding@ssa.gov</vt:lpwstr>
  </property>
  <property fmtid="{D5CDD505-2E9C-101B-9397-08002B2CF9AE}" pid="7" name="_AuthorEmailDisplayName">
    <vt:lpwstr>Redding, Sharon</vt:lpwstr>
  </property>
  <property fmtid="{D5CDD505-2E9C-101B-9397-08002B2CF9AE}" pid="8" name="_EmailEntryID">
    <vt:lpwstr>000000007C3610E99117D411AF414000501FFCD00700B0FE848199CED111AED24000501FFCD000000216700F000005816A60EEBCCF48883DBF9515D9BE4C00079FEEB0720000</vt:lpwstr>
  </property>
  <property fmtid="{D5CDD505-2E9C-101B-9397-08002B2CF9AE}" pid="9" name="_EmailStoreID">
    <vt:lpwstr>0000000038A1BB1005E5101AA1BB08002B2A56C200006D737073742E646C6C00000000004E495441F9BFB80100AA0037D96E000000503A5C6D61696C646174615C6F75746C6F6F6B2E70737400</vt:lpwstr>
  </property>
  <property fmtid="{D5CDD505-2E9C-101B-9397-08002B2CF9AE}" pid="10" name="_AdHocReviewCycleID">
    <vt:i4>-822683275</vt:i4>
  </property>
  <property fmtid="{D5CDD505-2E9C-101B-9397-08002B2CF9AE}" pid="11" name="_PreviousAdHocReviewCycleID">
    <vt:i4>-1210478850</vt:i4>
  </property>
  <property fmtid="{D5CDD505-2E9C-101B-9397-08002B2CF9AE}" pid="12" name="_EmailStoreID0">
    <vt:lpwstr>0000000038A1BB1005E5101AA1BB08002B2A56C20000454D534D44422E444C4C00000000000000001B55FA20AA6611CD9BC800AA002FC45A0C00000048512D4D422D3031002F6F3D536F6369616C2053656375726974792041646D696E697374726174696F6E2F6F753D48512F636E3D526563697069656E747320485120444</vt:lpwstr>
  </property>
  <property fmtid="{D5CDD505-2E9C-101B-9397-08002B2CF9AE}" pid="13" name="_EmailStoreID1">
    <vt:lpwstr>346414D2F636E3D526F62796E2050726F63746F7200</vt:lpwstr>
  </property>
  <property fmtid="{D5CDD505-2E9C-101B-9397-08002B2CF9AE}" pid="14" name="_ReviewingToolsShownOnce">
    <vt:lpwstr/>
  </property>
</Properties>
</file>