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D2" w:rsidRDefault="005E3FD2" w:rsidP="005E3FD2">
      <w:pPr>
        <w:jc w:val="center"/>
        <w:rPr>
          <w:b/>
          <w:sz w:val="28"/>
          <w:szCs w:val="28"/>
        </w:rPr>
      </w:pPr>
      <w:r>
        <w:rPr>
          <w:b/>
          <w:sz w:val="28"/>
          <w:szCs w:val="28"/>
        </w:rPr>
        <w:t>Sub-Table of Contents</w:t>
      </w:r>
      <w:r w:rsidRPr="007B3EE9">
        <w:t xml:space="preserve"> </w:t>
      </w:r>
    </w:p>
    <w:p w:rsidR="005E3FD2" w:rsidRPr="007B3EE9" w:rsidRDefault="005E3FD2" w:rsidP="005E3FD2">
      <w:pPr>
        <w:jc w:val="center"/>
        <w:rPr>
          <w:b/>
          <w:sz w:val="28"/>
          <w:szCs w:val="28"/>
        </w:rPr>
      </w:pPr>
      <w:r>
        <w:rPr>
          <w:b/>
          <w:sz w:val="28"/>
          <w:szCs w:val="28"/>
        </w:rPr>
        <w:t>Important Statutory and Regulatory Provisions</w:t>
      </w:r>
    </w:p>
    <w:p w:rsidR="005E3FD2" w:rsidRDefault="005E3FD2" w:rsidP="005E3FD2"/>
    <w:tbl>
      <w:tblPr>
        <w:tblStyle w:val="TableGrid"/>
        <w:tblW w:w="0" w:type="auto"/>
        <w:tblLook w:val="01E0"/>
      </w:tblPr>
      <w:tblGrid>
        <w:gridCol w:w="7974"/>
        <w:gridCol w:w="1602"/>
      </w:tblGrid>
      <w:tr w:rsidR="005E3FD2" w:rsidTr="005E3FD2">
        <w:tc>
          <w:tcPr>
            <w:tcW w:w="7974" w:type="dxa"/>
          </w:tcPr>
          <w:p w:rsidR="005E3FD2" w:rsidRDefault="005E3FD2" w:rsidP="005E3FD2">
            <w:pPr>
              <w:rPr>
                <w:b/>
              </w:rPr>
            </w:pPr>
            <w:r>
              <w:rPr>
                <w:b/>
              </w:rPr>
              <w:t>Statute or Regulation</w:t>
            </w:r>
          </w:p>
          <w:p w:rsidR="005E3FD2" w:rsidRPr="00E13C59" w:rsidRDefault="005E3FD2" w:rsidP="005E3FD2">
            <w:pPr>
              <w:rPr>
                <w:b/>
              </w:rPr>
            </w:pPr>
          </w:p>
        </w:tc>
        <w:tc>
          <w:tcPr>
            <w:tcW w:w="1602" w:type="dxa"/>
          </w:tcPr>
          <w:p w:rsidR="005E3FD2" w:rsidRDefault="005E3FD2" w:rsidP="005E3FD2">
            <w:pPr>
              <w:jc w:val="center"/>
              <w:rPr>
                <w:b/>
              </w:rPr>
            </w:pPr>
            <w:r>
              <w:rPr>
                <w:b/>
              </w:rPr>
              <w:t>Order</w:t>
            </w:r>
          </w:p>
          <w:p w:rsidR="005E3FD2" w:rsidRPr="00E13C59" w:rsidRDefault="005E3FD2" w:rsidP="005E3FD2">
            <w:pPr>
              <w:rPr>
                <w:b/>
              </w:rPr>
            </w:pPr>
          </w:p>
        </w:tc>
      </w:tr>
      <w:tr w:rsidR="005E3FD2" w:rsidTr="005E3FD2">
        <w:tc>
          <w:tcPr>
            <w:tcW w:w="7974" w:type="dxa"/>
          </w:tcPr>
          <w:p w:rsidR="005E3FD2" w:rsidRPr="00261D91" w:rsidRDefault="005E3FD2" w:rsidP="005E3FD2">
            <w:r>
              <w:t>Excessive Speculation – 7 USC 6a (CEA Section 4a)</w:t>
            </w:r>
          </w:p>
        </w:tc>
        <w:tc>
          <w:tcPr>
            <w:tcW w:w="1602" w:type="dxa"/>
          </w:tcPr>
          <w:p w:rsidR="005E3FD2" w:rsidRDefault="005E3FD2" w:rsidP="005E3FD2">
            <w:pPr>
              <w:jc w:val="center"/>
              <w:rPr>
                <w:b/>
              </w:rPr>
            </w:pPr>
            <w:r>
              <w:rPr>
                <w:b/>
              </w:rPr>
              <w:t>1</w:t>
            </w:r>
            <w:r w:rsidRPr="008B001C">
              <w:rPr>
                <w:b/>
                <w:vertAlign w:val="superscript"/>
              </w:rPr>
              <w:t>st</w:t>
            </w:r>
          </w:p>
          <w:p w:rsidR="005E3FD2" w:rsidRPr="00E13C59" w:rsidRDefault="005E3FD2" w:rsidP="005E3FD2">
            <w:pPr>
              <w:rPr>
                <w:b/>
              </w:rPr>
            </w:pPr>
          </w:p>
        </w:tc>
      </w:tr>
      <w:tr w:rsidR="005E3FD2" w:rsidTr="005E3FD2">
        <w:tc>
          <w:tcPr>
            <w:tcW w:w="7974" w:type="dxa"/>
          </w:tcPr>
          <w:p w:rsidR="005E3FD2" w:rsidRDefault="005E3FD2" w:rsidP="005E3FD2">
            <w:r>
              <w:t xml:space="preserve">Definitions:  Bona Fide Hedge – 17 CFR 1.3(z) </w:t>
            </w:r>
          </w:p>
          <w:p w:rsidR="005E3FD2" w:rsidRPr="00261D91" w:rsidRDefault="005E3FD2" w:rsidP="005E3FD2"/>
        </w:tc>
        <w:tc>
          <w:tcPr>
            <w:tcW w:w="1602" w:type="dxa"/>
          </w:tcPr>
          <w:p w:rsidR="005E3FD2" w:rsidRPr="00E13C59" w:rsidRDefault="005E3FD2" w:rsidP="005E3FD2">
            <w:pPr>
              <w:jc w:val="center"/>
              <w:rPr>
                <w:b/>
              </w:rPr>
            </w:pPr>
            <w:r>
              <w:rPr>
                <w:b/>
              </w:rPr>
              <w:t>2</w:t>
            </w:r>
            <w:r w:rsidRPr="008B001C">
              <w:rPr>
                <w:b/>
                <w:vertAlign w:val="superscript"/>
              </w:rPr>
              <w:t>nd</w:t>
            </w:r>
            <w:r>
              <w:rPr>
                <w:b/>
              </w:rPr>
              <w:t xml:space="preserve"> </w:t>
            </w:r>
          </w:p>
        </w:tc>
      </w:tr>
      <w:tr w:rsidR="005E3FD2" w:rsidTr="005E3FD2">
        <w:tc>
          <w:tcPr>
            <w:tcW w:w="7974" w:type="dxa"/>
          </w:tcPr>
          <w:p w:rsidR="005E3FD2" w:rsidRDefault="005E3FD2" w:rsidP="005E3FD2">
            <w:r>
              <w:t>Requirements for Classification of Purchase or Sales of Contracts for Future Delivery as Bona Fide Hedging Under Section 1.3(z)(3) of the Regulations – 17 CFR 1.47</w:t>
            </w:r>
          </w:p>
          <w:p w:rsidR="005E3FD2" w:rsidRPr="003F7C8F" w:rsidRDefault="005E3FD2" w:rsidP="005E3FD2"/>
        </w:tc>
        <w:tc>
          <w:tcPr>
            <w:tcW w:w="1602" w:type="dxa"/>
          </w:tcPr>
          <w:p w:rsidR="005E3FD2" w:rsidRPr="00E13C59" w:rsidRDefault="005E3FD2" w:rsidP="005E3FD2">
            <w:pPr>
              <w:jc w:val="center"/>
              <w:rPr>
                <w:b/>
              </w:rPr>
            </w:pPr>
            <w:r>
              <w:rPr>
                <w:b/>
              </w:rPr>
              <w:t>3</w:t>
            </w:r>
            <w:r w:rsidRPr="008B001C">
              <w:rPr>
                <w:b/>
                <w:vertAlign w:val="superscript"/>
              </w:rPr>
              <w:t>rd</w:t>
            </w:r>
          </w:p>
        </w:tc>
      </w:tr>
      <w:tr w:rsidR="005E3FD2" w:rsidTr="005E3FD2">
        <w:tc>
          <w:tcPr>
            <w:tcW w:w="7974" w:type="dxa"/>
          </w:tcPr>
          <w:p w:rsidR="005E3FD2" w:rsidRDefault="005E3FD2" w:rsidP="005E3FD2">
            <w:r>
              <w:t>Requirements for Classification of Sales or Purchase for Future Delivery as Bona Fide Hedging of Unsold Anticipated Production or Unfilled Anticipated Requirements Under Section 1.3(z)(2)(</w:t>
            </w:r>
            <w:proofErr w:type="spellStart"/>
            <w:r>
              <w:t>i</w:t>
            </w:r>
            <w:proofErr w:type="spellEnd"/>
            <w:r>
              <w:t>)(B) or (ii)(C) of the Regulations – 17 CFR 1.48</w:t>
            </w:r>
          </w:p>
          <w:p w:rsidR="005E3FD2" w:rsidRPr="003F7C8F" w:rsidRDefault="005E3FD2" w:rsidP="005E3FD2"/>
        </w:tc>
        <w:tc>
          <w:tcPr>
            <w:tcW w:w="1602" w:type="dxa"/>
          </w:tcPr>
          <w:p w:rsidR="005E3FD2" w:rsidRPr="00E13C59" w:rsidRDefault="005E3FD2" w:rsidP="005E3FD2">
            <w:pPr>
              <w:jc w:val="center"/>
              <w:rPr>
                <w:b/>
              </w:rPr>
            </w:pPr>
            <w:r>
              <w:rPr>
                <w:b/>
              </w:rPr>
              <w:t>4</w:t>
            </w:r>
            <w:r w:rsidRPr="008B001C">
              <w:rPr>
                <w:b/>
                <w:vertAlign w:val="superscript"/>
              </w:rPr>
              <w:t>th</w:t>
            </w:r>
          </w:p>
        </w:tc>
      </w:tr>
      <w:tr w:rsidR="005E3FD2" w:rsidTr="005E3FD2">
        <w:tc>
          <w:tcPr>
            <w:tcW w:w="7974" w:type="dxa"/>
          </w:tcPr>
          <w:p w:rsidR="005E3FD2" w:rsidRDefault="005E3FD2" w:rsidP="005E3FD2">
            <w:r>
              <w:t>Limits on Positions – 17 CFR part 150 (Regulation 150.2 contains the CFTC-set position limits)</w:t>
            </w:r>
          </w:p>
          <w:p w:rsidR="005E3FD2" w:rsidRDefault="005E3FD2" w:rsidP="005E3FD2"/>
        </w:tc>
        <w:tc>
          <w:tcPr>
            <w:tcW w:w="1602" w:type="dxa"/>
          </w:tcPr>
          <w:p w:rsidR="005E3FD2" w:rsidRPr="00107308" w:rsidRDefault="005E3FD2" w:rsidP="005E3FD2">
            <w:pPr>
              <w:jc w:val="center"/>
              <w:rPr>
                <w:b/>
              </w:rPr>
            </w:pPr>
            <w:r w:rsidRPr="00107308">
              <w:rPr>
                <w:b/>
              </w:rPr>
              <w:t>5</w:t>
            </w:r>
            <w:r w:rsidRPr="008B001C">
              <w:rPr>
                <w:b/>
                <w:vertAlign w:val="superscript"/>
              </w:rPr>
              <w:t>th</w:t>
            </w:r>
          </w:p>
        </w:tc>
      </w:tr>
      <w:tr w:rsidR="005E3FD2" w:rsidTr="005E3FD2">
        <w:tc>
          <w:tcPr>
            <w:tcW w:w="7974" w:type="dxa"/>
          </w:tcPr>
          <w:p w:rsidR="005E3FD2" w:rsidRDefault="005E3FD2" w:rsidP="005E3FD2">
            <w:r>
              <w:t>Core Principle 5, Position limitations and accountability – 7 USC 7(d)(5) (CEA Section 5(d)(5))</w:t>
            </w:r>
          </w:p>
          <w:p w:rsidR="005E3FD2" w:rsidRDefault="005E3FD2" w:rsidP="005E3FD2"/>
        </w:tc>
        <w:tc>
          <w:tcPr>
            <w:tcW w:w="1602" w:type="dxa"/>
          </w:tcPr>
          <w:p w:rsidR="005E3FD2" w:rsidRPr="00107308" w:rsidRDefault="005E3FD2" w:rsidP="005E3FD2">
            <w:pPr>
              <w:jc w:val="center"/>
              <w:rPr>
                <w:b/>
              </w:rPr>
            </w:pPr>
            <w:r>
              <w:rPr>
                <w:b/>
              </w:rPr>
              <w:t>6</w:t>
            </w:r>
            <w:r w:rsidRPr="008B001C">
              <w:rPr>
                <w:b/>
                <w:vertAlign w:val="superscript"/>
              </w:rPr>
              <w:t>th</w:t>
            </w:r>
          </w:p>
        </w:tc>
      </w:tr>
      <w:tr w:rsidR="005E3FD2" w:rsidTr="005E3FD2">
        <w:tc>
          <w:tcPr>
            <w:tcW w:w="7974" w:type="dxa"/>
          </w:tcPr>
          <w:p w:rsidR="005E3FD2" w:rsidRDefault="005E3FD2" w:rsidP="005E3FD2">
            <w:r>
              <w:t>Guidance on, and Acceptable Practices In, Compliance with Core Principle 5 – 17 CFR part 38, Appendix B</w:t>
            </w:r>
          </w:p>
          <w:p w:rsidR="005E3FD2" w:rsidRDefault="005E3FD2" w:rsidP="005E3FD2"/>
        </w:tc>
        <w:tc>
          <w:tcPr>
            <w:tcW w:w="1602" w:type="dxa"/>
          </w:tcPr>
          <w:p w:rsidR="005E3FD2" w:rsidRPr="00107308" w:rsidRDefault="005E3FD2" w:rsidP="005E3FD2">
            <w:pPr>
              <w:jc w:val="center"/>
              <w:rPr>
                <w:b/>
              </w:rPr>
            </w:pPr>
            <w:r>
              <w:rPr>
                <w:b/>
              </w:rPr>
              <w:t>7</w:t>
            </w:r>
            <w:r w:rsidRPr="008B001C">
              <w:rPr>
                <w:b/>
                <w:vertAlign w:val="superscript"/>
              </w:rPr>
              <w:t>th</w:t>
            </w:r>
          </w:p>
        </w:tc>
      </w:tr>
    </w:tbl>
    <w:p w:rsidR="00AF381C" w:rsidRDefault="00AF381C"/>
    <w:p w:rsidR="007A66F4" w:rsidRPr="00AF381C" w:rsidRDefault="00AF381C" w:rsidP="00AF381C">
      <w:pPr>
        <w:sectPr w:rsidR="007A66F4" w:rsidRPr="00AF381C">
          <w:headerReference w:type="default" r:id="rId6"/>
          <w:footerReference w:type="default" r:id="rId7"/>
          <w:pgSz w:w="12240" w:h="15840"/>
          <w:pgMar w:top="3024" w:right="1440" w:bottom="1800" w:left="1440" w:header="720" w:footer="720" w:gutter="0"/>
          <w:pgNumType w:start="1"/>
          <w:cols w:space="720"/>
          <w:noEndnote/>
        </w:sectPr>
      </w:pPr>
      <w:r>
        <w:br w:type="page"/>
      </w:r>
    </w:p>
    <w:p w:rsidR="007A66F4" w:rsidRDefault="007A66F4">
      <w:pPr>
        <w:widowControl w:val="0"/>
        <w:autoSpaceDE w:val="0"/>
        <w:autoSpaceDN w:val="0"/>
        <w:adjustRightInd w:val="0"/>
        <w:spacing w:after="0" w:line="240" w:lineRule="auto"/>
        <w:rPr>
          <w:rFonts w:ascii="Times New Roman" w:hAnsi="Times New Roman" w:cs="Times New Roman"/>
          <w:sz w:val="24"/>
          <w:szCs w:val="24"/>
        </w:rPr>
        <w:sectPr w:rsidR="007A66F4">
          <w:headerReference w:type="default" r:id="rId8"/>
          <w:footerReference w:type="default" r:id="rId9"/>
          <w:type w:val="continuous"/>
          <w:pgSz w:w="12240" w:h="15840"/>
          <w:pgMar w:top="2520" w:right="1440" w:bottom="1800" w:left="1440" w:header="720" w:footer="720" w:gutter="0"/>
          <w:cols w:space="720"/>
          <w:noEndnote/>
        </w:sectPr>
      </w:pPr>
    </w:p>
    <w:p w:rsidR="007A66F4" w:rsidRDefault="003C3FAA">
      <w:pPr>
        <w:widowControl w:val="0"/>
        <w:autoSpaceDE w:val="0"/>
        <w:autoSpaceDN w:val="0"/>
        <w:adjustRightInd w:val="0"/>
        <w:spacing w:after="0" w:line="240" w:lineRule="auto"/>
        <w:rPr>
          <w:rFonts w:ascii="Times New Roman" w:hAnsi="Times New Roman" w:cs="Times New Roman"/>
          <w:color w:val="000000"/>
          <w:sz w:val="24"/>
          <w:szCs w:val="24"/>
        </w:rPr>
      </w:pPr>
      <w:bookmarkStart w:id="0" w:name="Document0zzSDUNumber1"/>
      <w:bookmarkEnd w:id="0"/>
      <w:r>
        <w:rPr>
          <w:rFonts w:ascii="Times New Roman" w:hAnsi="Times New Roman" w:cs="Times New Roman"/>
          <w:noProof/>
          <w:color w:val="000000"/>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23825" cy="123825"/>
            <wp:effectExtent l="1905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23825" cy="123825"/>
                    </a:xfrm>
                    <a:prstGeom prst="rect">
                      <a:avLst/>
                    </a:prstGeom>
                    <a:noFill/>
                    <a:ln w="9525">
                      <a:noFill/>
                      <a:miter lim="800000"/>
                      <a:headEnd/>
                      <a:tailEnd/>
                    </a:ln>
                  </pic:spPr>
                </pic:pic>
              </a:graphicData>
            </a:graphic>
          </wp:anchor>
        </w:drawing>
      </w:r>
      <w:r w:rsidR="00AF381C">
        <w:rPr>
          <w:rFonts w:ascii="Times New Roman" w:hAnsi="Times New Roman" w:cs="Times New Roman"/>
          <w:color w:val="000000"/>
          <w:sz w:val="24"/>
          <w:szCs w:val="24"/>
        </w:rPr>
        <w:br w:type="textWrapping" w:clear="all"/>
      </w:r>
    </w:p>
    <w:p w:rsidR="007A66F4" w:rsidRDefault="003C3FA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Effective</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 xml:space="preserve">See Notes] </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United States Code Annotated </w:t>
      </w:r>
      <w:bookmarkStart w:id="1" w:name="Document1zzCurrentness"/>
      <w:bookmarkEnd w:id="1"/>
      <w:r w:rsidR="008234A1">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\l "Document1zzI339475504CE611DEA981B3BB84F8"</w:instrText>
      </w:r>
      <w:r w:rsidR="008234A1">
        <w:rPr>
          <w:rFonts w:ascii="Times New Roman" w:hAnsi="Times New Roman" w:cs="Times New Roman"/>
          <w:color w:val="000000"/>
          <w:sz w:val="24"/>
          <w:szCs w:val="24"/>
        </w:rPr>
        <w:fldChar w:fldCharType="separate"/>
      </w:r>
      <w:proofErr w:type="spellStart"/>
      <w:r>
        <w:rPr>
          <w:rFonts w:ascii="Times New Roman" w:hAnsi="Times New Roman" w:cs="Times New Roman"/>
          <w:color w:val="0000FF"/>
          <w:sz w:val="24"/>
          <w:szCs w:val="24"/>
          <w:u w:val="single"/>
        </w:rPr>
        <w:t>Currentness</w:t>
      </w:r>
      <w:proofErr w:type="spellEnd"/>
      <w:r w:rsidR="008234A1">
        <w:rPr>
          <w:rFonts w:ascii="Times New Roman" w:hAnsi="Times New Roman" w:cs="Times New Roman"/>
          <w:color w:val="000000"/>
          <w:sz w:val="24"/>
          <w:szCs w:val="24"/>
        </w:rPr>
        <w:fldChar w:fldCharType="end"/>
      </w:r>
    </w:p>
    <w:p w:rsidR="007A66F4" w:rsidRDefault="003C3FAA">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Title 7.</w:t>
      </w:r>
      <w:proofErr w:type="gramEnd"/>
      <w:r>
        <w:rPr>
          <w:rFonts w:ascii="Times New Roman" w:hAnsi="Times New Roman" w:cs="Times New Roman"/>
          <w:color w:val="000000"/>
          <w:sz w:val="24"/>
          <w:szCs w:val="24"/>
        </w:rPr>
        <w:t xml:space="preserve"> Agriculture</w:t>
      </w:r>
    </w:p>
    <w:p w:rsidR="007A66F4" w:rsidRDefault="008234A1">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hyperlink r:id="rId11" w:history="1">
        <w:r w:rsidR="003C3FAA">
          <w:rPr>
            <w:rFonts w:ascii="Times New Roman" w:hAnsi="Times New Roman" w:cs="Times New Roman"/>
            <w:noProof/>
            <w:color w:val="0000FF"/>
            <w:sz w:val="24"/>
            <w:szCs w:val="24"/>
            <w:u w:val="single"/>
          </w:rPr>
          <w:drawing>
            <wp:inline distT="0" distB="0" distL="0" distR="0">
              <wp:extent cx="123825" cy="1238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3C3FAA">
          <w:rPr>
            <w:rFonts w:ascii="Times New Roman" w:hAnsi="Times New Roman" w:cs="Times New Roman"/>
            <w:color w:val="0000FF"/>
            <w:sz w:val="24"/>
            <w:szCs w:val="24"/>
            <w:u w:val="single"/>
          </w:rPr>
          <w:t xml:space="preserve"> </w:t>
        </w:r>
        <w:proofErr w:type="gramStart"/>
        <w:r w:rsidR="003C3FAA">
          <w:rPr>
            <w:rFonts w:ascii="Times New Roman" w:hAnsi="Times New Roman" w:cs="Times New Roman"/>
            <w:color w:val="0000FF"/>
            <w:sz w:val="24"/>
            <w:szCs w:val="24"/>
            <w:u w:val="single"/>
          </w:rPr>
          <w:t>Chapter 1</w:t>
        </w:r>
      </w:hyperlink>
      <w:r w:rsidR="003C3FAA">
        <w:rPr>
          <w:rFonts w:ascii="Times New Roman" w:hAnsi="Times New Roman" w:cs="Times New Roman"/>
          <w:color w:val="000000"/>
          <w:sz w:val="24"/>
          <w:szCs w:val="24"/>
        </w:rPr>
        <w:t>.</w:t>
      </w:r>
      <w:proofErr w:type="gramEnd"/>
      <w:r w:rsidR="003C3FAA">
        <w:rPr>
          <w:rFonts w:ascii="Times New Roman" w:hAnsi="Times New Roman" w:cs="Times New Roman"/>
          <w:color w:val="000000"/>
          <w:sz w:val="24"/>
          <w:szCs w:val="24"/>
        </w:rPr>
        <w:t xml:space="preserve"> Commodity Exchanges </w:t>
      </w:r>
      <w:hyperlink r:id="rId13" w:history="1">
        <w:r w:rsidR="003C3FAA">
          <w:rPr>
            <w:rFonts w:ascii="Times New Roman" w:hAnsi="Times New Roman" w:cs="Times New Roman"/>
            <w:color w:val="0000FF"/>
            <w:sz w:val="24"/>
            <w:szCs w:val="24"/>
            <w:u w:val="single"/>
          </w:rPr>
          <w:t xml:space="preserve">(Refs &amp; </w:t>
        </w:r>
        <w:proofErr w:type="spellStart"/>
        <w:r w:rsidR="003C3FAA">
          <w:rPr>
            <w:rFonts w:ascii="Times New Roman" w:hAnsi="Times New Roman" w:cs="Times New Roman"/>
            <w:color w:val="0000FF"/>
            <w:sz w:val="24"/>
            <w:szCs w:val="24"/>
            <w:u w:val="single"/>
          </w:rPr>
          <w:t>Annos</w:t>
        </w:r>
        <w:proofErr w:type="spellEnd"/>
        <w:r w:rsidR="003C3FAA">
          <w:rPr>
            <w:rFonts w:ascii="Times New Roman" w:hAnsi="Times New Roman" w:cs="Times New Roman"/>
            <w:color w:val="0000FF"/>
            <w:sz w:val="24"/>
            <w:szCs w:val="24"/>
            <w:u w:val="single"/>
          </w:rPr>
          <w:t>)</w:t>
        </w:r>
      </w:hyperlink>
    </w:p>
    <w:p w:rsidR="007A66F4" w:rsidRDefault="003C3FAA">
      <w:pPr>
        <w:widowControl w:val="0"/>
        <w:autoSpaceDE w:val="0"/>
        <w:autoSpaceDN w:val="0"/>
        <w:adjustRightInd w:val="0"/>
        <w:spacing w:after="0" w:line="240" w:lineRule="auto"/>
        <w:ind w:left="540"/>
        <w:jc w:val="both"/>
        <w:rPr>
          <w:rFonts w:ascii="Times New Roman" w:hAnsi="Times New Roman" w:cs="Times New Roman"/>
          <w:color w:val="000000"/>
          <w:sz w:val="24"/>
          <w:szCs w:val="24"/>
        </w:rPr>
      </w:pPr>
      <w:r>
        <w:rPr>
          <w:rFonts w:ascii="Times New Roman" w:hAnsi="Times New Roman" w:cs="Times New Roman"/>
          <w:b/>
          <w:bCs/>
          <w:noProof/>
          <w:color w:val="000000"/>
          <w:sz w:val="24"/>
          <w:szCs w:val="24"/>
        </w:rPr>
        <w:drawing>
          <wp:inline distT="0" distB="0" distL="0" distR="0">
            <wp:extent cx="123825" cy="1238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 6a.</w:t>
      </w:r>
      <w:proofErr w:type="gramEnd"/>
      <w:r>
        <w:rPr>
          <w:rFonts w:ascii="Times New Roman" w:hAnsi="Times New Roman" w:cs="Times New Roman"/>
          <w:b/>
          <w:bCs/>
          <w:color w:val="000000"/>
          <w:sz w:val="24"/>
          <w:szCs w:val="24"/>
        </w:rPr>
        <w:t xml:space="preserve"> Excessive speculation</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Burden on interstate commerce; trading or position limits</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Excessive speculation in any commodity under contracts of sale of such commodity for future delivery made on or subject to the rules of contract markets or derivatives transaction execution facilities, or on electronic trading facilities with respect to a significant price discovery contract causing sudden or unreasonable fluctuations or unwarranted changes in the price of such co</w:t>
      </w:r>
      <w:r>
        <w:rPr>
          <w:rFonts w:ascii="Times New Roman" w:hAnsi="Times New Roman" w:cs="Times New Roman"/>
          <w:color w:val="000000"/>
          <w:sz w:val="24"/>
          <w:szCs w:val="24"/>
        </w:rPr>
        <w:t>m</w:t>
      </w:r>
      <w:r>
        <w:rPr>
          <w:rFonts w:ascii="Times New Roman" w:hAnsi="Times New Roman" w:cs="Times New Roman"/>
          <w:color w:val="000000"/>
          <w:sz w:val="24"/>
          <w:szCs w:val="24"/>
        </w:rPr>
        <w:t>modity, is an undue and unnecessary burden on interstate commerce in such commodity. For the purpose of diminishing, eliminating, or preventing such burden, the Commission shall, from time to time, after due notice and opportunity for hearing, by rule, regulation, or order, proclaim and fix such limits on the amounts of trading which may be done or positions which may be held by any person under contracts of sale of such commodity for future delivery on or subject to the rules of any contract market or derivatives transaction execution facility, or on an electronic trading f</w:t>
      </w:r>
      <w:r>
        <w:rPr>
          <w:rFonts w:ascii="Times New Roman" w:hAnsi="Times New Roman" w:cs="Times New Roman"/>
          <w:color w:val="000000"/>
          <w:sz w:val="24"/>
          <w:szCs w:val="24"/>
        </w:rPr>
        <w:t>a</w:t>
      </w:r>
      <w:r>
        <w:rPr>
          <w:rFonts w:ascii="Times New Roman" w:hAnsi="Times New Roman" w:cs="Times New Roman"/>
          <w:color w:val="000000"/>
          <w:sz w:val="24"/>
          <w:szCs w:val="24"/>
        </w:rPr>
        <w:t>cility with respect to a significant price discovery contract, as the Commission finds are necessary to diminish, eliminate, or prevent such burden. In determining whether any person has exceeded such limits, the positions held and trading done by any persons directly or indirectly controlled by such person shall be included with the positions held and trading done by such person; and further, such limits upon positions and trading shall apply to positions held by, and trading done by, two or more persons acting pursuant to an expressed or implied agreement or understanding, the same as if the positions were held by, or the trading were done by, a single person. Nothing in this section shall be construed to prohibit the Commission from fixing different trading or position limits for different commodities, markets, futures, or delivery months, or for different number of days r</w:t>
      </w:r>
      <w:r>
        <w:rPr>
          <w:rFonts w:ascii="Times New Roman" w:hAnsi="Times New Roman" w:cs="Times New Roman"/>
          <w:color w:val="000000"/>
          <w:sz w:val="24"/>
          <w:szCs w:val="24"/>
        </w:rPr>
        <w:t>e</w:t>
      </w:r>
      <w:r>
        <w:rPr>
          <w:rFonts w:ascii="Times New Roman" w:hAnsi="Times New Roman" w:cs="Times New Roman"/>
          <w:color w:val="000000"/>
          <w:sz w:val="24"/>
          <w:szCs w:val="24"/>
        </w:rPr>
        <w:t>maining until the last day of trading in a contract, or different trading limits for buying and selling operations, or different limits for the purposes of paragraphs (1) and (2) of subsection (b) of this section, or from exempting transactions normally known to the trade as “spreads” or “straddles” or “arbitrage” or from fixing limits applying to such transactions or positions different from limits fixed for other transactions or positions. The word “arbitrage” in domestic markets shall be defined to mean the same as “spread” or “straddle”. The Commission is authorized to define the term “international arbitrage”.</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Prohibition on trading or positions in excess of limits fixed by Commission</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The Commission shall, in such rule, regulation, or order, fix a reasonable time (not to exceed ten days) after the promulgation of the rule, regulation, or order; after which, and until such rule, regulation, or order is suspended, modified, or revoked, it shall be unlawful for any person--</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 xml:space="preserve"> directly or indirectly to buy or sell, or agree to buy or sell, under contracts of sale of such commodity for future delivery on or subject to the rules of the contract market or markets, or derivatives transaction execution facility or facilities or electronic trading facility with respect to a significant price discovery contract, to which the rule, regulation, or order applies, any amount of such commodity during any one business day in excess of any trading limit fixed for one business day by the Commission in such rule, regulation, or order for or with respect to such commodity; or</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directly or indirectly to hold or control a net long or a net short position in any commodity for future delivery on or subject to the rules of any contract market or derivatives transaction e</w:t>
      </w:r>
      <w:r>
        <w:rPr>
          <w:rFonts w:ascii="Times New Roman" w:hAnsi="Times New Roman" w:cs="Times New Roman"/>
          <w:color w:val="000000"/>
          <w:sz w:val="24"/>
          <w:szCs w:val="24"/>
        </w:rPr>
        <w:t>x</w:t>
      </w:r>
      <w:r>
        <w:rPr>
          <w:rFonts w:ascii="Times New Roman" w:hAnsi="Times New Roman" w:cs="Times New Roman"/>
          <w:color w:val="000000"/>
          <w:sz w:val="24"/>
          <w:szCs w:val="24"/>
        </w:rPr>
        <w:t xml:space="preserve">ecution facility or electronic trading facility with respect to a significant price discovery contract in excess of any position limit fixed by the Commission for or with respect to such commodity: </w:t>
      </w:r>
      <w:r>
        <w:rPr>
          <w:rFonts w:ascii="Times New Roman" w:hAnsi="Times New Roman" w:cs="Times New Roman"/>
          <w:i/>
          <w:iCs/>
          <w:color w:val="000000"/>
          <w:sz w:val="24"/>
          <w:szCs w:val="24"/>
        </w:rPr>
        <w:t>Provided</w:t>
      </w:r>
      <w:r>
        <w:rPr>
          <w:rFonts w:ascii="Times New Roman" w:hAnsi="Times New Roman" w:cs="Times New Roman"/>
          <w:color w:val="000000"/>
          <w:sz w:val="24"/>
          <w:szCs w:val="24"/>
        </w:rPr>
        <w:t>, That such position limit shall not apply to a position acquired in good faith prior to the effective date of such rule, regulation, or order.</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Applicability to bona fide hedging transactions or positions</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No rule, regulation, or order issued under subsection (a) of this section shall apply to transactions or positions which are shown to be bona fide hedging transactions or positions as such terms shall be defined by the Commission by rule, regulation, or order consistent with the purposes of this chapter. Such terms may be defined to permit producers, purchasers, sellers, middlemen, and users of a commodity or a product derived </w:t>
      </w:r>
      <w:proofErr w:type="spellStart"/>
      <w:r>
        <w:rPr>
          <w:rFonts w:ascii="Times New Roman" w:hAnsi="Times New Roman" w:cs="Times New Roman"/>
          <w:color w:val="000000"/>
          <w:sz w:val="24"/>
          <w:szCs w:val="24"/>
        </w:rPr>
        <w:t>therefrom</w:t>
      </w:r>
      <w:proofErr w:type="spellEnd"/>
      <w:r>
        <w:rPr>
          <w:rFonts w:ascii="Times New Roman" w:hAnsi="Times New Roman" w:cs="Times New Roman"/>
          <w:color w:val="000000"/>
          <w:sz w:val="24"/>
          <w:szCs w:val="24"/>
        </w:rPr>
        <w:t xml:space="preserve"> to hedge their legitimate anticipated business needs for that period of time into the future for which an appropriate futures contract is open and available on an exchange. To determine the adequacy of this chapter and the powers of the Commission acting </w:t>
      </w:r>
      <w:proofErr w:type="spellStart"/>
      <w:r>
        <w:rPr>
          <w:rFonts w:ascii="Times New Roman" w:hAnsi="Times New Roman" w:cs="Times New Roman"/>
          <w:color w:val="000000"/>
          <w:sz w:val="24"/>
          <w:szCs w:val="24"/>
        </w:rPr>
        <w:t>thereunder</w:t>
      </w:r>
      <w:proofErr w:type="spellEnd"/>
      <w:r>
        <w:rPr>
          <w:rFonts w:ascii="Times New Roman" w:hAnsi="Times New Roman" w:cs="Times New Roman"/>
          <w:color w:val="000000"/>
          <w:sz w:val="24"/>
          <w:szCs w:val="24"/>
        </w:rPr>
        <w:t xml:space="preserve"> to prevent unwarranted price pressures by large hedgers, the Commission shall monitor and analyze the trading activities of the largest hedgers, as determined by the Commission, operating in the cattle, hog, or pork belly markets and shall report its findings and recommendations to the Senate Committee on Agriculture, Nutrition, and Forestry and the House Committee on Agriculture in its annual reports for at least two years following January 11, 1983.</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Persons subject to regulation; applicability to transactions made by or on behalf of United States</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This section shall apply to a person that is registered as a futures commission merchant, an i</w:t>
      </w:r>
      <w:r>
        <w:rPr>
          <w:rFonts w:ascii="Times New Roman" w:hAnsi="Times New Roman" w:cs="Times New Roman"/>
          <w:color w:val="000000"/>
          <w:sz w:val="24"/>
          <w:szCs w:val="24"/>
        </w:rPr>
        <w:t>n</w:t>
      </w:r>
      <w:r>
        <w:rPr>
          <w:rFonts w:ascii="Times New Roman" w:hAnsi="Times New Roman" w:cs="Times New Roman"/>
          <w:color w:val="000000"/>
          <w:sz w:val="24"/>
          <w:szCs w:val="24"/>
        </w:rPr>
        <w:t>troducing broker, or a floor broker under authority of this chapter only to the extent that transa</w:t>
      </w:r>
      <w:r>
        <w:rPr>
          <w:rFonts w:ascii="Times New Roman" w:hAnsi="Times New Roman" w:cs="Times New Roman"/>
          <w:color w:val="000000"/>
          <w:sz w:val="24"/>
          <w:szCs w:val="24"/>
        </w:rPr>
        <w:t>c</w:t>
      </w:r>
      <w:r>
        <w:rPr>
          <w:rFonts w:ascii="Times New Roman" w:hAnsi="Times New Roman" w:cs="Times New Roman"/>
          <w:color w:val="000000"/>
          <w:sz w:val="24"/>
          <w:szCs w:val="24"/>
        </w:rPr>
        <w:t xml:space="preserve">tions made by such person are made on behalf of or for the account or benefit of such person. This </w:t>
      </w:r>
      <w:r>
        <w:rPr>
          <w:rFonts w:ascii="Times New Roman" w:hAnsi="Times New Roman" w:cs="Times New Roman"/>
          <w:color w:val="000000"/>
          <w:sz w:val="24"/>
          <w:szCs w:val="24"/>
        </w:rPr>
        <w:lastRenderedPageBreak/>
        <w:t>section shall not apply to transactions made by, or on behalf of, or at the direction of, the United States, or a duly authorized agency thereof.</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 Rulemaking power and penalties for violation</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Nothing in this section shall prohibit or impair the adoption by any contract market, derivatives transaction execution facility, or by any other board of trade licensed, designated, or registered by the Commission or by any electronic trading facility of any bylaw, rule, regulation, or resolution fixing limits on the amount of trading which may be done or positions which may be held by any person under contracts of sale of any commodity for future delivery traded on or subject to the rules of such contract market or derivatives transaction execution facility or on an electronic trading facility, or under options on such contracts or commodities traded on or subject to the rules of such contract market, derivatives transaction execution facility, or electronic trading facility or such board of trade: </w:t>
      </w:r>
      <w:r>
        <w:rPr>
          <w:rFonts w:ascii="Times New Roman" w:hAnsi="Times New Roman" w:cs="Times New Roman"/>
          <w:i/>
          <w:iCs/>
          <w:color w:val="000000"/>
          <w:sz w:val="24"/>
          <w:szCs w:val="24"/>
        </w:rPr>
        <w:t>Provided</w:t>
      </w:r>
      <w:r>
        <w:rPr>
          <w:rFonts w:ascii="Times New Roman" w:hAnsi="Times New Roman" w:cs="Times New Roman"/>
          <w:color w:val="000000"/>
          <w:sz w:val="24"/>
          <w:szCs w:val="24"/>
        </w:rPr>
        <w:t xml:space="preserve">, That if the Commission shall have fixed limits under this section for any contract or under </w:t>
      </w:r>
      <w:hyperlink r:id="rId15" w:history="1">
        <w:r>
          <w:rPr>
            <w:rFonts w:ascii="Times New Roman" w:hAnsi="Times New Roman" w:cs="Times New Roman"/>
            <w:color w:val="0000FF"/>
            <w:sz w:val="24"/>
            <w:szCs w:val="24"/>
            <w:u w:val="single"/>
          </w:rPr>
          <w:t>section 6c</w:t>
        </w:r>
      </w:hyperlink>
      <w:r>
        <w:rPr>
          <w:rFonts w:ascii="Times New Roman" w:hAnsi="Times New Roman" w:cs="Times New Roman"/>
          <w:color w:val="000000"/>
          <w:sz w:val="24"/>
          <w:szCs w:val="24"/>
        </w:rPr>
        <w:t xml:space="preserve"> of this title for any commodity option, then the limits fixed by the bylaws, rules, regulations, and resolutions adopted by such contract market, derivatives transa</w:t>
      </w:r>
      <w:r>
        <w:rPr>
          <w:rFonts w:ascii="Times New Roman" w:hAnsi="Times New Roman" w:cs="Times New Roman"/>
          <w:color w:val="000000"/>
          <w:sz w:val="24"/>
          <w:szCs w:val="24"/>
        </w:rPr>
        <w:t>c</w:t>
      </w:r>
      <w:r>
        <w:rPr>
          <w:rFonts w:ascii="Times New Roman" w:hAnsi="Times New Roman" w:cs="Times New Roman"/>
          <w:color w:val="000000"/>
          <w:sz w:val="24"/>
          <w:szCs w:val="24"/>
        </w:rPr>
        <w:t xml:space="preserve">tion execution facility, or electronic trading facility or such board of trade shall not be higher than the limits fixed by the Commission. It shall be a violation of this chapter for any person to violate any bylaw, rule, regulation, or resolution of any contract market, derivatives transaction execution facility, or other board of trade licensed, designated, or registered by the Commission or electronic trading facility with respect to a significant price discovery contract fixing limits on the amount of trading which may be done or positions which may be held by any person under contracts of sale of any commodity for future delivery or under options on such contracts or commodities, if such bylaw, rule, regulation, or resolution has been approved by the Commission or certified by a registered entity pursuant to </w:t>
      </w:r>
      <w:hyperlink r:id="rId16" w:history="1">
        <w:r>
          <w:rPr>
            <w:rFonts w:ascii="Times New Roman" w:hAnsi="Times New Roman" w:cs="Times New Roman"/>
            <w:color w:val="0000FF"/>
            <w:sz w:val="24"/>
            <w:szCs w:val="24"/>
            <w:u w:val="single"/>
          </w:rPr>
          <w:t>section 7a-2(c)(1)</w:t>
        </w:r>
      </w:hyperlink>
      <w:r>
        <w:rPr>
          <w:rFonts w:ascii="Times New Roman" w:hAnsi="Times New Roman" w:cs="Times New Roman"/>
          <w:color w:val="000000"/>
          <w:sz w:val="24"/>
          <w:szCs w:val="24"/>
        </w:rPr>
        <w:t xml:space="preserve"> of this title: </w:t>
      </w:r>
      <w:r>
        <w:rPr>
          <w:rFonts w:ascii="Times New Roman" w:hAnsi="Times New Roman" w:cs="Times New Roman"/>
          <w:i/>
          <w:iCs/>
          <w:color w:val="000000"/>
          <w:sz w:val="24"/>
          <w:szCs w:val="24"/>
        </w:rPr>
        <w:t>Provided</w:t>
      </w:r>
      <w:r>
        <w:rPr>
          <w:rFonts w:ascii="Times New Roman" w:hAnsi="Times New Roman" w:cs="Times New Roman"/>
          <w:color w:val="000000"/>
          <w:sz w:val="24"/>
          <w:szCs w:val="24"/>
        </w:rPr>
        <w:t xml:space="preserve">, That the provisions of </w:t>
      </w:r>
      <w:hyperlink r:id="rId17" w:history="1">
        <w:r>
          <w:rPr>
            <w:rFonts w:ascii="Times New Roman" w:hAnsi="Times New Roman" w:cs="Times New Roman"/>
            <w:color w:val="0000FF"/>
            <w:sz w:val="24"/>
            <w:szCs w:val="24"/>
            <w:u w:val="single"/>
          </w:rPr>
          <w:t>se</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t>tion 13(a)(5)</w:t>
        </w:r>
      </w:hyperlink>
      <w:r>
        <w:rPr>
          <w:rFonts w:ascii="Times New Roman" w:hAnsi="Times New Roman" w:cs="Times New Roman"/>
          <w:color w:val="000000"/>
          <w:sz w:val="24"/>
          <w:szCs w:val="24"/>
        </w:rPr>
        <w:t xml:space="preserve"> of this title shall apply only to those who knowingly violate such limits.</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2" w:name="Document1zzI33C0B5704CE611DEA981B3BB84F8"/>
      <w:bookmarkEnd w:id="2"/>
      <w:r>
        <w:rPr>
          <w:rFonts w:ascii="Times New Roman" w:hAnsi="Times New Roman" w:cs="Times New Roman"/>
          <w:color w:val="000000"/>
          <w:sz w:val="24"/>
          <w:szCs w:val="24"/>
        </w:rPr>
        <w:t>CREDIT(S)</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(Sept. 21, 1922, c. 369, § 4a, as added June 15, 1936, c. 545, § 5, 49 Stat. 1492, and amended July 24, 1956, c. 690, § 1, 70 Stat. 630; Feb. 19, 1968, </w:t>
      </w:r>
      <w:proofErr w:type="spellStart"/>
      <w:r>
        <w:rPr>
          <w:rFonts w:ascii="Times New Roman" w:hAnsi="Times New Roman" w:cs="Times New Roman"/>
          <w:color w:val="000000"/>
          <w:sz w:val="24"/>
          <w:szCs w:val="24"/>
        </w:rPr>
        <w:t>Pub.L</w:t>
      </w:r>
      <w:proofErr w:type="spellEnd"/>
      <w:r>
        <w:rPr>
          <w:rFonts w:ascii="Times New Roman" w:hAnsi="Times New Roman" w:cs="Times New Roman"/>
          <w:color w:val="000000"/>
          <w:sz w:val="24"/>
          <w:szCs w:val="24"/>
        </w:rPr>
        <w:t xml:space="preserve">. 90-258, §§ 2 to 4, 82 Stat. 26, 27; Oct. 23, 1974, </w:t>
      </w:r>
      <w:hyperlink r:id="rId18"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93-463, Title IV, §§ 403</w:t>
        </w:r>
      </w:hyperlink>
      <w:r>
        <w:rPr>
          <w:rFonts w:ascii="Times New Roman" w:hAnsi="Times New Roman" w:cs="Times New Roman"/>
          <w:color w:val="000000"/>
          <w:sz w:val="24"/>
          <w:szCs w:val="24"/>
        </w:rPr>
        <w:t xml:space="preserve">, 404, 88 Stat. 1413; Apr. 16, 1975, </w:t>
      </w:r>
      <w:hyperlink r:id="rId19"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94-16, § 4, 89 Stat. 78</w:t>
        </w:r>
      </w:hyperlink>
      <w:r>
        <w:rPr>
          <w:rFonts w:ascii="Times New Roman" w:hAnsi="Times New Roman" w:cs="Times New Roman"/>
          <w:color w:val="000000"/>
          <w:sz w:val="24"/>
          <w:szCs w:val="24"/>
        </w:rPr>
        <w:t xml:space="preserve">; Jan. 11, 1983, </w:t>
      </w:r>
      <w:hyperlink r:id="rId20"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97-444, Title II, § 205</w:t>
        </w:r>
      </w:hyperlink>
      <w:r>
        <w:rPr>
          <w:rFonts w:ascii="Times New Roman" w:hAnsi="Times New Roman" w:cs="Times New Roman"/>
          <w:color w:val="000000"/>
          <w:sz w:val="24"/>
          <w:szCs w:val="24"/>
        </w:rPr>
        <w:t xml:space="preserve">, 96 Stat. 2299; Oct. 28, 1992, </w:t>
      </w:r>
      <w:hyperlink r:id="rId21"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102-546, Title IV, § 402(1)(A), (2)</w:t>
        </w:r>
      </w:hyperlink>
      <w:r>
        <w:rPr>
          <w:rFonts w:ascii="Times New Roman" w:hAnsi="Times New Roman" w:cs="Times New Roman"/>
          <w:color w:val="000000"/>
          <w:sz w:val="24"/>
          <w:szCs w:val="24"/>
        </w:rPr>
        <w:t xml:space="preserve">, 106 Stat. 3624; Dec. 21, 2000, </w:t>
      </w:r>
      <w:hyperlink r:id="rId22"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106-554</w:t>
        </w:r>
      </w:hyperlink>
      <w:r>
        <w:rPr>
          <w:rFonts w:ascii="Times New Roman" w:hAnsi="Times New Roman" w:cs="Times New Roman"/>
          <w:color w:val="000000"/>
          <w:sz w:val="24"/>
          <w:szCs w:val="24"/>
        </w:rPr>
        <w:t xml:space="preserve">, § 1(a)(5) [Title I, § 123(a)(4)], 114 Stat. 2763, 2763A-407; May 22, 2008, </w:t>
      </w:r>
      <w:hyperlink r:id="rId23"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110-234, Title XIII, §§ 13105(a)</w:t>
        </w:r>
      </w:hyperlink>
      <w:r>
        <w:rPr>
          <w:rFonts w:ascii="Times New Roman" w:hAnsi="Times New Roman" w:cs="Times New Roman"/>
          <w:color w:val="000000"/>
          <w:sz w:val="24"/>
          <w:szCs w:val="24"/>
        </w:rPr>
        <w:t xml:space="preserve">, 13203(g), 122 Stat. 1434, 1439; June 18, 2008, </w:t>
      </w:r>
      <w:hyperlink r:id="rId24"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110-246, Title XIII, §§ 13105(a)</w:t>
        </w:r>
      </w:hyperlink>
      <w:r>
        <w:rPr>
          <w:rFonts w:ascii="Times New Roman" w:hAnsi="Times New Roman" w:cs="Times New Roman"/>
          <w:color w:val="000000"/>
          <w:sz w:val="24"/>
          <w:szCs w:val="24"/>
        </w:rPr>
        <w:t>, 13203(g), 122 Stat. 2196, 2201.)</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2008 Acts.</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Amendments by </w:t>
      </w:r>
      <w:proofErr w:type="spellStart"/>
      <w:r>
        <w:rPr>
          <w:rFonts w:ascii="Times New Roman" w:hAnsi="Times New Roman" w:cs="Times New Roman"/>
          <w:color w:val="000000"/>
          <w:sz w:val="24"/>
          <w:szCs w:val="24"/>
        </w:rPr>
        <w:t>Pub.L</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110-246, except as otherwise provided, shall take effect on the earlier of June 18, 2008, or May 22, 2008, </w:t>
      </w:r>
      <w:proofErr w:type="gramStart"/>
      <w:r>
        <w:rPr>
          <w:rFonts w:ascii="Times New Roman" w:hAnsi="Times New Roman" w:cs="Times New Roman"/>
          <w:color w:val="000000"/>
          <w:sz w:val="24"/>
          <w:szCs w:val="24"/>
        </w:rPr>
        <w:t>see</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Pub.L</w:t>
      </w:r>
      <w:proofErr w:type="spellEnd"/>
      <w:r>
        <w:rPr>
          <w:rFonts w:ascii="Times New Roman" w:hAnsi="Times New Roman" w:cs="Times New Roman"/>
          <w:color w:val="000000"/>
          <w:sz w:val="24"/>
          <w:szCs w:val="24"/>
        </w:rPr>
        <w:t>. 110-246, § 4(b), set out in a Repeal of Duplicative Enactment note under 7 U.S.C.A. § 8701.</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3" w:name="Document1zzI339475504CE611DEA981B3BB84F8"/>
      <w:bookmarkEnd w:id="3"/>
      <w:r>
        <w:rPr>
          <w:rFonts w:ascii="Times New Roman" w:hAnsi="Times New Roman" w:cs="Times New Roman"/>
          <w:color w:val="000000"/>
          <w:sz w:val="24"/>
          <w:szCs w:val="24"/>
        </w:rPr>
        <w:t>Current through P.L. 111-40 (excluding P.L. 111-39) approved 7-1-09</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Westlaw.</w:t>
      </w:r>
      <w:proofErr w:type="gramEnd"/>
      <w:r>
        <w:rPr>
          <w:rFonts w:ascii="Times New Roman" w:hAnsi="Times New Roman" w:cs="Times New Roman"/>
          <w:color w:val="000000"/>
          <w:sz w:val="24"/>
          <w:szCs w:val="24"/>
        </w:rPr>
        <w:t xml:space="preserve"> (C) 2009 Thomson Reuters. No Claim to Orig. U.S. Govt. Works.</w:t>
      </w:r>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7A66F4" w:rsidRDefault="003C3FA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END OF DOCUMENT</w:t>
      </w:r>
    </w:p>
    <w:p w:rsidR="007A66F4" w:rsidRDefault="007A66F4">
      <w:pPr>
        <w:widowControl w:val="0"/>
        <w:autoSpaceDE w:val="0"/>
        <w:autoSpaceDN w:val="0"/>
        <w:adjustRightInd w:val="0"/>
        <w:spacing w:after="0" w:line="240" w:lineRule="auto"/>
        <w:jc w:val="both"/>
        <w:rPr>
          <w:rFonts w:ascii="Times New Roman" w:hAnsi="Times New Roman" w:cs="Times New Roman"/>
          <w:sz w:val="24"/>
          <w:szCs w:val="24"/>
        </w:rPr>
        <w:sectPr w:rsidR="007A66F4">
          <w:type w:val="continuous"/>
          <w:pgSz w:w="12240" w:h="15840"/>
          <w:pgMar w:top="2520" w:right="1440" w:bottom="1800" w:left="1440" w:header="720" w:footer="720" w:gutter="0"/>
          <w:cols w:space="720"/>
          <w:noEndnote/>
        </w:sectPr>
      </w:pPr>
      <w:bookmarkStart w:id="4" w:name="last-page"/>
      <w:bookmarkEnd w:id="4"/>
    </w:p>
    <w:p w:rsidR="007A66F4" w:rsidRDefault="007A66F4">
      <w:pPr>
        <w:widowControl w:val="0"/>
        <w:autoSpaceDE w:val="0"/>
        <w:autoSpaceDN w:val="0"/>
        <w:adjustRightInd w:val="0"/>
        <w:spacing w:after="0" w:line="240" w:lineRule="auto"/>
        <w:rPr>
          <w:rFonts w:ascii="Times New Roman" w:hAnsi="Times New Roman" w:cs="Times New Roman"/>
          <w:color w:val="000000"/>
          <w:sz w:val="24"/>
          <w:szCs w:val="24"/>
        </w:rPr>
      </w:pPr>
    </w:p>
    <w:p w:rsidR="00AF381C" w:rsidRDefault="00AF381C">
      <w:pPr>
        <w:rPr>
          <w:rFonts w:ascii="Times New Roman" w:hAnsi="Times New Roman" w:cs="Times New Roman"/>
          <w:sz w:val="24"/>
          <w:szCs w:val="24"/>
        </w:rPr>
      </w:pPr>
      <w:r>
        <w:rPr>
          <w:rFonts w:ascii="Times New Roman" w:hAnsi="Times New Roman" w:cs="Times New Roman"/>
          <w:sz w:val="24"/>
          <w:szCs w:val="24"/>
        </w:rPr>
        <w:br w:type="page"/>
      </w:r>
    </w:p>
    <w:p w:rsidR="005E3FD2" w:rsidRDefault="005E3FD2">
      <w:pPr>
        <w:widowControl w:val="0"/>
        <w:autoSpaceDE w:val="0"/>
        <w:autoSpaceDN w:val="0"/>
        <w:adjustRightInd w:val="0"/>
        <w:spacing w:after="0" w:line="240" w:lineRule="auto"/>
        <w:rPr>
          <w:rFonts w:ascii="Times New Roman" w:hAnsi="Times New Roman" w:cs="Times New Roman"/>
          <w:sz w:val="24"/>
          <w:szCs w:val="24"/>
        </w:rPr>
        <w:sectPr w:rsidR="005E3FD2" w:rsidSect="005E3FD2">
          <w:headerReference w:type="default" r:id="rId25"/>
          <w:footerReference w:type="default" r:id="rId26"/>
          <w:type w:val="continuous"/>
          <w:pgSz w:w="12240" w:h="15840"/>
          <w:pgMar w:top="2520" w:right="1440" w:bottom="1800" w:left="1440" w:header="720" w:footer="720" w:gutter="0"/>
          <w:cols w:space="720"/>
          <w:noEndnote/>
          <w:docGrid w:linePitch="360"/>
        </w:sectPr>
      </w:pP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123825" cy="123825"/>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5E3FD2" w:rsidRDefault="005E3FD2">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Effective: December 14, 2007</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Code of Federal Regulations </w:t>
      </w:r>
      <w:hyperlink w:anchor="Document1zzI1214AB00472511DE819E9C723C2E" w:history="1">
        <w:proofErr w:type="spellStart"/>
        <w:r>
          <w:rPr>
            <w:rFonts w:ascii="Times New Roman" w:hAnsi="Times New Roman" w:cs="Times New Roman"/>
            <w:color w:val="0000FF"/>
            <w:sz w:val="24"/>
            <w:szCs w:val="24"/>
            <w:u w:val="single"/>
          </w:rPr>
          <w:t>Currentness</w:t>
        </w:r>
        <w:proofErr w:type="spellEnd"/>
      </w:hyperlink>
    </w:p>
    <w:p w:rsidR="005E3FD2" w:rsidRDefault="005E3FD2">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Title 17.</w:t>
      </w:r>
      <w:proofErr w:type="gramEnd"/>
      <w:r>
        <w:rPr>
          <w:rFonts w:ascii="Times New Roman" w:hAnsi="Times New Roman" w:cs="Times New Roman"/>
          <w:color w:val="000000"/>
          <w:sz w:val="24"/>
          <w:szCs w:val="24"/>
        </w:rPr>
        <w:t xml:space="preserve"> Commodity and Securities Exchanges</w:t>
      </w: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Chapter I. Commodity Futures Trading Commission</w:t>
      </w:r>
    </w:p>
    <w:p w:rsidR="005E3FD2" w:rsidRDefault="008234A1">
      <w:pPr>
        <w:widowControl w:val="0"/>
        <w:autoSpaceDE w:val="0"/>
        <w:autoSpaceDN w:val="0"/>
        <w:adjustRightInd w:val="0"/>
        <w:spacing w:after="0" w:line="240" w:lineRule="auto"/>
        <w:ind w:left="540"/>
        <w:jc w:val="both"/>
        <w:rPr>
          <w:rFonts w:ascii="Times New Roman" w:hAnsi="Times New Roman" w:cs="Times New Roman"/>
          <w:color w:val="000000"/>
          <w:sz w:val="24"/>
          <w:szCs w:val="24"/>
        </w:rPr>
      </w:pPr>
      <w:hyperlink r:id="rId28" w:history="1">
        <w:r w:rsidR="005E3FD2">
          <w:rPr>
            <w:rFonts w:ascii="Times New Roman" w:hAnsi="Times New Roman" w:cs="Times New Roman"/>
            <w:noProof/>
            <w:color w:val="0000FF"/>
            <w:sz w:val="24"/>
            <w:szCs w:val="24"/>
            <w:u w:val="single"/>
          </w:rPr>
          <w:drawing>
            <wp:inline distT="0" distB="0" distL="0" distR="0">
              <wp:extent cx="123825" cy="123825"/>
              <wp:effectExtent l="1905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5E3FD2">
          <w:rPr>
            <w:rFonts w:ascii="Times New Roman" w:hAnsi="Times New Roman" w:cs="Times New Roman"/>
            <w:color w:val="0000FF"/>
            <w:sz w:val="24"/>
            <w:szCs w:val="24"/>
            <w:u w:val="single"/>
          </w:rPr>
          <w:t xml:space="preserve"> </w:t>
        </w:r>
        <w:proofErr w:type="gramStart"/>
        <w:r w:rsidR="005E3FD2">
          <w:rPr>
            <w:rFonts w:ascii="Times New Roman" w:hAnsi="Times New Roman" w:cs="Times New Roman"/>
            <w:color w:val="0000FF"/>
            <w:sz w:val="24"/>
            <w:szCs w:val="24"/>
            <w:u w:val="single"/>
          </w:rPr>
          <w:t>Part 1</w:t>
        </w:r>
      </w:hyperlink>
      <w:r w:rsidR="005E3FD2">
        <w:rPr>
          <w:rFonts w:ascii="Times New Roman" w:hAnsi="Times New Roman" w:cs="Times New Roman"/>
          <w:color w:val="000000"/>
          <w:sz w:val="24"/>
          <w:szCs w:val="24"/>
        </w:rPr>
        <w:t>.</w:t>
      </w:r>
      <w:proofErr w:type="gramEnd"/>
      <w:r w:rsidR="005E3FD2">
        <w:rPr>
          <w:rFonts w:ascii="Times New Roman" w:hAnsi="Times New Roman" w:cs="Times New Roman"/>
          <w:color w:val="000000"/>
          <w:sz w:val="24"/>
          <w:szCs w:val="24"/>
        </w:rPr>
        <w:t xml:space="preserve"> General Regulations </w:t>
      </w:r>
      <w:proofErr w:type="gramStart"/>
      <w:r w:rsidR="005E3FD2">
        <w:rPr>
          <w:rFonts w:ascii="Times New Roman" w:hAnsi="Times New Roman" w:cs="Times New Roman"/>
          <w:color w:val="000000"/>
          <w:sz w:val="24"/>
          <w:szCs w:val="24"/>
        </w:rPr>
        <w:t>Under</w:t>
      </w:r>
      <w:proofErr w:type="gramEnd"/>
      <w:r w:rsidR="005E3FD2">
        <w:rPr>
          <w:rFonts w:ascii="Times New Roman" w:hAnsi="Times New Roman" w:cs="Times New Roman"/>
          <w:color w:val="000000"/>
          <w:sz w:val="24"/>
          <w:szCs w:val="24"/>
        </w:rPr>
        <w:t xml:space="preserve"> the Commodity Exchange Act </w:t>
      </w:r>
      <w:hyperlink r:id="rId29" w:history="1">
        <w:r w:rsidR="005E3FD2">
          <w:rPr>
            <w:rFonts w:ascii="Times New Roman" w:hAnsi="Times New Roman" w:cs="Times New Roman"/>
            <w:color w:val="0000FF"/>
            <w:sz w:val="24"/>
            <w:szCs w:val="24"/>
            <w:u w:val="single"/>
          </w:rPr>
          <w:t xml:space="preserve">(Refs &amp; </w:t>
        </w:r>
        <w:proofErr w:type="spellStart"/>
        <w:r w:rsidR="005E3FD2">
          <w:rPr>
            <w:rFonts w:ascii="Times New Roman" w:hAnsi="Times New Roman" w:cs="Times New Roman"/>
            <w:color w:val="0000FF"/>
            <w:sz w:val="24"/>
            <w:szCs w:val="24"/>
            <w:u w:val="single"/>
          </w:rPr>
          <w:t>Annos</w:t>
        </w:r>
        <w:proofErr w:type="spellEnd"/>
        <w:r w:rsidR="005E3FD2">
          <w:rPr>
            <w:rFonts w:ascii="Times New Roman" w:hAnsi="Times New Roman" w:cs="Times New Roman"/>
            <w:color w:val="0000FF"/>
            <w:sz w:val="24"/>
            <w:szCs w:val="24"/>
            <w:u w:val="single"/>
          </w:rPr>
          <w:t>)</w:t>
        </w:r>
      </w:hyperlink>
    </w:p>
    <w:p w:rsidR="005E3FD2" w:rsidRDefault="008234A1">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hyperlink r:id="rId30" w:history="1">
        <w:r w:rsidR="005E3FD2">
          <w:rPr>
            <w:rFonts w:ascii="Times New Roman" w:hAnsi="Times New Roman" w:cs="Times New Roman"/>
            <w:noProof/>
            <w:color w:val="0000FF"/>
            <w:sz w:val="24"/>
            <w:szCs w:val="24"/>
            <w:u w:val="single"/>
          </w:rPr>
          <w:drawing>
            <wp:inline distT="0" distB="0" distL="0" distR="0">
              <wp:extent cx="123825" cy="123825"/>
              <wp:effectExtent l="1905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5E3FD2">
          <w:rPr>
            <w:rFonts w:ascii="Times New Roman" w:hAnsi="Times New Roman" w:cs="Times New Roman"/>
            <w:color w:val="0000FF"/>
            <w:sz w:val="24"/>
            <w:szCs w:val="24"/>
            <w:u w:val="single"/>
          </w:rPr>
          <w:t xml:space="preserve"> </w:t>
        </w:r>
      </w:hyperlink>
      <w:r w:rsidR="005E3FD2">
        <w:rPr>
          <w:rFonts w:ascii="Times New Roman" w:hAnsi="Times New Roman" w:cs="Times New Roman"/>
          <w:color w:val="000000"/>
          <w:sz w:val="24"/>
          <w:szCs w:val="24"/>
        </w:rPr>
        <w:t>Definitions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900"/>
        <w:jc w:val="both"/>
        <w:rPr>
          <w:rFonts w:ascii="Times New Roman" w:hAnsi="Times New Roman" w:cs="Times New Roman"/>
          <w:color w:val="000000"/>
          <w:sz w:val="24"/>
          <w:szCs w:val="24"/>
        </w:rPr>
      </w:pPr>
      <w:r>
        <w:rPr>
          <w:rFonts w:ascii="Times New Roman" w:hAnsi="Times New Roman" w:cs="Times New Roman"/>
          <w:b/>
          <w:bCs/>
          <w:noProof/>
          <w:color w:val="000000"/>
          <w:sz w:val="24"/>
          <w:szCs w:val="24"/>
        </w:rPr>
        <w:drawing>
          <wp:inline distT="0" distB="0" distL="0" distR="0">
            <wp:extent cx="123825" cy="123825"/>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Times New Roman" w:hAnsi="Times New Roman" w:cs="Times New Roman"/>
          <w:b/>
          <w:bCs/>
          <w:color w:val="000000"/>
          <w:sz w:val="24"/>
          <w:szCs w:val="24"/>
        </w:rPr>
        <w:t xml:space="preserve"> § 1.3 Definitions.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 * * *</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 Bona fide hedging transactions and positions--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(1) General definition. Bona fide hedging transactions and positions shall mean transactions or positions in a contract for future delivery on any contract market, or in a commodity option, where such transactions or positions normally represent a substitute for transactions to be made or positions to be taken at a later time in a physical marketing channel, and where they are economically appropriate to the reduction of risks in the conduct and management of a co</w:t>
      </w:r>
      <w:r>
        <w:rPr>
          <w:rFonts w:ascii="Times New Roman" w:hAnsi="Times New Roman" w:cs="Times New Roman"/>
          <w:color w:val="000000"/>
          <w:sz w:val="24"/>
          <w:szCs w:val="24"/>
        </w:rPr>
        <w:t>m</w:t>
      </w:r>
      <w:r>
        <w:rPr>
          <w:rFonts w:ascii="Times New Roman" w:hAnsi="Times New Roman" w:cs="Times New Roman"/>
          <w:color w:val="000000"/>
          <w:sz w:val="24"/>
          <w:szCs w:val="24"/>
        </w:rPr>
        <w:t>mercial enterprise, and where they arise from:</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The potential change in the value of assets which a person owns, produces, manufactures, processes, or merchandises or anticipates owning, producing, manufacturing, processing, or merchandising,</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(ii) The potential change in the value of liabilities which a person owns or anticipates incu</w:t>
      </w:r>
      <w:r>
        <w:rPr>
          <w:rFonts w:ascii="Times New Roman" w:hAnsi="Times New Roman" w:cs="Times New Roman"/>
          <w:color w:val="000000"/>
          <w:sz w:val="24"/>
          <w:szCs w:val="24"/>
        </w:rPr>
        <w:t>r</w:t>
      </w:r>
      <w:r>
        <w:rPr>
          <w:rFonts w:ascii="Times New Roman" w:hAnsi="Times New Roman" w:cs="Times New Roman"/>
          <w:color w:val="000000"/>
          <w:sz w:val="24"/>
          <w:szCs w:val="24"/>
        </w:rPr>
        <w:t>ring, or</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(iii) The potential change in the value of services which a person provides, purchases, or a</w:t>
      </w:r>
      <w:r>
        <w:rPr>
          <w:rFonts w:ascii="Times New Roman" w:hAnsi="Times New Roman" w:cs="Times New Roman"/>
          <w:color w:val="000000"/>
          <w:sz w:val="24"/>
          <w:szCs w:val="24"/>
        </w:rPr>
        <w:t>n</w:t>
      </w:r>
      <w:r>
        <w:rPr>
          <w:rFonts w:ascii="Times New Roman" w:hAnsi="Times New Roman" w:cs="Times New Roman"/>
          <w:color w:val="000000"/>
          <w:sz w:val="24"/>
          <w:szCs w:val="24"/>
        </w:rPr>
        <w:t>ticipates providing or purchasing.</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Notwithstanding the foregoing, no transactions or positions shall be classified as bona fide hedging unless their purpose is to offset price risks incidental to commercial cash or spot o</w:t>
      </w:r>
      <w:r>
        <w:rPr>
          <w:rFonts w:ascii="Times New Roman" w:hAnsi="Times New Roman" w:cs="Times New Roman"/>
          <w:color w:val="000000"/>
          <w:sz w:val="24"/>
          <w:szCs w:val="24"/>
        </w:rPr>
        <w:t>p</w:t>
      </w:r>
      <w:r>
        <w:rPr>
          <w:rFonts w:ascii="Times New Roman" w:hAnsi="Times New Roman" w:cs="Times New Roman"/>
          <w:color w:val="000000"/>
          <w:sz w:val="24"/>
          <w:szCs w:val="24"/>
        </w:rPr>
        <w:t>erations and such positions are established and liquidated in an orderly manner in accordance with sound commercial practices and, for transactions or positions on contract markets subject to trading and position limits in effect pursuant to section 4a of the Act, unless the provisions of paragraphs (z)(2) and (3) of this section and §§ 1.47 and 1.48 of the regulations have been satisfied.</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Enumerated hedging transactions. The definitions of bona fide hedging transactions and </w:t>
      </w:r>
      <w:r>
        <w:rPr>
          <w:rFonts w:ascii="Times New Roman" w:hAnsi="Times New Roman" w:cs="Times New Roman"/>
          <w:color w:val="000000"/>
          <w:sz w:val="24"/>
          <w:szCs w:val="24"/>
        </w:rPr>
        <w:lastRenderedPageBreak/>
        <w:t>positions in paragraph (z</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1) of this section includes, but is not limited to, the following sp</w:t>
      </w:r>
      <w:r>
        <w:rPr>
          <w:rFonts w:ascii="Times New Roman" w:hAnsi="Times New Roman" w:cs="Times New Roman"/>
          <w:color w:val="000000"/>
          <w:sz w:val="24"/>
          <w:szCs w:val="24"/>
        </w:rPr>
        <w:t>e</w:t>
      </w:r>
      <w:r>
        <w:rPr>
          <w:rFonts w:ascii="Times New Roman" w:hAnsi="Times New Roman" w:cs="Times New Roman"/>
          <w:color w:val="000000"/>
          <w:sz w:val="24"/>
          <w:szCs w:val="24"/>
        </w:rPr>
        <w:t>cific transactions and positions: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Sales of any commodity for future delivery on a contract market which do not exceed in quantity:</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(A) Ownership or fixed-price purchase of the same cash commodity by the same person; and</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(B) Twelve months' unsold anticipated production of the same commodity by the same person provided that no such position is maintained in any future during the five last trading days of that future.</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(ii) Purchases of any commodity for future delivery on a contract market which do not exceed in quantity.</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(A) The fixed-price sale of the same cash commodity by the same person.</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(B) The quantity equivalent of fixed-price sales of the cash products and by-products of such commodity by the same person; and</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(C) Twelve months' unfilled anticipated requirements of the same cash commodity for processing, manufacturing, or feeding by the same person, provided that such transactions and positions in the five last trading days of any one future do not exceed the person's u</w:t>
      </w:r>
      <w:r>
        <w:rPr>
          <w:rFonts w:ascii="Times New Roman" w:hAnsi="Times New Roman" w:cs="Times New Roman"/>
          <w:color w:val="000000"/>
          <w:sz w:val="24"/>
          <w:szCs w:val="24"/>
        </w:rPr>
        <w:t>n</w:t>
      </w:r>
      <w:r>
        <w:rPr>
          <w:rFonts w:ascii="Times New Roman" w:hAnsi="Times New Roman" w:cs="Times New Roman"/>
          <w:color w:val="000000"/>
          <w:sz w:val="24"/>
          <w:szCs w:val="24"/>
        </w:rPr>
        <w:t>filled anticipated requirements of the same cash commodity for that month and for the next succeeding month.</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(iii) Offsetting sales and purchases for future delivery on a contract market which do not e</w:t>
      </w:r>
      <w:r>
        <w:rPr>
          <w:rFonts w:ascii="Times New Roman" w:hAnsi="Times New Roman" w:cs="Times New Roman"/>
          <w:color w:val="000000"/>
          <w:sz w:val="24"/>
          <w:szCs w:val="24"/>
        </w:rPr>
        <w:t>x</w:t>
      </w:r>
      <w:r>
        <w:rPr>
          <w:rFonts w:ascii="Times New Roman" w:hAnsi="Times New Roman" w:cs="Times New Roman"/>
          <w:color w:val="000000"/>
          <w:sz w:val="24"/>
          <w:szCs w:val="24"/>
        </w:rPr>
        <w:t>ceed in quantity that amount of the same cash commodity which has been bought and sold by the same person at unfixed prices basis different delivery months of the contract market, pr</w:t>
      </w:r>
      <w:r>
        <w:rPr>
          <w:rFonts w:ascii="Times New Roman" w:hAnsi="Times New Roman" w:cs="Times New Roman"/>
          <w:color w:val="000000"/>
          <w:sz w:val="24"/>
          <w:szCs w:val="24"/>
        </w:rPr>
        <w:t>o</w:t>
      </w:r>
      <w:r>
        <w:rPr>
          <w:rFonts w:ascii="Times New Roman" w:hAnsi="Times New Roman" w:cs="Times New Roman"/>
          <w:color w:val="000000"/>
          <w:sz w:val="24"/>
          <w:szCs w:val="24"/>
        </w:rPr>
        <w:t>vided that no such position is maintained in any future during the five last trading days of that future.</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bookmarkStart w:id="5" w:name="Document1zzSDUNumber2"/>
      <w:bookmarkEnd w:id="5"/>
      <w:r>
        <w:rPr>
          <w:rFonts w:ascii="Times New Roman" w:hAnsi="Times New Roman" w:cs="Times New Roman"/>
          <w:color w:val="000000"/>
          <w:sz w:val="24"/>
          <w:szCs w:val="24"/>
        </w:rPr>
        <w:t>(iv) Sales and purchases for future delivery described in paragraphs (z)(2)(</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(ii), and (iii) of this section may also be offset other than by the same quantity of the same cash commodity, provided that the fluctuations in value of the position for future delivery are substantially r</w:t>
      </w:r>
      <w:r>
        <w:rPr>
          <w:rFonts w:ascii="Times New Roman" w:hAnsi="Times New Roman" w:cs="Times New Roman"/>
          <w:color w:val="000000"/>
          <w:sz w:val="24"/>
          <w:szCs w:val="24"/>
        </w:rPr>
        <w:t>e</w:t>
      </w:r>
      <w:r>
        <w:rPr>
          <w:rFonts w:ascii="Times New Roman" w:hAnsi="Times New Roman" w:cs="Times New Roman"/>
          <w:color w:val="000000"/>
          <w:sz w:val="24"/>
          <w:szCs w:val="24"/>
        </w:rPr>
        <w:t>lated to the fluctuations in value of the actual or anticipated cash position, and provided that the positions in any one future shall not be maintained during the five last trading days of that future.</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(3) Non-enumerated cases. Upon specific request made in accordance with § 1.47 of the re</w:t>
      </w:r>
      <w:r>
        <w:rPr>
          <w:rFonts w:ascii="Times New Roman" w:hAnsi="Times New Roman" w:cs="Times New Roman"/>
          <w:color w:val="000000"/>
          <w:sz w:val="24"/>
          <w:szCs w:val="24"/>
        </w:rPr>
        <w:t>g</w:t>
      </w:r>
      <w:r>
        <w:rPr>
          <w:rFonts w:ascii="Times New Roman" w:hAnsi="Times New Roman" w:cs="Times New Roman"/>
          <w:color w:val="000000"/>
          <w:sz w:val="24"/>
          <w:szCs w:val="24"/>
        </w:rPr>
        <w:lastRenderedPageBreak/>
        <w:t>ulations, the Commission may recognize transactions and positions other than those enum</w:t>
      </w:r>
      <w:r>
        <w:rPr>
          <w:rFonts w:ascii="Times New Roman" w:hAnsi="Times New Roman" w:cs="Times New Roman"/>
          <w:color w:val="000000"/>
          <w:sz w:val="24"/>
          <w:szCs w:val="24"/>
        </w:rPr>
        <w:t>e</w:t>
      </w:r>
      <w:r>
        <w:rPr>
          <w:rFonts w:ascii="Times New Roman" w:hAnsi="Times New Roman" w:cs="Times New Roman"/>
          <w:color w:val="000000"/>
          <w:sz w:val="24"/>
          <w:szCs w:val="24"/>
        </w:rPr>
        <w:t xml:space="preserve">rated in paragraph (z)(2) of this section as bona fide hedging in such amount and under such terms and conditions as it may specify in accordance with the provisions of </w:t>
      </w:r>
      <w:hyperlink r:id="rId31" w:history="1">
        <w:r>
          <w:rPr>
            <w:rFonts w:ascii="Times New Roman" w:hAnsi="Times New Roman" w:cs="Times New Roman"/>
            <w:color w:val="0000FF"/>
            <w:sz w:val="24"/>
            <w:szCs w:val="24"/>
            <w:u w:val="single"/>
          </w:rPr>
          <w:t>§ 1.47</w:t>
        </w:r>
      </w:hyperlink>
      <w:r>
        <w:rPr>
          <w:rFonts w:ascii="Times New Roman" w:hAnsi="Times New Roman" w:cs="Times New Roman"/>
          <w:color w:val="000000"/>
          <w:sz w:val="24"/>
          <w:szCs w:val="24"/>
        </w:rPr>
        <w:t xml:space="preserve">. Such transactions and positions may include, but are not limited to, purchases or sales for future delivery on any contract market by an agent who does not own or who has not contracted to sell or purchase the offsetting cash commodity at a fixed price, </w:t>
      </w:r>
      <w:r>
        <w:rPr>
          <w:rFonts w:ascii="Times New Roman" w:hAnsi="Times New Roman" w:cs="Times New Roman"/>
          <w:i/>
          <w:iCs/>
          <w:color w:val="000000"/>
          <w:sz w:val="24"/>
          <w:szCs w:val="24"/>
        </w:rPr>
        <w:t>provided</w:t>
      </w:r>
      <w:r>
        <w:rPr>
          <w:rFonts w:ascii="Times New Roman" w:hAnsi="Times New Roman" w:cs="Times New Roman"/>
          <w:color w:val="000000"/>
          <w:sz w:val="24"/>
          <w:szCs w:val="24"/>
        </w:rPr>
        <w:t xml:space="preserve"> That the person is r</w:t>
      </w:r>
      <w:r>
        <w:rPr>
          <w:rFonts w:ascii="Times New Roman" w:hAnsi="Times New Roman" w:cs="Times New Roman"/>
          <w:color w:val="000000"/>
          <w:sz w:val="24"/>
          <w:szCs w:val="24"/>
        </w:rPr>
        <w:t>e</w:t>
      </w:r>
      <w:r>
        <w:rPr>
          <w:rFonts w:ascii="Times New Roman" w:hAnsi="Times New Roman" w:cs="Times New Roman"/>
          <w:color w:val="000000"/>
          <w:sz w:val="24"/>
          <w:szCs w:val="24"/>
        </w:rPr>
        <w:t>sponsible for the merchandising of the cash position which is being offset.</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END OF DOCUMENT</w:t>
      </w:r>
    </w:p>
    <w:p w:rsidR="005E3FD2" w:rsidRDefault="005E3FD2">
      <w:pPr>
        <w:widowControl w:val="0"/>
        <w:autoSpaceDE w:val="0"/>
        <w:autoSpaceDN w:val="0"/>
        <w:adjustRightInd w:val="0"/>
        <w:spacing w:after="0" w:line="240" w:lineRule="auto"/>
        <w:rPr>
          <w:rFonts w:ascii="Times New Roman" w:hAnsi="Times New Roman" w:cs="Times New Roman"/>
          <w:sz w:val="24"/>
          <w:szCs w:val="24"/>
        </w:rPr>
      </w:pPr>
    </w:p>
    <w:p w:rsidR="00AF381C" w:rsidRDefault="00AF381C">
      <w:pPr>
        <w:rPr>
          <w:rFonts w:ascii="Times New Roman" w:hAnsi="Times New Roman" w:cs="Times New Roman"/>
          <w:sz w:val="24"/>
          <w:szCs w:val="24"/>
        </w:rPr>
      </w:pPr>
      <w:r>
        <w:rPr>
          <w:rFonts w:ascii="Times New Roman" w:hAnsi="Times New Roman" w:cs="Times New Roman"/>
          <w:sz w:val="24"/>
          <w:szCs w:val="24"/>
        </w:rPr>
        <w:br w:type="page"/>
      </w:r>
    </w:p>
    <w:p w:rsidR="005E3FD2" w:rsidRDefault="005E3FD2">
      <w:pPr>
        <w:widowControl w:val="0"/>
        <w:autoSpaceDE w:val="0"/>
        <w:autoSpaceDN w:val="0"/>
        <w:adjustRightInd w:val="0"/>
        <w:spacing w:after="0" w:line="240" w:lineRule="auto"/>
        <w:rPr>
          <w:rFonts w:ascii="Times New Roman" w:hAnsi="Times New Roman" w:cs="Times New Roman"/>
          <w:sz w:val="24"/>
          <w:szCs w:val="24"/>
        </w:rPr>
        <w:sectPr w:rsidR="005E3FD2" w:rsidSect="005E3FD2">
          <w:headerReference w:type="default" r:id="rId32"/>
          <w:footerReference w:type="default" r:id="rId33"/>
          <w:type w:val="continuous"/>
          <w:pgSz w:w="12240" w:h="15840"/>
          <w:pgMar w:top="2520" w:right="1440" w:bottom="1800" w:left="1440" w:header="720" w:footer="720" w:gutter="0"/>
          <w:cols w:space="720"/>
          <w:noEndnote/>
          <w:docGrid w:linePitch="360"/>
        </w:sectPr>
      </w:pP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123825" cy="123825"/>
            <wp:effectExtent l="1905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5E3FD2" w:rsidRDefault="005E3FD2">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Effective</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 xml:space="preserve">See Text Amendments] </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Code of Federal Regulations </w:t>
      </w:r>
      <w:hyperlink w:anchor="Document1zzI6E488FB0334611DEA168E6BA6939" w:history="1">
        <w:proofErr w:type="spellStart"/>
        <w:r>
          <w:rPr>
            <w:rFonts w:ascii="Times New Roman" w:hAnsi="Times New Roman" w:cs="Times New Roman"/>
            <w:color w:val="0000FF"/>
            <w:sz w:val="24"/>
            <w:szCs w:val="24"/>
            <w:u w:val="single"/>
          </w:rPr>
          <w:t>Currentness</w:t>
        </w:r>
        <w:proofErr w:type="spellEnd"/>
      </w:hyperlink>
    </w:p>
    <w:p w:rsidR="005E3FD2" w:rsidRDefault="005E3FD2">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Title 17.</w:t>
      </w:r>
      <w:proofErr w:type="gramEnd"/>
      <w:r>
        <w:rPr>
          <w:rFonts w:ascii="Times New Roman" w:hAnsi="Times New Roman" w:cs="Times New Roman"/>
          <w:color w:val="000000"/>
          <w:sz w:val="24"/>
          <w:szCs w:val="24"/>
        </w:rPr>
        <w:t xml:space="preserve"> Commodity and Securities Exchanges</w:t>
      </w: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Chapter I. Commodity Futures Trading Commission</w:t>
      </w:r>
    </w:p>
    <w:p w:rsidR="005E3FD2" w:rsidRDefault="008234A1">
      <w:pPr>
        <w:widowControl w:val="0"/>
        <w:autoSpaceDE w:val="0"/>
        <w:autoSpaceDN w:val="0"/>
        <w:adjustRightInd w:val="0"/>
        <w:spacing w:after="0" w:line="240" w:lineRule="auto"/>
        <w:ind w:left="540"/>
        <w:jc w:val="both"/>
        <w:rPr>
          <w:rFonts w:ascii="Times New Roman" w:hAnsi="Times New Roman" w:cs="Times New Roman"/>
          <w:color w:val="000000"/>
          <w:sz w:val="24"/>
          <w:szCs w:val="24"/>
        </w:rPr>
      </w:pPr>
      <w:hyperlink r:id="rId34" w:history="1">
        <w:r w:rsidR="005E3FD2">
          <w:rPr>
            <w:rFonts w:ascii="Times New Roman" w:hAnsi="Times New Roman" w:cs="Times New Roman"/>
            <w:noProof/>
            <w:color w:val="0000FF"/>
            <w:sz w:val="24"/>
            <w:szCs w:val="24"/>
            <w:u w:val="single"/>
          </w:rPr>
          <w:drawing>
            <wp:inline distT="0" distB="0" distL="0" distR="0">
              <wp:extent cx="123825" cy="123825"/>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5E3FD2">
          <w:rPr>
            <w:rFonts w:ascii="Times New Roman" w:hAnsi="Times New Roman" w:cs="Times New Roman"/>
            <w:color w:val="0000FF"/>
            <w:sz w:val="24"/>
            <w:szCs w:val="24"/>
            <w:u w:val="single"/>
          </w:rPr>
          <w:t xml:space="preserve"> </w:t>
        </w:r>
        <w:proofErr w:type="gramStart"/>
        <w:r w:rsidR="005E3FD2">
          <w:rPr>
            <w:rFonts w:ascii="Times New Roman" w:hAnsi="Times New Roman" w:cs="Times New Roman"/>
            <w:color w:val="0000FF"/>
            <w:sz w:val="24"/>
            <w:szCs w:val="24"/>
            <w:u w:val="single"/>
          </w:rPr>
          <w:t>Part 1</w:t>
        </w:r>
      </w:hyperlink>
      <w:r w:rsidR="005E3FD2">
        <w:rPr>
          <w:rFonts w:ascii="Times New Roman" w:hAnsi="Times New Roman" w:cs="Times New Roman"/>
          <w:color w:val="000000"/>
          <w:sz w:val="24"/>
          <w:szCs w:val="24"/>
        </w:rPr>
        <w:t>.</w:t>
      </w:r>
      <w:proofErr w:type="gramEnd"/>
      <w:r w:rsidR="005E3FD2">
        <w:rPr>
          <w:rFonts w:ascii="Times New Roman" w:hAnsi="Times New Roman" w:cs="Times New Roman"/>
          <w:color w:val="000000"/>
          <w:sz w:val="24"/>
          <w:szCs w:val="24"/>
        </w:rPr>
        <w:t xml:space="preserve"> General Regulations </w:t>
      </w:r>
      <w:proofErr w:type="gramStart"/>
      <w:r w:rsidR="005E3FD2">
        <w:rPr>
          <w:rFonts w:ascii="Times New Roman" w:hAnsi="Times New Roman" w:cs="Times New Roman"/>
          <w:color w:val="000000"/>
          <w:sz w:val="24"/>
          <w:szCs w:val="24"/>
        </w:rPr>
        <w:t>Under</w:t>
      </w:r>
      <w:proofErr w:type="gramEnd"/>
      <w:r w:rsidR="005E3FD2">
        <w:rPr>
          <w:rFonts w:ascii="Times New Roman" w:hAnsi="Times New Roman" w:cs="Times New Roman"/>
          <w:color w:val="000000"/>
          <w:sz w:val="24"/>
          <w:szCs w:val="24"/>
        </w:rPr>
        <w:t xml:space="preserve"> the Commodity Exchange Act </w:t>
      </w:r>
      <w:hyperlink r:id="rId35" w:history="1">
        <w:r w:rsidR="005E3FD2">
          <w:rPr>
            <w:rFonts w:ascii="Times New Roman" w:hAnsi="Times New Roman" w:cs="Times New Roman"/>
            <w:color w:val="0000FF"/>
            <w:sz w:val="24"/>
            <w:szCs w:val="24"/>
            <w:u w:val="single"/>
          </w:rPr>
          <w:t xml:space="preserve">(Refs &amp; </w:t>
        </w:r>
        <w:proofErr w:type="spellStart"/>
        <w:r w:rsidR="005E3FD2">
          <w:rPr>
            <w:rFonts w:ascii="Times New Roman" w:hAnsi="Times New Roman" w:cs="Times New Roman"/>
            <w:color w:val="0000FF"/>
            <w:sz w:val="24"/>
            <w:szCs w:val="24"/>
            <w:u w:val="single"/>
          </w:rPr>
          <w:t>Annos</w:t>
        </w:r>
        <w:proofErr w:type="spellEnd"/>
        <w:r w:rsidR="005E3FD2">
          <w:rPr>
            <w:rFonts w:ascii="Times New Roman" w:hAnsi="Times New Roman" w:cs="Times New Roman"/>
            <w:color w:val="0000FF"/>
            <w:sz w:val="24"/>
            <w:szCs w:val="24"/>
            <w:u w:val="single"/>
          </w:rPr>
          <w:t>)</w:t>
        </w:r>
      </w:hyperlink>
    </w:p>
    <w:p w:rsidR="005E3FD2" w:rsidRDefault="008234A1">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hyperlink r:id="rId36" w:history="1">
        <w:r w:rsidR="005E3FD2">
          <w:rPr>
            <w:rFonts w:ascii="Times New Roman" w:hAnsi="Times New Roman" w:cs="Times New Roman"/>
            <w:noProof/>
            <w:color w:val="0000FF"/>
            <w:sz w:val="24"/>
            <w:szCs w:val="24"/>
            <w:u w:val="single"/>
          </w:rPr>
          <w:drawing>
            <wp:inline distT="0" distB="0" distL="0" distR="0">
              <wp:extent cx="123825" cy="123825"/>
              <wp:effectExtent l="19050" t="0" r="9525"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5E3FD2">
          <w:rPr>
            <w:rFonts w:ascii="Times New Roman" w:hAnsi="Times New Roman" w:cs="Times New Roman"/>
            <w:color w:val="0000FF"/>
            <w:sz w:val="24"/>
            <w:szCs w:val="24"/>
            <w:u w:val="single"/>
          </w:rPr>
          <w:t xml:space="preserve"> </w:t>
        </w:r>
      </w:hyperlink>
      <w:r w:rsidR="005E3FD2">
        <w:rPr>
          <w:rFonts w:ascii="Times New Roman" w:hAnsi="Times New Roman" w:cs="Times New Roman"/>
          <w:color w:val="000000"/>
          <w:sz w:val="24"/>
          <w:szCs w:val="24"/>
        </w:rPr>
        <w:t>Miscellaneous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900"/>
        <w:jc w:val="both"/>
        <w:rPr>
          <w:rFonts w:ascii="Times New Roman" w:hAnsi="Times New Roman" w:cs="Times New Roman"/>
          <w:color w:val="000000"/>
          <w:sz w:val="24"/>
          <w:szCs w:val="24"/>
        </w:rPr>
      </w:pPr>
      <w:r>
        <w:rPr>
          <w:rFonts w:ascii="Times New Roman" w:hAnsi="Times New Roman" w:cs="Times New Roman"/>
          <w:b/>
          <w:bCs/>
          <w:noProof/>
          <w:color w:val="000000"/>
          <w:sz w:val="24"/>
          <w:szCs w:val="24"/>
        </w:rPr>
        <w:drawing>
          <wp:inline distT="0" distB="0" distL="0" distR="0">
            <wp:extent cx="123825" cy="123825"/>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Times New Roman" w:hAnsi="Times New Roman" w:cs="Times New Roman"/>
          <w:b/>
          <w:bCs/>
          <w:color w:val="000000"/>
          <w:sz w:val="24"/>
          <w:szCs w:val="24"/>
        </w:rPr>
        <w:t xml:space="preserve"> § 1.47 Requirements for classification of purchases or sales of contracts for f</w:t>
      </w:r>
      <w:r>
        <w:rPr>
          <w:rFonts w:ascii="Times New Roman" w:hAnsi="Times New Roman" w:cs="Times New Roman"/>
          <w:b/>
          <w:bCs/>
          <w:color w:val="000000"/>
          <w:sz w:val="24"/>
          <w:szCs w:val="24"/>
        </w:rPr>
        <w:t>u</w:t>
      </w:r>
      <w:r>
        <w:rPr>
          <w:rFonts w:ascii="Times New Roman" w:hAnsi="Times New Roman" w:cs="Times New Roman"/>
          <w:b/>
          <w:bCs/>
          <w:color w:val="000000"/>
          <w:sz w:val="24"/>
          <w:szCs w:val="24"/>
        </w:rPr>
        <w:t>ture delivery as bona fide hedging under § 1.3(z</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 of the regulations.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Any person who wishes to avail himself of the provisions of § 1.3(z</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3) of the regulations and to make purchases or sales of any commodity for future delivery in any commodity in excess of trading and position limits then in effect pursuant to section 4a of the Act shall file statement with the Commission in conformity with the requirements of this section. All or a specified portion of the transactions and positions described in these statements shall not be considered as bona fide hedging if such person is so notified by the Commission:</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(1) Within 30 days after the Commission is furnished the information required under paragraph (b) of this section, or</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(2) Within 10 days after the Commission is furnished with the information required under paragraph (c) of this section.</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Commission may request the person notified to file specific additional information with the Commission to support a determination that all, or the specified portion, of the transactions and positions be considered as bona fide hedging transactions and positions. In such cases, the Co</w:t>
      </w:r>
      <w:r>
        <w:rPr>
          <w:rFonts w:ascii="Times New Roman" w:hAnsi="Times New Roman" w:cs="Times New Roman"/>
          <w:color w:val="000000"/>
          <w:sz w:val="24"/>
          <w:szCs w:val="24"/>
        </w:rPr>
        <w:t>m</w:t>
      </w:r>
      <w:r>
        <w:rPr>
          <w:rFonts w:ascii="Times New Roman" w:hAnsi="Times New Roman" w:cs="Times New Roman"/>
          <w:color w:val="000000"/>
          <w:sz w:val="24"/>
          <w:szCs w:val="24"/>
        </w:rPr>
        <w:t>mission shall consider all information so filed and, by notice to such person, shall specify the extent to which the Commission has determined that the transactions and positions may be cla</w:t>
      </w:r>
      <w:r>
        <w:rPr>
          <w:rFonts w:ascii="Times New Roman" w:hAnsi="Times New Roman" w:cs="Times New Roman"/>
          <w:color w:val="000000"/>
          <w:sz w:val="24"/>
          <w:szCs w:val="24"/>
        </w:rPr>
        <w:t>s</w:t>
      </w:r>
      <w:r>
        <w:rPr>
          <w:rFonts w:ascii="Times New Roman" w:hAnsi="Times New Roman" w:cs="Times New Roman"/>
          <w:color w:val="000000"/>
          <w:sz w:val="24"/>
          <w:szCs w:val="24"/>
        </w:rPr>
        <w:t>sified as bona fide hedging. In no case shall transactions and positions described be considered as bona fide hedging if they exceed the levels specified in paragraph (d) of this section.</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Initial statement. Initial statements concerning the classification of transactions and positions as bona fide hedging pursuant to </w:t>
      </w:r>
      <w:hyperlink r:id="rId37" w:history="1">
        <w:r>
          <w:rPr>
            <w:rFonts w:ascii="Times New Roman" w:hAnsi="Times New Roman" w:cs="Times New Roman"/>
            <w:color w:val="0000FF"/>
            <w:sz w:val="24"/>
            <w:szCs w:val="24"/>
            <w:u w:val="single"/>
          </w:rPr>
          <w:t>§ 1.3(z)(3)</w:t>
        </w:r>
      </w:hyperlink>
      <w:r>
        <w:rPr>
          <w:rFonts w:ascii="Times New Roman" w:hAnsi="Times New Roman" w:cs="Times New Roman"/>
          <w:color w:val="000000"/>
          <w:sz w:val="24"/>
          <w:szCs w:val="24"/>
        </w:rPr>
        <w:t xml:space="preserve"> shall be filed with the Commission at least 30 days in advance of the date that such transactions or positions would be in excess of limits then in effect pursuant to section 4a of the Act. Such statements shall:</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(1) Describe the transactions and positions for future delivery and the offsetting cash positions;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Set forth in detail information </w:t>
      </w:r>
      <w:proofErr w:type="gramStart"/>
      <w:r>
        <w:rPr>
          <w:rFonts w:ascii="Times New Roman" w:hAnsi="Times New Roman" w:cs="Times New Roman"/>
          <w:color w:val="000000"/>
          <w:sz w:val="24"/>
          <w:szCs w:val="24"/>
        </w:rPr>
        <w:t xml:space="preserve">which will demonstrate that the purchases and sales are </w:t>
      </w:r>
      <w:r>
        <w:rPr>
          <w:rFonts w:ascii="Times New Roman" w:hAnsi="Times New Roman" w:cs="Times New Roman"/>
          <w:color w:val="000000"/>
          <w:sz w:val="24"/>
          <w:szCs w:val="24"/>
        </w:rPr>
        <w:lastRenderedPageBreak/>
        <w:t>economically appropriate to the reduction of risk exposure attendant to the conduct and management of a commercial enterprise;</w:t>
      </w:r>
      <w:proofErr w:type="gramEnd"/>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(3) Contain, and upon request of the Commission be supplemented by, such other information which is necessary to enable the Commission to make a determination whether the particular purchases and sales for future delivery fall within the scope of those described in section 1.3(z)(1) of the regulations;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(4) Include a statement concerning the maximum size of positions for future delivery (both long and short) which will be acquired any time during the next fiscal year or marketing season of the person filing or on whose behalf the filing is made.</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(5) In addition: statements filed by an agent, concerning a futures position which would offset a cash position which the agent does not own or has not contracted to buy or sell, shall contain information describing all contractual arrangements between the agent filing and the person who owns the commodity or holds the cash market commitment being offset;</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(6) Statements concerning futures positions to be acquired against unsold anticipated produ</w:t>
      </w:r>
      <w:r>
        <w:rPr>
          <w:rFonts w:ascii="Times New Roman" w:hAnsi="Times New Roman" w:cs="Times New Roman"/>
          <w:color w:val="000000"/>
          <w:sz w:val="24"/>
          <w:szCs w:val="24"/>
        </w:rPr>
        <w:t>c</w:t>
      </w:r>
      <w:r>
        <w:rPr>
          <w:rFonts w:ascii="Times New Roman" w:hAnsi="Times New Roman" w:cs="Times New Roman"/>
          <w:color w:val="000000"/>
          <w:sz w:val="24"/>
          <w:szCs w:val="24"/>
        </w:rPr>
        <w:t>tion or unfilled anticipated requirements for manufacturing, processing or feeding shall also include the information required under § 1.48 of the regulations.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Supplemental reports. Whenever the purchases or sales which a person wishes to classify as bona fide hedging shall exceed the amount provided in the person's most recent filing pursuant to this section or the amount previously specified by the Commission pursuant to paragraph (a) of this section, such person shall file with the Commission a statement which updates the information provided in the person's most recent filing and provides the reasons for this change at least ten days in advance of the date that person wishes to exceed those amounts.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Maximum purchases and sales. Purchases and sales for future delivery considered bona fide hedging pursuant to § 1.3(z</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3) of the regulations shall at no time exceed the lesser of:</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(1) The value fluctuation equivalent (in terms of the commodity for future delivery) of the current cash position described in the information most recently filed pursuant to this section, or</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(2) The maximum level of long or short open positions provided in the information most r</w:t>
      </w:r>
      <w:r>
        <w:rPr>
          <w:rFonts w:ascii="Times New Roman" w:hAnsi="Times New Roman" w:cs="Times New Roman"/>
          <w:color w:val="000000"/>
          <w:sz w:val="24"/>
          <w:szCs w:val="24"/>
        </w:rPr>
        <w:t>e</w:t>
      </w:r>
      <w:r>
        <w:rPr>
          <w:rFonts w:ascii="Times New Roman" w:hAnsi="Times New Roman" w:cs="Times New Roman"/>
          <w:color w:val="000000"/>
          <w:sz w:val="24"/>
          <w:szCs w:val="24"/>
        </w:rPr>
        <w:t>cently filed pursuant to this section or most recently specified by the Commission pursuant to paragraph (a) of this section.</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 Updated reports. Reports updating the information required pursuant to this section also shall be filed with the Commission upon specific request.</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firstLine="180"/>
        <w:jc w:val="both"/>
        <w:rPr>
          <w:rFonts w:ascii="Times New Roman" w:hAnsi="Times New Roman" w:cs="Times New Roman"/>
          <w:color w:val="000000"/>
          <w:sz w:val="24"/>
          <w:szCs w:val="24"/>
        </w:rPr>
      </w:pPr>
      <w:r>
        <w:rPr>
          <w:rFonts w:ascii="Times New Roman" w:hAnsi="Times New Roman" w:cs="Times New Roman"/>
          <w:color w:val="000000"/>
          <w:sz w:val="24"/>
          <w:szCs w:val="24"/>
        </w:rPr>
        <w:t>(Approved by the Office of Management and Budget under control number 3038-0013)</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[42 FR 42751, Aug. 8, 1977, as amended at </w:t>
      </w:r>
      <w:hyperlink r:id="rId38" w:history="1">
        <w:r>
          <w:rPr>
            <w:rFonts w:ascii="Times New Roman" w:hAnsi="Times New Roman" w:cs="Times New Roman"/>
            <w:color w:val="0000FF"/>
            <w:sz w:val="24"/>
            <w:szCs w:val="24"/>
            <w:u w:val="single"/>
          </w:rPr>
          <w:t>46 FR 63035</w:t>
        </w:r>
      </w:hyperlink>
      <w:r>
        <w:rPr>
          <w:rFonts w:ascii="Times New Roman" w:hAnsi="Times New Roman" w:cs="Times New Roman"/>
          <w:color w:val="000000"/>
          <w:sz w:val="24"/>
          <w:szCs w:val="24"/>
        </w:rPr>
        <w:t>, Dec. 30, 1981]</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41 FR 3194, Jan. 21, 1976; 51 FR 2691, Jan. 21, 1986; 51 FR 17473, May 13, 1986; </w:t>
      </w:r>
      <w:hyperlink r:id="rId39" w:history="1">
        <w:r>
          <w:rPr>
            <w:rFonts w:ascii="Times New Roman" w:hAnsi="Times New Roman" w:cs="Times New Roman"/>
            <w:color w:val="0000FF"/>
            <w:sz w:val="24"/>
            <w:szCs w:val="24"/>
            <w:u w:val="single"/>
          </w:rPr>
          <w:t>52 FR 46072</w:t>
        </w:r>
      </w:hyperlink>
      <w:r>
        <w:rPr>
          <w:rFonts w:ascii="Times New Roman" w:hAnsi="Times New Roman" w:cs="Times New Roman"/>
          <w:color w:val="000000"/>
          <w:sz w:val="24"/>
          <w:szCs w:val="24"/>
        </w:rPr>
        <w:t xml:space="preserve">, Dec. 4, 1987; 54 FR 41077, Oct. 5, 1989, 57 FR 23143, June 2, 1992; 58 FR 10952, Feb. 23, 1993; 58 FR 19589, April 15, 1993; </w:t>
      </w:r>
      <w:hyperlink r:id="rId40" w:history="1">
        <w:r>
          <w:rPr>
            <w:rFonts w:ascii="Times New Roman" w:hAnsi="Times New Roman" w:cs="Times New Roman"/>
            <w:color w:val="0000FF"/>
            <w:sz w:val="24"/>
            <w:szCs w:val="24"/>
            <w:u w:val="single"/>
          </w:rPr>
          <w:t>59 FR 5525</w:t>
        </w:r>
      </w:hyperlink>
      <w:r>
        <w:rPr>
          <w:rFonts w:ascii="Times New Roman" w:hAnsi="Times New Roman" w:cs="Times New Roman"/>
          <w:color w:val="000000"/>
          <w:sz w:val="24"/>
          <w:szCs w:val="24"/>
        </w:rPr>
        <w:t>, Feb. 7, 1994; 66 FR 42269, Aug. 10, 2001, unless otherwise noted.</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AUTHORITY: </w:t>
      </w:r>
      <w:hyperlink r:id="rId41" w:history="1">
        <w:r>
          <w:rPr>
            <w:rFonts w:ascii="Times New Roman" w:hAnsi="Times New Roman" w:cs="Times New Roman"/>
            <w:color w:val="0000FF"/>
            <w:sz w:val="24"/>
            <w:szCs w:val="24"/>
            <w:u w:val="single"/>
          </w:rPr>
          <w:t>7 U.S.C. 1a</w:t>
        </w:r>
      </w:hyperlink>
      <w:r>
        <w:rPr>
          <w:rFonts w:ascii="Times New Roman" w:hAnsi="Times New Roman" w:cs="Times New Roman"/>
          <w:color w:val="000000"/>
          <w:sz w:val="24"/>
          <w:szCs w:val="24"/>
        </w:rPr>
        <w:t xml:space="preserve">, </w:t>
      </w:r>
      <w:hyperlink r:id="rId42" w:history="1">
        <w:r>
          <w:rPr>
            <w:rFonts w:ascii="Times New Roman" w:hAnsi="Times New Roman" w:cs="Times New Roman"/>
            <w:color w:val="0000FF"/>
            <w:sz w:val="24"/>
            <w:szCs w:val="24"/>
            <w:u w:val="single"/>
          </w:rPr>
          <w:t>2</w:t>
        </w:r>
      </w:hyperlink>
      <w:r>
        <w:rPr>
          <w:rFonts w:ascii="Times New Roman" w:hAnsi="Times New Roman" w:cs="Times New Roman"/>
          <w:color w:val="000000"/>
          <w:sz w:val="24"/>
          <w:szCs w:val="24"/>
        </w:rPr>
        <w:t xml:space="preserve">, </w:t>
      </w:r>
      <w:hyperlink r:id="rId43" w:history="1">
        <w:r>
          <w:rPr>
            <w:rFonts w:ascii="Times New Roman" w:hAnsi="Times New Roman" w:cs="Times New Roman"/>
            <w:color w:val="0000FF"/>
            <w:sz w:val="24"/>
            <w:szCs w:val="24"/>
            <w:u w:val="single"/>
          </w:rPr>
          <w:t>5</w:t>
        </w:r>
      </w:hyperlink>
      <w:r>
        <w:rPr>
          <w:rFonts w:ascii="Times New Roman" w:hAnsi="Times New Roman" w:cs="Times New Roman"/>
          <w:color w:val="000000"/>
          <w:sz w:val="24"/>
          <w:szCs w:val="24"/>
        </w:rPr>
        <w:t xml:space="preserve">, </w:t>
      </w:r>
      <w:hyperlink r:id="rId44" w:history="1">
        <w:r>
          <w:rPr>
            <w:rFonts w:ascii="Times New Roman" w:hAnsi="Times New Roman" w:cs="Times New Roman"/>
            <w:color w:val="0000FF"/>
            <w:sz w:val="24"/>
            <w:szCs w:val="24"/>
            <w:u w:val="single"/>
          </w:rPr>
          <w:t>6</w:t>
        </w:r>
      </w:hyperlink>
      <w:r>
        <w:rPr>
          <w:rFonts w:ascii="Times New Roman" w:hAnsi="Times New Roman" w:cs="Times New Roman"/>
          <w:color w:val="000000"/>
          <w:sz w:val="24"/>
          <w:szCs w:val="24"/>
        </w:rPr>
        <w:t xml:space="preserve">, </w:t>
      </w:r>
      <w:hyperlink r:id="rId45" w:history="1">
        <w:r>
          <w:rPr>
            <w:rFonts w:ascii="Times New Roman" w:hAnsi="Times New Roman" w:cs="Times New Roman"/>
            <w:color w:val="0000FF"/>
            <w:sz w:val="24"/>
            <w:szCs w:val="24"/>
            <w:u w:val="single"/>
          </w:rPr>
          <w:t>6a</w:t>
        </w:r>
      </w:hyperlink>
      <w:r>
        <w:rPr>
          <w:rFonts w:ascii="Times New Roman" w:hAnsi="Times New Roman" w:cs="Times New Roman"/>
          <w:color w:val="000000"/>
          <w:sz w:val="24"/>
          <w:szCs w:val="24"/>
        </w:rPr>
        <w:t xml:space="preserve">, </w:t>
      </w:r>
      <w:hyperlink r:id="rId46" w:history="1">
        <w:r>
          <w:rPr>
            <w:rFonts w:ascii="Times New Roman" w:hAnsi="Times New Roman" w:cs="Times New Roman"/>
            <w:color w:val="0000FF"/>
            <w:sz w:val="24"/>
            <w:szCs w:val="24"/>
            <w:u w:val="single"/>
          </w:rPr>
          <w:t>6b</w:t>
        </w:r>
      </w:hyperlink>
      <w:r>
        <w:rPr>
          <w:rFonts w:ascii="Times New Roman" w:hAnsi="Times New Roman" w:cs="Times New Roman"/>
          <w:color w:val="000000"/>
          <w:sz w:val="24"/>
          <w:szCs w:val="24"/>
        </w:rPr>
        <w:t xml:space="preserve">, </w:t>
      </w:r>
      <w:hyperlink r:id="rId47" w:history="1">
        <w:r>
          <w:rPr>
            <w:rFonts w:ascii="Times New Roman" w:hAnsi="Times New Roman" w:cs="Times New Roman"/>
            <w:color w:val="0000FF"/>
            <w:sz w:val="24"/>
            <w:szCs w:val="24"/>
            <w:u w:val="single"/>
          </w:rPr>
          <w:t>6c</w:t>
        </w:r>
      </w:hyperlink>
      <w:r>
        <w:rPr>
          <w:rFonts w:ascii="Times New Roman" w:hAnsi="Times New Roman" w:cs="Times New Roman"/>
          <w:color w:val="000000"/>
          <w:sz w:val="24"/>
          <w:szCs w:val="24"/>
        </w:rPr>
        <w:t xml:space="preserve">, </w:t>
      </w:r>
      <w:hyperlink r:id="rId48" w:history="1">
        <w:r>
          <w:rPr>
            <w:rFonts w:ascii="Times New Roman" w:hAnsi="Times New Roman" w:cs="Times New Roman"/>
            <w:color w:val="0000FF"/>
            <w:sz w:val="24"/>
            <w:szCs w:val="24"/>
            <w:u w:val="single"/>
          </w:rPr>
          <w:t>6d</w:t>
        </w:r>
      </w:hyperlink>
      <w:r>
        <w:rPr>
          <w:rFonts w:ascii="Times New Roman" w:hAnsi="Times New Roman" w:cs="Times New Roman"/>
          <w:color w:val="000000"/>
          <w:sz w:val="24"/>
          <w:szCs w:val="24"/>
        </w:rPr>
        <w:t xml:space="preserve">, </w:t>
      </w:r>
      <w:hyperlink r:id="rId49" w:history="1">
        <w:r>
          <w:rPr>
            <w:rFonts w:ascii="Times New Roman" w:hAnsi="Times New Roman" w:cs="Times New Roman"/>
            <w:color w:val="0000FF"/>
            <w:sz w:val="24"/>
            <w:szCs w:val="24"/>
            <w:u w:val="single"/>
          </w:rPr>
          <w:t>6e</w:t>
        </w:r>
      </w:hyperlink>
      <w:r>
        <w:rPr>
          <w:rFonts w:ascii="Times New Roman" w:hAnsi="Times New Roman" w:cs="Times New Roman"/>
          <w:color w:val="000000"/>
          <w:sz w:val="24"/>
          <w:szCs w:val="24"/>
        </w:rPr>
        <w:t xml:space="preserve">, </w:t>
      </w:r>
      <w:hyperlink r:id="rId50" w:history="1">
        <w:r>
          <w:rPr>
            <w:rFonts w:ascii="Times New Roman" w:hAnsi="Times New Roman" w:cs="Times New Roman"/>
            <w:color w:val="0000FF"/>
            <w:sz w:val="24"/>
            <w:szCs w:val="24"/>
            <w:u w:val="single"/>
          </w:rPr>
          <w:t>6f</w:t>
        </w:r>
      </w:hyperlink>
      <w:r>
        <w:rPr>
          <w:rFonts w:ascii="Times New Roman" w:hAnsi="Times New Roman" w:cs="Times New Roman"/>
          <w:color w:val="000000"/>
          <w:sz w:val="24"/>
          <w:szCs w:val="24"/>
        </w:rPr>
        <w:t xml:space="preserve">, </w:t>
      </w:r>
      <w:hyperlink r:id="rId51" w:history="1">
        <w:r>
          <w:rPr>
            <w:rFonts w:ascii="Times New Roman" w:hAnsi="Times New Roman" w:cs="Times New Roman"/>
            <w:color w:val="0000FF"/>
            <w:sz w:val="24"/>
            <w:szCs w:val="24"/>
            <w:u w:val="single"/>
          </w:rPr>
          <w:t>6g</w:t>
        </w:r>
      </w:hyperlink>
      <w:r>
        <w:rPr>
          <w:rFonts w:ascii="Times New Roman" w:hAnsi="Times New Roman" w:cs="Times New Roman"/>
          <w:color w:val="000000"/>
          <w:sz w:val="24"/>
          <w:szCs w:val="24"/>
        </w:rPr>
        <w:t xml:space="preserve">, </w:t>
      </w:r>
      <w:hyperlink r:id="rId52" w:history="1">
        <w:r>
          <w:rPr>
            <w:rFonts w:ascii="Times New Roman" w:hAnsi="Times New Roman" w:cs="Times New Roman"/>
            <w:color w:val="0000FF"/>
            <w:sz w:val="24"/>
            <w:szCs w:val="24"/>
            <w:u w:val="single"/>
          </w:rPr>
          <w:t>6h</w:t>
        </w:r>
      </w:hyperlink>
      <w:r>
        <w:rPr>
          <w:rFonts w:ascii="Times New Roman" w:hAnsi="Times New Roman" w:cs="Times New Roman"/>
          <w:color w:val="000000"/>
          <w:sz w:val="24"/>
          <w:szCs w:val="24"/>
        </w:rPr>
        <w:t xml:space="preserve">, </w:t>
      </w:r>
      <w:hyperlink r:id="rId53" w:history="1">
        <w:r>
          <w:rPr>
            <w:rFonts w:ascii="Times New Roman" w:hAnsi="Times New Roman" w:cs="Times New Roman"/>
            <w:color w:val="0000FF"/>
            <w:sz w:val="24"/>
            <w:szCs w:val="24"/>
            <w:u w:val="single"/>
          </w:rPr>
          <w:t>6i</w:t>
        </w:r>
      </w:hyperlink>
      <w:r>
        <w:rPr>
          <w:rFonts w:ascii="Times New Roman" w:hAnsi="Times New Roman" w:cs="Times New Roman"/>
          <w:color w:val="000000"/>
          <w:sz w:val="24"/>
          <w:szCs w:val="24"/>
        </w:rPr>
        <w:t xml:space="preserve">, </w:t>
      </w:r>
      <w:hyperlink r:id="rId54" w:history="1">
        <w:r>
          <w:rPr>
            <w:rFonts w:ascii="Times New Roman" w:hAnsi="Times New Roman" w:cs="Times New Roman"/>
            <w:color w:val="0000FF"/>
            <w:sz w:val="24"/>
            <w:szCs w:val="24"/>
            <w:u w:val="single"/>
          </w:rPr>
          <w:t>6j</w:t>
        </w:r>
      </w:hyperlink>
      <w:r>
        <w:rPr>
          <w:rFonts w:ascii="Times New Roman" w:hAnsi="Times New Roman" w:cs="Times New Roman"/>
          <w:color w:val="000000"/>
          <w:sz w:val="24"/>
          <w:szCs w:val="24"/>
        </w:rPr>
        <w:t xml:space="preserve">, </w:t>
      </w:r>
      <w:hyperlink r:id="rId55" w:history="1">
        <w:r>
          <w:rPr>
            <w:rFonts w:ascii="Times New Roman" w:hAnsi="Times New Roman" w:cs="Times New Roman"/>
            <w:color w:val="0000FF"/>
            <w:sz w:val="24"/>
            <w:szCs w:val="24"/>
            <w:u w:val="single"/>
          </w:rPr>
          <w:t>6k</w:t>
        </w:r>
      </w:hyperlink>
      <w:r>
        <w:rPr>
          <w:rFonts w:ascii="Times New Roman" w:hAnsi="Times New Roman" w:cs="Times New Roman"/>
          <w:color w:val="000000"/>
          <w:sz w:val="24"/>
          <w:szCs w:val="24"/>
        </w:rPr>
        <w:t xml:space="preserve">, </w:t>
      </w:r>
      <w:hyperlink r:id="rId56" w:history="1">
        <w:r>
          <w:rPr>
            <w:rFonts w:ascii="Times New Roman" w:hAnsi="Times New Roman" w:cs="Times New Roman"/>
            <w:color w:val="0000FF"/>
            <w:sz w:val="24"/>
            <w:szCs w:val="24"/>
            <w:u w:val="single"/>
          </w:rPr>
          <w:t>6l</w:t>
        </w:r>
      </w:hyperlink>
      <w:r>
        <w:rPr>
          <w:rFonts w:ascii="Times New Roman" w:hAnsi="Times New Roman" w:cs="Times New Roman"/>
          <w:color w:val="000000"/>
          <w:sz w:val="24"/>
          <w:szCs w:val="24"/>
        </w:rPr>
        <w:t xml:space="preserve">, </w:t>
      </w:r>
      <w:hyperlink r:id="rId57" w:history="1">
        <w:r>
          <w:rPr>
            <w:rFonts w:ascii="Times New Roman" w:hAnsi="Times New Roman" w:cs="Times New Roman"/>
            <w:color w:val="0000FF"/>
            <w:sz w:val="24"/>
            <w:szCs w:val="24"/>
            <w:u w:val="single"/>
          </w:rPr>
          <w:t>6m</w:t>
        </w:r>
      </w:hyperlink>
      <w:r>
        <w:rPr>
          <w:rFonts w:ascii="Times New Roman" w:hAnsi="Times New Roman" w:cs="Times New Roman"/>
          <w:color w:val="000000"/>
          <w:sz w:val="24"/>
          <w:szCs w:val="24"/>
        </w:rPr>
        <w:t xml:space="preserve">, </w:t>
      </w:r>
      <w:hyperlink r:id="rId58" w:history="1">
        <w:r>
          <w:rPr>
            <w:rFonts w:ascii="Times New Roman" w:hAnsi="Times New Roman" w:cs="Times New Roman"/>
            <w:color w:val="0000FF"/>
            <w:sz w:val="24"/>
            <w:szCs w:val="24"/>
            <w:u w:val="single"/>
          </w:rPr>
          <w:t>6n</w:t>
        </w:r>
      </w:hyperlink>
      <w:r>
        <w:rPr>
          <w:rFonts w:ascii="Times New Roman" w:hAnsi="Times New Roman" w:cs="Times New Roman"/>
          <w:color w:val="000000"/>
          <w:sz w:val="24"/>
          <w:szCs w:val="24"/>
        </w:rPr>
        <w:t xml:space="preserve">, </w:t>
      </w:r>
      <w:hyperlink r:id="rId59" w:history="1">
        <w:r>
          <w:rPr>
            <w:rFonts w:ascii="Times New Roman" w:hAnsi="Times New Roman" w:cs="Times New Roman"/>
            <w:color w:val="0000FF"/>
            <w:sz w:val="24"/>
            <w:szCs w:val="24"/>
            <w:u w:val="single"/>
          </w:rPr>
          <w:t>6o</w:t>
        </w:r>
      </w:hyperlink>
      <w:r>
        <w:rPr>
          <w:rFonts w:ascii="Times New Roman" w:hAnsi="Times New Roman" w:cs="Times New Roman"/>
          <w:color w:val="000000"/>
          <w:sz w:val="24"/>
          <w:szCs w:val="24"/>
        </w:rPr>
        <w:t xml:space="preserve">, </w:t>
      </w:r>
      <w:hyperlink r:id="rId60" w:history="1">
        <w:r>
          <w:rPr>
            <w:rFonts w:ascii="Times New Roman" w:hAnsi="Times New Roman" w:cs="Times New Roman"/>
            <w:color w:val="0000FF"/>
            <w:sz w:val="24"/>
            <w:szCs w:val="24"/>
            <w:u w:val="single"/>
          </w:rPr>
          <w:t>6p</w:t>
        </w:r>
      </w:hyperlink>
      <w:r>
        <w:rPr>
          <w:rFonts w:ascii="Times New Roman" w:hAnsi="Times New Roman" w:cs="Times New Roman"/>
          <w:color w:val="000000"/>
          <w:sz w:val="24"/>
          <w:szCs w:val="24"/>
        </w:rPr>
        <w:t xml:space="preserve">, </w:t>
      </w:r>
      <w:hyperlink r:id="rId61" w:history="1">
        <w:r>
          <w:rPr>
            <w:rFonts w:ascii="Times New Roman" w:hAnsi="Times New Roman" w:cs="Times New Roman"/>
            <w:color w:val="0000FF"/>
            <w:sz w:val="24"/>
            <w:szCs w:val="24"/>
            <w:u w:val="single"/>
          </w:rPr>
          <w:t>7</w:t>
        </w:r>
      </w:hyperlink>
      <w:r>
        <w:rPr>
          <w:rFonts w:ascii="Times New Roman" w:hAnsi="Times New Roman" w:cs="Times New Roman"/>
          <w:color w:val="000000"/>
          <w:sz w:val="24"/>
          <w:szCs w:val="24"/>
        </w:rPr>
        <w:t xml:space="preserve">, </w:t>
      </w:r>
      <w:hyperlink r:id="rId62" w:history="1">
        <w:r>
          <w:rPr>
            <w:rFonts w:ascii="Times New Roman" w:hAnsi="Times New Roman" w:cs="Times New Roman"/>
            <w:color w:val="0000FF"/>
            <w:sz w:val="24"/>
            <w:szCs w:val="24"/>
            <w:u w:val="single"/>
          </w:rPr>
          <w:t>7a</w:t>
        </w:r>
      </w:hyperlink>
      <w:r>
        <w:rPr>
          <w:rFonts w:ascii="Times New Roman" w:hAnsi="Times New Roman" w:cs="Times New Roman"/>
          <w:color w:val="000000"/>
          <w:sz w:val="24"/>
          <w:szCs w:val="24"/>
        </w:rPr>
        <w:t xml:space="preserve">, </w:t>
      </w:r>
      <w:hyperlink r:id="rId63" w:history="1">
        <w:r>
          <w:rPr>
            <w:rFonts w:ascii="Times New Roman" w:hAnsi="Times New Roman" w:cs="Times New Roman"/>
            <w:color w:val="0000FF"/>
            <w:sz w:val="24"/>
            <w:szCs w:val="24"/>
            <w:u w:val="single"/>
          </w:rPr>
          <w:t>7b</w:t>
        </w:r>
      </w:hyperlink>
      <w:r>
        <w:rPr>
          <w:rFonts w:ascii="Times New Roman" w:hAnsi="Times New Roman" w:cs="Times New Roman"/>
          <w:color w:val="000000"/>
          <w:sz w:val="24"/>
          <w:szCs w:val="24"/>
        </w:rPr>
        <w:t xml:space="preserve">, </w:t>
      </w:r>
      <w:hyperlink r:id="rId64" w:history="1">
        <w:r>
          <w:rPr>
            <w:rFonts w:ascii="Times New Roman" w:hAnsi="Times New Roman" w:cs="Times New Roman"/>
            <w:color w:val="0000FF"/>
            <w:sz w:val="24"/>
            <w:szCs w:val="24"/>
            <w:u w:val="single"/>
          </w:rPr>
          <w:t>8</w:t>
        </w:r>
      </w:hyperlink>
      <w:r>
        <w:rPr>
          <w:rFonts w:ascii="Times New Roman" w:hAnsi="Times New Roman" w:cs="Times New Roman"/>
          <w:color w:val="000000"/>
          <w:sz w:val="24"/>
          <w:szCs w:val="24"/>
        </w:rPr>
        <w:t xml:space="preserve">, </w:t>
      </w:r>
      <w:hyperlink r:id="rId65" w:history="1">
        <w:r>
          <w:rPr>
            <w:rFonts w:ascii="Times New Roman" w:hAnsi="Times New Roman" w:cs="Times New Roman"/>
            <w:color w:val="0000FF"/>
            <w:sz w:val="24"/>
            <w:szCs w:val="24"/>
            <w:u w:val="single"/>
          </w:rPr>
          <w:t>9</w:t>
        </w:r>
      </w:hyperlink>
      <w:r>
        <w:rPr>
          <w:rFonts w:ascii="Times New Roman" w:hAnsi="Times New Roman" w:cs="Times New Roman"/>
          <w:color w:val="000000"/>
          <w:sz w:val="24"/>
          <w:szCs w:val="24"/>
        </w:rPr>
        <w:t xml:space="preserve">, </w:t>
      </w:r>
      <w:hyperlink r:id="rId66" w:history="1">
        <w:r>
          <w:rPr>
            <w:rFonts w:ascii="Times New Roman" w:hAnsi="Times New Roman" w:cs="Times New Roman"/>
            <w:color w:val="0000FF"/>
            <w:sz w:val="24"/>
            <w:szCs w:val="24"/>
            <w:u w:val="single"/>
          </w:rPr>
          <w:t>12</w:t>
        </w:r>
      </w:hyperlink>
      <w:r>
        <w:rPr>
          <w:rFonts w:ascii="Times New Roman" w:hAnsi="Times New Roman" w:cs="Times New Roman"/>
          <w:color w:val="000000"/>
          <w:sz w:val="24"/>
          <w:szCs w:val="24"/>
        </w:rPr>
        <w:t xml:space="preserve">, </w:t>
      </w:r>
      <w:hyperlink r:id="rId67" w:history="1">
        <w:r>
          <w:rPr>
            <w:rFonts w:ascii="Times New Roman" w:hAnsi="Times New Roman" w:cs="Times New Roman"/>
            <w:color w:val="0000FF"/>
            <w:sz w:val="24"/>
            <w:szCs w:val="24"/>
            <w:u w:val="single"/>
          </w:rPr>
          <w:t>12a</w:t>
        </w:r>
      </w:hyperlink>
      <w:r>
        <w:rPr>
          <w:rFonts w:ascii="Times New Roman" w:hAnsi="Times New Roman" w:cs="Times New Roman"/>
          <w:color w:val="000000"/>
          <w:sz w:val="24"/>
          <w:szCs w:val="24"/>
        </w:rPr>
        <w:t xml:space="preserve">, </w:t>
      </w:r>
      <w:hyperlink r:id="rId68" w:history="1">
        <w:r>
          <w:rPr>
            <w:rFonts w:ascii="Times New Roman" w:hAnsi="Times New Roman" w:cs="Times New Roman"/>
            <w:color w:val="0000FF"/>
            <w:sz w:val="24"/>
            <w:szCs w:val="24"/>
            <w:u w:val="single"/>
          </w:rPr>
          <w:t>12c</w:t>
        </w:r>
      </w:hyperlink>
      <w:r>
        <w:rPr>
          <w:rFonts w:ascii="Times New Roman" w:hAnsi="Times New Roman" w:cs="Times New Roman"/>
          <w:color w:val="000000"/>
          <w:sz w:val="24"/>
          <w:szCs w:val="24"/>
        </w:rPr>
        <w:t xml:space="preserve">, </w:t>
      </w:r>
      <w:hyperlink r:id="rId69" w:history="1">
        <w:r>
          <w:rPr>
            <w:rFonts w:ascii="Times New Roman" w:hAnsi="Times New Roman" w:cs="Times New Roman"/>
            <w:color w:val="0000FF"/>
            <w:sz w:val="24"/>
            <w:szCs w:val="24"/>
            <w:u w:val="single"/>
          </w:rPr>
          <w:t>13a</w:t>
        </w:r>
      </w:hyperlink>
      <w:r>
        <w:rPr>
          <w:rFonts w:ascii="Times New Roman" w:hAnsi="Times New Roman" w:cs="Times New Roman"/>
          <w:color w:val="000000"/>
          <w:sz w:val="24"/>
          <w:szCs w:val="24"/>
        </w:rPr>
        <w:t xml:space="preserve">, </w:t>
      </w:r>
      <w:hyperlink r:id="rId70" w:history="1">
        <w:r>
          <w:rPr>
            <w:rFonts w:ascii="Times New Roman" w:hAnsi="Times New Roman" w:cs="Times New Roman"/>
            <w:color w:val="0000FF"/>
            <w:sz w:val="24"/>
            <w:szCs w:val="24"/>
            <w:u w:val="single"/>
          </w:rPr>
          <w:t>13a</w:t>
        </w:r>
      </w:hyperlink>
      <w:r>
        <w:rPr>
          <w:rFonts w:ascii="Times New Roman" w:hAnsi="Times New Roman" w:cs="Times New Roman"/>
          <w:color w:val="000000"/>
          <w:sz w:val="24"/>
          <w:szCs w:val="24"/>
        </w:rPr>
        <w:t>-</w:t>
      </w:r>
      <w:hyperlink r:id="rId71" w:history="1">
        <w:r>
          <w:rPr>
            <w:rFonts w:ascii="Times New Roman" w:hAnsi="Times New Roman" w:cs="Times New Roman"/>
            <w:color w:val="0000FF"/>
            <w:sz w:val="24"/>
            <w:szCs w:val="24"/>
            <w:u w:val="single"/>
          </w:rPr>
          <w:t>1</w:t>
        </w:r>
      </w:hyperlink>
      <w:r>
        <w:rPr>
          <w:rFonts w:ascii="Times New Roman" w:hAnsi="Times New Roman" w:cs="Times New Roman"/>
          <w:color w:val="000000"/>
          <w:sz w:val="24"/>
          <w:szCs w:val="24"/>
        </w:rPr>
        <w:t xml:space="preserve">, </w:t>
      </w:r>
      <w:hyperlink r:id="rId72" w:history="1">
        <w:r>
          <w:rPr>
            <w:rFonts w:ascii="Times New Roman" w:hAnsi="Times New Roman" w:cs="Times New Roman"/>
            <w:color w:val="0000FF"/>
            <w:sz w:val="24"/>
            <w:szCs w:val="24"/>
            <w:u w:val="single"/>
          </w:rPr>
          <w:t>16</w:t>
        </w:r>
      </w:hyperlink>
      <w:r>
        <w:rPr>
          <w:rFonts w:ascii="Times New Roman" w:hAnsi="Times New Roman" w:cs="Times New Roman"/>
          <w:color w:val="000000"/>
          <w:sz w:val="24"/>
          <w:szCs w:val="24"/>
        </w:rPr>
        <w:t xml:space="preserve">, </w:t>
      </w:r>
      <w:hyperlink r:id="rId73" w:history="1">
        <w:r>
          <w:rPr>
            <w:rFonts w:ascii="Times New Roman" w:hAnsi="Times New Roman" w:cs="Times New Roman"/>
            <w:color w:val="0000FF"/>
            <w:sz w:val="24"/>
            <w:szCs w:val="24"/>
            <w:u w:val="single"/>
          </w:rPr>
          <w:t>16a</w:t>
        </w:r>
      </w:hyperlink>
      <w:r>
        <w:rPr>
          <w:rFonts w:ascii="Times New Roman" w:hAnsi="Times New Roman" w:cs="Times New Roman"/>
          <w:color w:val="000000"/>
          <w:sz w:val="24"/>
          <w:szCs w:val="24"/>
        </w:rPr>
        <w:t xml:space="preserve">, </w:t>
      </w:r>
      <w:hyperlink r:id="rId74" w:history="1">
        <w:r>
          <w:rPr>
            <w:rFonts w:ascii="Times New Roman" w:hAnsi="Times New Roman" w:cs="Times New Roman"/>
            <w:color w:val="0000FF"/>
            <w:sz w:val="24"/>
            <w:szCs w:val="24"/>
            <w:u w:val="single"/>
          </w:rPr>
          <w:t>19</w:t>
        </w:r>
      </w:hyperlink>
      <w:r>
        <w:rPr>
          <w:rFonts w:ascii="Times New Roman" w:hAnsi="Times New Roman" w:cs="Times New Roman"/>
          <w:color w:val="000000"/>
          <w:sz w:val="24"/>
          <w:szCs w:val="24"/>
        </w:rPr>
        <w:t xml:space="preserve">, </w:t>
      </w:r>
      <w:hyperlink r:id="rId75" w:history="1">
        <w:r>
          <w:rPr>
            <w:rFonts w:ascii="Times New Roman" w:hAnsi="Times New Roman" w:cs="Times New Roman"/>
            <w:color w:val="0000FF"/>
            <w:sz w:val="24"/>
            <w:szCs w:val="24"/>
            <w:u w:val="single"/>
          </w:rPr>
          <w:t>21</w:t>
        </w:r>
      </w:hyperlink>
      <w:r>
        <w:rPr>
          <w:rFonts w:ascii="Times New Roman" w:hAnsi="Times New Roman" w:cs="Times New Roman"/>
          <w:color w:val="000000"/>
          <w:sz w:val="24"/>
          <w:szCs w:val="24"/>
        </w:rPr>
        <w:t xml:space="preserve">, </w:t>
      </w:r>
      <w:hyperlink r:id="rId76" w:history="1">
        <w:r>
          <w:rPr>
            <w:rFonts w:ascii="Times New Roman" w:hAnsi="Times New Roman" w:cs="Times New Roman"/>
            <w:color w:val="0000FF"/>
            <w:sz w:val="24"/>
            <w:szCs w:val="24"/>
            <w:u w:val="single"/>
          </w:rPr>
          <w:t>23</w:t>
        </w:r>
      </w:hyperlink>
      <w:r>
        <w:rPr>
          <w:rFonts w:ascii="Times New Roman" w:hAnsi="Times New Roman" w:cs="Times New Roman"/>
          <w:color w:val="000000"/>
          <w:sz w:val="24"/>
          <w:szCs w:val="24"/>
        </w:rPr>
        <w:t xml:space="preserve">, and </w:t>
      </w:r>
      <w:hyperlink r:id="rId77" w:history="1">
        <w:r>
          <w:rPr>
            <w:rFonts w:ascii="Times New Roman" w:hAnsi="Times New Roman" w:cs="Times New Roman"/>
            <w:color w:val="0000FF"/>
            <w:sz w:val="24"/>
            <w:szCs w:val="24"/>
            <w:u w:val="single"/>
          </w:rPr>
          <w:t>24</w:t>
        </w:r>
      </w:hyperlink>
      <w:r>
        <w:rPr>
          <w:rFonts w:ascii="Times New Roman" w:hAnsi="Times New Roman" w:cs="Times New Roman"/>
          <w:color w:val="000000"/>
          <w:sz w:val="24"/>
          <w:szCs w:val="24"/>
        </w:rPr>
        <w:t xml:space="preserve">, as amended by the Commodity Futures Modernization Act of 2000, Appendix E of </w:t>
      </w:r>
      <w:hyperlink r:id="rId78"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xml:space="preserve">. </w:t>
        </w:r>
        <w:proofErr w:type="gramStart"/>
        <w:r>
          <w:rPr>
            <w:rFonts w:ascii="Times New Roman" w:hAnsi="Times New Roman" w:cs="Times New Roman"/>
            <w:color w:val="0000FF"/>
            <w:sz w:val="24"/>
            <w:szCs w:val="24"/>
            <w:u w:val="single"/>
          </w:rPr>
          <w:t>106-554, 114 Stat. 2763 (2000).</w:t>
        </w:r>
        <w:proofErr w:type="gramEnd"/>
      </w:hyperlink>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 C. F. R. § 1.47, 17 CFR § 1.47</w:t>
      </w: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6" w:name="Document1zzI6E488FB0334611DEA168E6BA6939"/>
      <w:bookmarkEnd w:id="6"/>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Current through July 10, 2009; 74 FR 33170</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2009 Thomson Reuters </w:t>
      </w: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END OF DOCUMENT</w:t>
      </w:r>
    </w:p>
    <w:p w:rsidR="00AF381C" w:rsidRDefault="00AF381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rPr>
          <w:rFonts w:ascii="Times New Roman" w:hAnsi="Times New Roman" w:cs="Times New Roman"/>
          <w:sz w:val="24"/>
          <w:szCs w:val="24"/>
        </w:rPr>
      </w:pPr>
    </w:p>
    <w:p w:rsidR="005E3FD2" w:rsidRDefault="005E3FD2">
      <w:pPr>
        <w:widowControl w:val="0"/>
        <w:autoSpaceDE w:val="0"/>
        <w:autoSpaceDN w:val="0"/>
        <w:adjustRightInd w:val="0"/>
        <w:spacing w:after="0" w:line="240" w:lineRule="auto"/>
        <w:rPr>
          <w:rFonts w:ascii="Times New Roman" w:hAnsi="Times New Roman" w:cs="Times New Roman"/>
          <w:sz w:val="24"/>
          <w:szCs w:val="24"/>
        </w:rPr>
        <w:sectPr w:rsidR="005E3FD2" w:rsidSect="005E3FD2">
          <w:headerReference w:type="default" r:id="rId79"/>
          <w:footerReference w:type="default" r:id="rId80"/>
          <w:type w:val="continuous"/>
          <w:pgSz w:w="12240" w:h="15840"/>
          <w:pgMar w:top="2520" w:right="1440" w:bottom="1800" w:left="1440" w:header="720" w:footer="720" w:gutter="0"/>
          <w:cols w:space="720"/>
          <w:noEndnote/>
          <w:docGrid w:linePitch="360"/>
        </w:sectPr>
      </w:pP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123825" cy="123825"/>
            <wp:effectExtent l="19050" t="0" r="9525"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5E3FD2" w:rsidRDefault="005E3FD2">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Effective</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 xml:space="preserve">See Text Amendments] </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Code of Federal Regulations </w:t>
      </w:r>
      <w:hyperlink w:anchor="Document1zzI4A9BB7E0334611DEA168E6BA6939" w:history="1">
        <w:proofErr w:type="spellStart"/>
        <w:r>
          <w:rPr>
            <w:rFonts w:ascii="Times New Roman" w:hAnsi="Times New Roman" w:cs="Times New Roman"/>
            <w:color w:val="0000FF"/>
            <w:sz w:val="24"/>
            <w:szCs w:val="24"/>
            <w:u w:val="single"/>
          </w:rPr>
          <w:t>Currentness</w:t>
        </w:r>
        <w:proofErr w:type="spellEnd"/>
      </w:hyperlink>
    </w:p>
    <w:p w:rsidR="005E3FD2" w:rsidRDefault="005E3FD2">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Title 17.</w:t>
      </w:r>
      <w:proofErr w:type="gramEnd"/>
      <w:r>
        <w:rPr>
          <w:rFonts w:ascii="Times New Roman" w:hAnsi="Times New Roman" w:cs="Times New Roman"/>
          <w:color w:val="000000"/>
          <w:sz w:val="24"/>
          <w:szCs w:val="24"/>
        </w:rPr>
        <w:t xml:space="preserve"> Commodity and Securities Exchanges</w:t>
      </w: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Chapter I. Commodity Futures Trading Commission</w:t>
      </w:r>
    </w:p>
    <w:p w:rsidR="005E3FD2" w:rsidRDefault="008234A1">
      <w:pPr>
        <w:widowControl w:val="0"/>
        <w:autoSpaceDE w:val="0"/>
        <w:autoSpaceDN w:val="0"/>
        <w:adjustRightInd w:val="0"/>
        <w:spacing w:after="0" w:line="240" w:lineRule="auto"/>
        <w:ind w:left="540"/>
        <w:jc w:val="both"/>
        <w:rPr>
          <w:rFonts w:ascii="Times New Roman" w:hAnsi="Times New Roman" w:cs="Times New Roman"/>
          <w:color w:val="000000"/>
          <w:sz w:val="24"/>
          <w:szCs w:val="24"/>
        </w:rPr>
      </w:pPr>
      <w:hyperlink r:id="rId81" w:history="1">
        <w:r w:rsidR="005E3FD2">
          <w:rPr>
            <w:rFonts w:ascii="Times New Roman" w:hAnsi="Times New Roman" w:cs="Times New Roman"/>
            <w:noProof/>
            <w:color w:val="0000FF"/>
            <w:sz w:val="24"/>
            <w:szCs w:val="24"/>
            <w:u w:val="single"/>
          </w:rPr>
          <w:drawing>
            <wp:inline distT="0" distB="0" distL="0" distR="0">
              <wp:extent cx="123825" cy="123825"/>
              <wp:effectExtent l="19050" t="0" r="952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5E3FD2">
          <w:rPr>
            <w:rFonts w:ascii="Times New Roman" w:hAnsi="Times New Roman" w:cs="Times New Roman"/>
            <w:color w:val="0000FF"/>
            <w:sz w:val="24"/>
            <w:szCs w:val="24"/>
            <w:u w:val="single"/>
          </w:rPr>
          <w:t xml:space="preserve"> </w:t>
        </w:r>
        <w:proofErr w:type="gramStart"/>
        <w:r w:rsidR="005E3FD2">
          <w:rPr>
            <w:rFonts w:ascii="Times New Roman" w:hAnsi="Times New Roman" w:cs="Times New Roman"/>
            <w:color w:val="0000FF"/>
            <w:sz w:val="24"/>
            <w:szCs w:val="24"/>
            <w:u w:val="single"/>
          </w:rPr>
          <w:t>Part 1</w:t>
        </w:r>
      </w:hyperlink>
      <w:r w:rsidR="005E3FD2">
        <w:rPr>
          <w:rFonts w:ascii="Times New Roman" w:hAnsi="Times New Roman" w:cs="Times New Roman"/>
          <w:color w:val="000000"/>
          <w:sz w:val="24"/>
          <w:szCs w:val="24"/>
        </w:rPr>
        <w:t>.</w:t>
      </w:r>
      <w:proofErr w:type="gramEnd"/>
      <w:r w:rsidR="005E3FD2">
        <w:rPr>
          <w:rFonts w:ascii="Times New Roman" w:hAnsi="Times New Roman" w:cs="Times New Roman"/>
          <w:color w:val="000000"/>
          <w:sz w:val="24"/>
          <w:szCs w:val="24"/>
        </w:rPr>
        <w:t xml:space="preserve"> General Regulations </w:t>
      </w:r>
      <w:proofErr w:type="gramStart"/>
      <w:r w:rsidR="005E3FD2">
        <w:rPr>
          <w:rFonts w:ascii="Times New Roman" w:hAnsi="Times New Roman" w:cs="Times New Roman"/>
          <w:color w:val="000000"/>
          <w:sz w:val="24"/>
          <w:szCs w:val="24"/>
        </w:rPr>
        <w:t>Under</w:t>
      </w:r>
      <w:proofErr w:type="gramEnd"/>
      <w:r w:rsidR="005E3FD2">
        <w:rPr>
          <w:rFonts w:ascii="Times New Roman" w:hAnsi="Times New Roman" w:cs="Times New Roman"/>
          <w:color w:val="000000"/>
          <w:sz w:val="24"/>
          <w:szCs w:val="24"/>
        </w:rPr>
        <w:t xml:space="preserve"> the Commodity Exchange Act </w:t>
      </w:r>
      <w:hyperlink r:id="rId82" w:history="1">
        <w:r w:rsidR="005E3FD2">
          <w:rPr>
            <w:rFonts w:ascii="Times New Roman" w:hAnsi="Times New Roman" w:cs="Times New Roman"/>
            <w:color w:val="0000FF"/>
            <w:sz w:val="24"/>
            <w:szCs w:val="24"/>
            <w:u w:val="single"/>
          </w:rPr>
          <w:t xml:space="preserve">(Refs &amp; </w:t>
        </w:r>
        <w:proofErr w:type="spellStart"/>
        <w:r w:rsidR="005E3FD2">
          <w:rPr>
            <w:rFonts w:ascii="Times New Roman" w:hAnsi="Times New Roman" w:cs="Times New Roman"/>
            <w:color w:val="0000FF"/>
            <w:sz w:val="24"/>
            <w:szCs w:val="24"/>
            <w:u w:val="single"/>
          </w:rPr>
          <w:t>Annos</w:t>
        </w:r>
        <w:proofErr w:type="spellEnd"/>
        <w:r w:rsidR="005E3FD2">
          <w:rPr>
            <w:rFonts w:ascii="Times New Roman" w:hAnsi="Times New Roman" w:cs="Times New Roman"/>
            <w:color w:val="0000FF"/>
            <w:sz w:val="24"/>
            <w:szCs w:val="24"/>
            <w:u w:val="single"/>
          </w:rPr>
          <w:t>)</w:t>
        </w:r>
      </w:hyperlink>
    </w:p>
    <w:p w:rsidR="005E3FD2" w:rsidRDefault="008234A1">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hyperlink r:id="rId83" w:history="1">
        <w:r w:rsidR="005E3FD2">
          <w:rPr>
            <w:rFonts w:ascii="Times New Roman" w:hAnsi="Times New Roman" w:cs="Times New Roman"/>
            <w:noProof/>
            <w:color w:val="0000FF"/>
            <w:sz w:val="24"/>
            <w:szCs w:val="24"/>
            <w:u w:val="single"/>
          </w:rPr>
          <w:drawing>
            <wp:inline distT="0" distB="0" distL="0" distR="0">
              <wp:extent cx="123825" cy="123825"/>
              <wp:effectExtent l="19050" t="0" r="9525"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5E3FD2">
          <w:rPr>
            <w:rFonts w:ascii="Times New Roman" w:hAnsi="Times New Roman" w:cs="Times New Roman"/>
            <w:color w:val="0000FF"/>
            <w:sz w:val="24"/>
            <w:szCs w:val="24"/>
            <w:u w:val="single"/>
          </w:rPr>
          <w:t xml:space="preserve"> </w:t>
        </w:r>
      </w:hyperlink>
      <w:r w:rsidR="005E3FD2">
        <w:rPr>
          <w:rFonts w:ascii="Times New Roman" w:hAnsi="Times New Roman" w:cs="Times New Roman"/>
          <w:color w:val="000000"/>
          <w:sz w:val="24"/>
          <w:szCs w:val="24"/>
        </w:rPr>
        <w:t>Miscellaneous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900"/>
        <w:jc w:val="both"/>
        <w:rPr>
          <w:rFonts w:ascii="Times New Roman" w:hAnsi="Times New Roman" w:cs="Times New Roman"/>
          <w:color w:val="000000"/>
          <w:sz w:val="24"/>
          <w:szCs w:val="24"/>
        </w:rPr>
      </w:pPr>
      <w:r>
        <w:rPr>
          <w:rFonts w:ascii="Times New Roman" w:hAnsi="Times New Roman" w:cs="Times New Roman"/>
          <w:b/>
          <w:bCs/>
          <w:noProof/>
          <w:color w:val="000000"/>
          <w:sz w:val="24"/>
          <w:szCs w:val="24"/>
        </w:rPr>
        <w:drawing>
          <wp:inline distT="0" distB="0" distL="0" distR="0">
            <wp:extent cx="123825" cy="123825"/>
            <wp:effectExtent l="1905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Times New Roman" w:hAnsi="Times New Roman" w:cs="Times New Roman"/>
          <w:b/>
          <w:bCs/>
          <w:color w:val="000000"/>
          <w:sz w:val="24"/>
          <w:szCs w:val="24"/>
        </w:rPr>
        <w:t xml:space="preserve"> § 1.48 Requirements for classif</w:t>
      </w:r>
      <w:r>
        <w:rPr>
          <w:rFonts w:ascii="Times New Roman" w:hAnsi="Times New Roman" w:cs="Times New Roman"/>
          <w:b/>
          <w:bCs/>
          <w:color w:val="000000"/>
          <w:sz w:val="24"/>
          <w:szCs w:val="24"/>
        </w:rPr>
        <w:t>i</w:t>
      </w:r>
      <w:r>
        <w:rPr>
          <w:rFonts w:ascii="Times New Roman" w:hAnsi="Times New Roman" w:cs="Times New Roman"/>
          <w:b/>
          <w:bCs/>
          <w:color w:val="000000"/>
          <w:sz w:val="24"/>
          <w:szCs w:val="24"/>
        </w:rPr>
        <w:t>cation of sales or purchases for f</w:t>
      </w:r>
      <w:r>
        <w:rPr>
          <w:rFonts w:ascii="Times New Roman" w:hAnsi="Times New Roman" w:cs="Times New Roman"/>
          <w:b/>
          <w:bCs/>
          <w:color w:val="000000"/>
          <w:sz w:val="24"/>
          <w:szCs w:val="24"/>
        </w:rPr>
        <w:t>u</w:t>
      </w:r>
      <w:r>
        <w:rPr>
          <w:rFonts w:ascii="Times New Roman" w:hAnsi="Times New Roman" w:cs="Times New Roman"/>
          <w:b/>
          <w:bCs/>
          <w:color w:val="000000"/>
          <w:sz w:val="24"/>
          <w:szCs w:val="24"/>
        </w:rPr>
        <w:t>ture delivery as bona fide hedging of unsold anticipated production or unfilled anticipated requirements under § 1.3(z)(2)(</w:t>
      </w:r>
      <w:proofErr w:type="spellStart"/>
      <w:r>
        <w:rPr>
          <w:rFonts w:ascii="Times New Roman" w:hAnsi="Times New Roman" w:cs="Times New Roman"/>
          <w:b/>
          <w:bCs/>
          <w:color w:val="000000"/>
          <w:sz w:val="24"/>
          <w:szCs w:val="24"/>
        </w:rPr>
        <w:t>i</w:t>
      </w:r>
      <w:proofErr w:type="spellEnd"/>
      <w:r>
        <w:rPr>
          <w:rFonts w:ascii="Times New Roman" w:hAnsi="Times New Roman" w:cs="Times New Roman"/>
          <w:b/>
          <w:bCs/>
          <w:color w:val="000000"/>
          <w:sz w:val="24"/>
          <w:szCs w:val="24"/>
        </w:rPr>
        <w:t>)(B) or (ii)(C) of the regulations.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Any person who wishes to avail himself of the provisions of § 1.3(z</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2)(</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)(B) or (ii)(C) of the regulations and to make sales or purchases for future delivery in any commodity in excess of trading and position limits then in effect pursuant to section 4a of the Act for the purposes of bona fide hedging shall file statements with the Commission in conformity with the requirements of this section. All or a specified portion of the unsold anticipated production or unfilled anti</w:t>
      </w:r>
      <w:r>
        <w:rPr>
          <w:rFonts w:ascii="Times New Roman" w:hAnsi="Times New Roman" w:cs="Times New Roman"/>
          <w:color w:val="000000"/>
          <w:sz w:val="24"/>
          <w:szCs w:val="24"/>
        </w:rPr>
        <w:t>c</w:t>
      </w:r>
      <w:r>
        <w:rPr>
          <w:rFonts w:ascii="Times New Roman" w:hAnsi="Times New Roman" w:cs="Times New Roman"/>
          <w:color w:val="000000"/>
          <w:sz w:val="24"/>
          <w:szCs w:val="24"/>
        </w:rPr>
        <w:t>ipated requirements described in these stat</w:t>
      </w:r>
      <w:r>
        <w:rPr>
          <w:rFonts w:ascii="Times New Roman" w:hAnsi="Times New Roman" w:cs="Times New Roman"/>
          <w:color w:val="000000"/>
          <w:sz w:val="24"/>
          <w:szCs w:val="24"/>
        </w:rPr>
        <w:t>e</w:t>
      </w:r>
      <w:r>
        <w:rPr>
          <w:rFonts w:ascii="Times New Roman" w:hAnsi="Times New Roman" w:cs="Times New Roman"/>
          <w:color w:val="000000"/>
          <w:sz w:val="24"/>
          <w:szCs w:val="24"/>
        </w:rPr>
        <w:t>ments shall not be considered as offsetting pos</w:t>
      </w:r>
      <w:r>
        <w:rPr>
          <w:rFonts w:ascii="Times New Roman" w:hAnsi="Times New Roman" w:cs="Times New Roman"/>
          <w:color w:val="000000"/>
          <w:sz w:val="24"/>
          <w:szCs w:val="24"/>
        </w:rPr>
        <w:t>i</w:t>
      </w:r>
      <w:r>
        <w:rPr>
          <w:rFonts w:ascii="Times New Roman" w:hAnsi="Times New Roman" w:cs="Times New Roman"/>
          <w:color w:val="000000"/>
          <w:sz w:val="24"/>
          <w:szCs w:val="24"/>
        </w:rPr>
        <w:t>tions for bona fide hedging transactions and p</w:t>
      </w:r>
      <w:r>
        <w:rPr>
          <w:rFonts w:ascii="Times New Roman" w:hAnsi="Times New Roman" w:cs="Times New Roman"/>
          <w:color w:val="000000"/>
          <w:sz w:val="24"/>
          <w:szCs w:val="24"/>
        </w:rPr>
        <w:t>o</w:t>
      </w:r>
      <w:r>
        <w:rPr>
          <w:rFonts w:ascii="Times New Roman" w:hAnsi="Times New Roman" w:cs="Times New Roman"/>
          <w:color w:val="000000"/>
          <w:sz w:val="24"/>
          <w:szCs w:val="24"/>
        </w:rPr>
        <w:t>sitions if such person is so notified by the Commission within ten days after the Commi</w:t>
      </w:r>
      <w:r>
        <w:rPr>
          <w:rFonts w:ascii="Times New Roman" w:hAnsi="Times New Roman" w:cs="Times New Roman"/>
          <w:color w:val="000000"/>
          <w:sz w:val="24"/>
          <w:szCs w:val="24"/>
        </w:rPr>
        <w:t>s</w:t>
      </w:r>
      <w:r>
        <w:rPr>
          <w:rFonts w:ascii="Times New Roman" w:hAnsi="Times New Roman" w:cs="Times New Roman"/>
          <w:color w:val="000000"/>
          <w:sz w:val="24"/>
          <w:szCs w:val="24"/>
        </w:rPr>
        <w:t xml:space="preserve">sion is furnished with the information required under paragraphs (b) or (c) of this section. The Commission may request the person notified to file specific additional information with the Commission to support a determination that the </w:t>
      </w:r>
      <w:r>
        <w:rPr>
          <w:rFonts w:ascii="Times New Roman" w:hAnsi="Times New Roman" w:cs="Times New Roman"/>
          <w:color w:val="000000"/>
          <w:sz w:val="24"/>
          <w:szCs w:val="24"/>
        </w:rPr>
        <w:lastRenderedPageBreak/>
        <w:t>statement filed accurately reflects unsold anti</w:t>
      </w:r>
      <w:r>
        <w:rPr>
          <w:rFonts w:ascii="Times New Roman" w:hAnsi="Times New Roman" w:cs="Times New Roman"/>
          <w:color w:val="000000"/>
          <w:sz w:val="24"/>
          <w:szCs w:val="24"/>
        </w:rPr>
        <w:t>c</w:t>
      </w:r>
      <w:r>
        <w:rPr>
          <w:rFonts w:ascii="Times New Roman" w:hAnsi="Times New Roman" w:cs="Times New Roman"/>
          <w:color w:val="000000"/>
          <w:sz w:val="24"/>
          <w:szCs w:val="24"/>
        </w:rPr>
        <w:t>ipated production or unfilled anticipated r</w:t>
      </w:r>
      <w:r>
        <w:rPr>
          <w:rFonts w:ascii="Times New Roman" w:hAnsi="Times New Roman" w:cs="Times New Roman"/>
          <w:color w:val="000000"/>
          <w:sz w:val="24"/>
          <w:szCs w:val="24"/>
        </w:rPr>
        <w:t>e</w:t>
      </w:r>
      <w:r>
        <w:rPr>
          <w:rFonts w:ascii="Times New Roman" w:hAnsi="Times New Roman" w:cs="Times New Roman"/>
          <w:color w:val="000000"/>
          <w:sz w:val="24"/>
          <w:szCs w:val="24"/>
        </w:rPr>
        <w:t>quirements for manufacturing, processing or feeding. In such cases, the Commission shall consider all additional information so filed and, by notice to such person, shall specify its dete</w:t>
      </w:r>
      <w:r>
        <w:rPr>
          <w:rFonts w:ascii="Times New Roman" w:hAnsi="Times New Roman" w:cs="Times New Roman"/>
          <w:color w:val="000000"/>
          <w:sz w:val="24"/>
          <w:szCs w:val="24"/>
        </w:rPr>
        <w:t>r</w:t>
      </w:r>
      <w:r>
        <w:rPr>
          <w:rFonts w:ascii="Times New Roman" w:hAnsi="Times New Roman" w:cs="Times New Roman"/>
          <w:color w:val="000000"/>
          <w:sz w:val="24"/>
          <w:szCs w:val="24"/>
        </w:rPr>
        <w:t>mination as to what portion of the production or requirements described constitutes unsold a</w:t>
      </w:r>
      <w:r>
        <w:rPr>
          <w:rFonts w:ascii="Times New Roman" w:hAnsi="Times New Roman" w:cs="Times New Roman"/>
          <w:color w:val="000000"/>
          <w:sz w:val="24"/>
          <w:szCs w:val="24"/>
        </w:rPr>
        <w:t>n</w:t>
      </w:r>
      <w:r>
        <w:rPr>
          <w:rFonts w:ascii="Times New Roman" w:hAnsi="Times New Roman" w:cs="Times New Roman"/>
          <w:color w:val="000000"/>
          <w:sz w:val="24"/>
          <w:szCs w:val="24"/>
        </w:rPr>
        <w:t>ticipated production or unfilled anticipated r</w:t>
      </w:r>
      <w:r>
        <w:rPr>
          <w:rFonts w:ascii="Times New Roman" w:hAnsi="Times New Roman" w:cs="Times New Roman"/>
          <w:color w:val="000000"/>
          <w:sz w:val="24"/>
          <w:szCs w:val="24"/>
        </w:rPr>
        <w:t>e</w:t>
      </w:r>
      <w:r>
        <w:rPr>
          <w:rFonts w:ascii="Times New Roman" w:hAnsi="Times New Roman" w:cs="Times New Roman"/>
          <w:color w:val="000000"/>
          <w:sz w:val="24"/>
          <w:szCs w:val="24"/>
        </w:rPr>
        <w:t>quirements for the purposes of bona fide hed</w:t>
      </w:r>
      <w:r>
        <w:rPr>
          <w:rFonts w:ascii="Times New Roman" w:hAnsi="Times New Roman" w:cs="Times New Roman"/>
          <w:color w:val="000000"/>
          <w:sz w:val="24"/>
          <w:szCs w:val="24"/>
        </w:rPr>
        <w:t>g</w:t>
      </w:r>
      <w:r>
        <w:rPr>
          <w:rFonts w:ascii="Times New Roman" w:hAnsi="Times New Roman" w:cs="Times New Roman"/>
          <w:color w:val="000000"/>
          <w:sz w:val="24"/>
          <w:szCs w:val="24"/>
        </w:rPr>
        <w:t>ing. In no case shall such transactions and pos</w:t>
      </w:r>
      <w:r>
        <w:rPr>
          <w:rFonts w:ascii="Times New Roman" w:hAnsi="Times New Roman" w:cs="Times New Roman"/>
          <w:color w:val="000000"/>
          <w:sz w:val="24"/>
          <w:szCs w:val="24"/>
        </w:rPr>
        <w:t>i</w:t>
      </w:r>
      <w:r>
        <w:rPr>
          <w:rFonts w:ascii="Times New Roman" w:hAnsi="Times New Roman" w:cs="Times New Roman"/>
          <w:color w:val="000000"/>
          <w:sz w:val="24"/>
          <w:szCs w:val="24"/>
        </w:rPr>
        <w:t>tions which offset unsold anticipated production or unfilled anticipated requirements be cons</w:t>
      </w:r>
      <w:r>
        <w:rPr>
          <w:rFonts w:ascii="Times New Roman" w:hAnsi="Times New Roman" w:cs="Times New Roman"/>
          <w:color w:val="000000"/>
          <w:sz w:val="24"/>
          <w:szCs w:val="24"/>
        </w:rPr>
        <w:t>i</w:t>
      </w:r>
      <w:r>
        <w:rPr>
          <w:rFonts w:ascii="Times New Roman" w:hAnsi="Times New Roman" w:cs="Times New Roman"/>
          <w:color w:val="000000"/>
          <w:sz w:val="24"/>
          <w:szCs w:val="24"/>
        </w:rPr>
        <w:t>dered bona fide hedging if they exceed the levels specified in paragraph (d) of this section of the regulations.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Initial statement. Initial statements concer</w:t>
      </w:r>
      <w:r>
        <w:rPr>
          <w:rFonts w:ascii="Times New Roman" w:hAnsi="Times New Roman" w:cs="Times New Roman"/>
          <w:color w:val="000000"/>
          <w:sz w:val="24"/>
          <w:szCs w:val="24"/>
        </w:rPr>
        <w:t>n</w:t>
      </w:r>
      <w:r>
        <w:rPr>
          <w:rFonts w:ascii="Times New Roman" w:hAnsi="Times New Roman" w:cs="Times New Roman"/>
          <w:color w:val="000000"/>
          <w:sz w:val="24"/>
          <w:szCs w:val="24"/>
        </w:rPr>
        <w:t>ing the classification of transactions and pos</w:t>
      </w:r>
      <w:r>
        <w:rPr>
          <w:rFonts w:ascii="Times New Roman" w:hAnsi="Times New Roman" w:cs="Times New Roman"/>
          <w:color w:val="000000"/>
          <w:sz w:val="24"/>
          <w:szCs w:val="24"/>
        </w:rPr>
        <w:t>i</w:t>
      </w:r>
      <w:r>
        <w:rPr>
          <w:rFonts w:ascii="Times New Roman" w:hAnsi="Times New Roman" w:cs="Times New Roman"/>
          <w:color w:val="000000"/>
          <w:sz w:val="24"/>
          <w:szCs w:val="24"/>
        </w:rPr>
        <w:t xml:space="preserve">tions as bona fide hedging pursuant to </w:t>
      </w:r>
      <w:hyperlink r:id="rId84" w:history="1">
        <w:r>
          <w:rPr>
            <w:rFonts w:ascii="Times New Roman" w:hAnsi="Times New Roman" w:cs="Times New Roman"/>
            <w:color w:val="0000FF"/>
            <w:sz w:val="24"/>
            <w:szCs w:val="24"/>
            <w:u w:val="single"/>
          </w:rPr>
          <w:t>§ 1.3(z)(2)(</w:t>
        </w:r>
        <w:proofErr w:type="spellStart"/>
        <w:r>
          <w:rPr>
            <w:rFonts w:ascii="Times New Roman" w:hAnsi="Times New Roman" w:cs="Times New Roman"/>
            <w:color w:val="0000FF"/>
            <w:sz w:val="24"/>
            <w:szCs w:val="24"/>
            <w:u w:val="single"/>
          </w:rPr>
          <w:t>i</w:t>
        </w:r>
        <w:proofErr w:type="spellEnd"/>
        <w:r>
          <w:rPr>
            <w:rFonts w:ascii="Times New Roman" w:hAnsi="Times New Roman" w:cs="Times New Roman"/>
            <w:color w:val="0000FF"/>
            <w:sz w:val="24"/>
            <w:szCs w:val="24"/>
            <w:u w:val="single"/>
          </w:rPr>
          <w:t>)(B)</w:t>
        </w:r>
      </w:hyperlink>
      <w:r>
        <w:rPr>
          <w:rFonts w:ascii="Times New Roman" w:hAnsi="Times New Roman" w:cs="Times New Roman"/>
          <w:color w:val="000000"/>
          <w:sz w:val="24"/>
          <w:szCs w:val="24"/>
        </w:rPr>
        <w:t xml:space="preserve"> or </w:t>
      </w:r>
      <w:hyperlink r:id="rId85" w:history="1">
        <w:r>
          <w:rPr>
            <w:rFonts w:ascii="Times New Roman" w:hAnsi="Times New Roman" w:cs="Times New Roman"/>
            <w:color w:val="0000FF"/>
            <w:sz w:val="24"/>
            <w:szCs w:val="24"/>
            <w:u w:val="single"/>
          </w:rPr>
          <w:t>(ii)</w:t>
        </w:r>
      </w:hyperlink>
      <w:r>
        <w:rPr>
          <w:rFonts w:ascii="Times New Roman" w:hAnsi="Times New Roman" w:cs="Times New Roman"/>
          <w:color w:val="000000"/>
          <w:sz w:val="24"/>
          <w:szCs w:val="24"/>
        </w:rPr>
        <w:t>(C) shall be filed with the Commission at least ten days in advance of the date that such transactions or positions would be in excess of limits then in effect pursuant to se</w:t>
      </w:r>
      <w:r>
        <w:rPr>
          <w:rFonts w:ascii="Times New Roman" w:hAnsi="Times New Roman" w:cs="Times New Roman"/>
          <w:color w:val="000000"/>
          <w:sz w:val="24"/>
          <w:szCs w:val="24"/>
        </w:rPr>
        <w:t>c</w:t>
      </w:r>
      <w:r>
        <w:rPr>
          <w:rFonts w:ascii="Times New Roman" w:hAnsi="Times New Roman" w:cs="Times New Roman"/>
          <w:color w:val="000000"/>
          <w:sz w:val="24"/>
          <w:szCs w:val="24"/>
        </w:rPr>
        <w:t>tion 4a of the Act. Such statements shall set forth in detail for a specified operating period not in excess of one year the person's unsold anti</w:t>
      </w:r>
      <w:r>
        <w:rPr>
          <w:rFonts w:ascii="Times New Roman" w:hAnsi="Times New Roman" w:cs="Times New Roman"/>
          <w:color w:val="000000"/>
          <w:sz w:val="24"/>
          <w:szCs w:val="24"/>
        </w:rPr>
        <w:t>c</w:t>
      </w:r>
      <w:r>
        <w:rPr>
          <w:rFonts w:ascii="Times New Roman" w:hAnsi="Times New Roman" w:cs="Times New Roman"/>
          <w:color w:val="000000"/>
          <w:sz w:val="24"/>
          <w:szCs w:val="24"/>
        </w:rPr>
        <w:t>ipated production or unfilled anticipated r</w:t>
      </w:r>
      <w:r>
        <w:rPr>
          <w:rFonts w:ascii="Times New Roman" w:hAnsi="Times New Roman" w:cs="Times New Roman"/>
          <w:color w:val="000000"/>
          <w:sz w:val="24"/>
          <w:szCs w:val="24"/>
        </w:rPr>
        <w:t>e</w:t>
      </w:r>
      <w:r>
        <w:rPr>
          <w:rFonts w:ascii="Times New Roman" w:hAnsi="Times New Roman" w:cs="Times New Roman"/>
          <w:color w:val="000000"/>
          <w:sz w:val="24"/>
          <w:szCs w:val="24"/>
        </w:rPr>
        <w:t>quirements for processing or manufacturing or feeding and explain the method of determination thereof, including, but not limited to, the fo</w:t>
      </w:r>
      <w:r>
        <w:rPr>
          <w:rFonts w:ascii="Times New Roman" w:hAnsi="Times New Roman" w:cs="Times New Roman"/>
          <w:color w:val="000000"/>
          <w:sz w:val="24"/>
          <w:szCs w:val="24"/>
        </w:rPr>
        <w:t>l</w:t>
      </w:r>
      <w:r>
        <w:rPr>
          <w:rFonts w:ascii="Times New Roman" w:hAnsi="Times New Roman" w:cs="Times New Roman"/>
          <w:color w:val="000000"/>
          <w:sz w:val="24"/>
          <w:szCs w:val="24"/>
        </w:rPr>
        <w:t>lowing information:</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(1) For unsold anticipated production:</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Annual production of such commodity for the three complete fiscal years </w:t>
      </w:r>
      <w:proofErr w:type="gramStart"/>
      <w:r>
        <w:rPr>
          <w:rFonts w:ascii="Times New Roman" w:hAnsi="Times New Roman" w:cs="Times New Roman"/>
          <w:color w:val="000000"/>
          <w:sz w:val="24"/>
          <w:szCs w:val="24"/>
        </w:rPr>
        <w:t>preceding</w:t>
      </w:r>
      <w:proofErr w:type="gramEnd"/>
      <w:r>
        <w:rPr>
          <w:rFonts w:ascii="Times New Roman" w:hAnsi="Times New Roman" w:cs="Times New Roman"/>
          <w:color w:val="000000"/>
          <w:sz w:val="24"/>
          <w:szCs w:val="24"/>
        </w:rPr>
        <w:t xml:space="preserve"> the current fiscal year;</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(ii) Anticipated production of such co</w:t>
      </w:r>
      <w:r>
        <w:rPr>
          <w:rFonts w:ascii="Times New Roman" w:hAnsi="Times New Roman" w:cs="Times New Roman"/>
          <w:color w:val="000000"/>
          <w:sz w:val="24"/>
          <w:szCs w:val="24"/>
        </w:rPr>
        <w:t>m</w:t>
      </w:r>
      <w:r>
        <w:rPr>
          <w:rFonts w:ascii="Times New Roman" w:hAnsi="Times New Roman" w:cs="Times New Roman"/>
          <w:color w:val="000000"/>
          <w:sz w:val="24"/>
          <w:szCs w:val="24"/>
        </w:rPr>
        <w:t>modity for a specified period not in excess of one year;</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(iii) Fixed-price forward sales of such co</w:t>
      </w:r>
      <w:r>
        <w:rPr>
          <w:rFonts w:ascii="Times New Roman" w:hAnsi="Times New Roman" w:cs="Times New Roman"/>
          <w:color w:val="000000"/>
          <w:sz w:val="24"/>
          <w:szCs w:val="24"/>
        </w:rPr>
        <w:t>m</w:t>
      </w:r>
      <w:r>
        <w:rPr>
          <w:rFonts w:ascii="Times New Roman" w:hAnsi="Times New Roman" w:cs="Times New Roman"/>
          <w:color w:val="000000"/>
          <w:sz w:val="24"/>
          <w:szCs w:val="24"/>
        </w:rPr>
        <w:t>modity;</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(iv) Unsold</w:t>
      </w:r>
      <w:proofErr w:type="gramEnd"/>
      <w:r>
        <w:rPr>
          <w:rFonts w:ascii="Times New Roman" w:hAnsi="Times New Roman" w:cs="Times New Roman"/>
          <w:color w:val="000000"/>
          <w:sz w:val="24"/>
          <w:szCs w:val="24"/>
        </w:rPr>
        <w:t xml:space="preserve"> anticipated production of such commodity for a specified period not in excess of one year.</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(2) For unfilled anticipated requirements: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Annual requirements of such commodity for processing or manufacturing or feeding for the three complete fiscal years preceding the current fiscal year;</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(ii) Anticipated requirements of such co</w:t>
      </w:r>
      <w:r>
        <w:rPr>
          <w:rFonts w:ascii="Times New Roman" w:hAnsi="Times New Roman" w:cs="Times New Roman"/>
          <w:color w:val="000000"/>
          <w:sz w:val="24"/>
          <w:szCs w:val="24"/>
        </w:rPr>
        <w:t>m</w:t>
      </w:r>
      <w:r>
        <w:rPr>
          <w:rFonts w:ascii="Times New Roman" w:hAnsi="Times New Roman" w:cs="Times New Roman"/>
          <w:color w:val="000000"/>
          <w:sz w:val="24"/>
          <w:szCs w:val="24"/>
        </w:rPr>
        <w:t>modity for processing or manufacturing or feeding for a specified operating period not in excess of one year;</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(iii) Inventory and fixed-price forward pu</w:t>
      </w:r>
      <w:r>
        <w:rPr>
          <w:rFonts w:ascii="Times New Roman" w:hAnsi="Times New Roman" w:cs="Times New Roman"/>
          <w:color w:val="000000"/>
          <w:sz w:val="24"/>
          <w:szCs w:val="24"/>
        </w:rPr>
        <w:t>r</w:t>
      </w:r>
      <w:r>
        <w:rPr>
          <w:rFonts w:ascii="Times New Roman" w:hAnsi="Times New Roman" w:cs="Times New Roman"/>
          <w:color w:val="000000"/>
          <w:sz w:val="24"/>
          <w:szCs w:val="24"/>
        </w:rPr>
        <w:t>chases of such commodity, including any quantity in process of manufacture and f</w:t>
      </w:r>
      <w:r>
        <w:rPr>
          <w:rFonts w:ascii="Times New Roman" w:hAnsi="Times New Roman" w:cs="Times New Roman"/>
          <w:color w:val="000000"/>
          <w:sz w:val="24"/>
          <w:szCs w:val="24"/>
        </w:rPr>
        <w:t>i</w:t>
      </w:r>
      <w:r>
        <w:rPr>
          <w:rFonts w:ascii="Times New Roman" w:hAnsi="Times New Roman" w:cs="Times New Roman"/>
          <w:color w:val="000000"/>
          <w:sz w:val="24"/>
          <w:szCs w:val="24"/>
        </w:rPr>
        <w:t>nished goods and byproducts of manufacture or processing (in terms of such commodity);</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(iv) Unfilled</w:t>
      </w:r>
      <w:proofErr w:type="gramEnd"/>
      <w:r>
        <w:rPr>
          <w:rFonts w:ascii="Times New Roman" w:hAnsi="Times New Roman" w:cs="Times New Roman"/>
          <w:color w:val="000000"/>
          <w:sz w:val="24"/>
          <w:szCs w:val="24"/>
        </w:rPr>
        <w:t xml:space="preserve"> anticipated requirements of such commodity for processing or manufa</w:t>
      </w:r>
      <w:r>
        <w:rPr>
          <w:rFonts w:ascii="Times New Roman" w:hAnsi="Times New Roman" w:cs="Times New Roman"/>
          <w:color w:val="000000"/>
          <w:sz w:val="24"/>
          <w:szCs w:val="24"/>
        </w:rPr>
        <w:t>c</w:t>
      </w:r>
      <w:r>
        <w:rPr>
          <w:rFonts w:ascii="Times New Roman" w:hAnsi="Times New Roman" w:cs="Times New Roman"/>
          <w:color w:val="000000"/>
          <w:sz w:val="24"/>
          <w:szCs w:val="24"/>
        </w:rPr>
        <w:t>turing or feedings for a specified operating period not in excess of one year.</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(3) Additional information: Persons hedging unsold anticipated production or unfilled a</w:t>
      </w:r>
      <w:r>
        <w:rPr>
          <w:rFonts w:ascii="Times New Roman" w:hAnsi="Times New Roman" w:cs="Times New Roman"/>
          <w:color w:val="000000"/>
          <w:sz w:val="24"/>
          <w:szCs w:val="24"/>
        </w:rPr>
        <w:t>n</w:t>
      </w:r>
      <w:r>
        <w:rPr>
          <w:rFonts w:ascii="Times New Roman" w:hAnsi="Times New Roman" w:cs="Times New Roman"/>
          <w:color w:val="000000"/>
          <w:sz w:val="24"/>
          <w:szCs w:val="24"/>
        </w:rPr>
        <w:t>ticipated requirements which are not the same quantity or are not the same commodity as the commodity to be sold or purchased for future delivery shall furnish this information both in terms of the actual commodity pr</w:t>
      </w:r>
      <w:r>
        <w:rPr>
          <w:rFonts w:ascii="Times New Roman" w:hAnsi="Times New Roman" w:cs="Times New Roman"/>
          <w:color w:val="000000"/>
          <w:sz w:val="24"/>
          <w:szCs w:val="24"/>
        </w:rPr>
        <w:t>o</w:t>
      </w:r>
      <w:r>
        <w:rPr>
          <w:rFonts w:ascii="Times New Roman" w:hAnsi="Times New Roman" w:cs="Times New Roman"/>
          <w:color w:val="000000"/>
          <w:sz w:val="24"/>
          <w:szCs w:val="24"/>
        </w:rPr>
        <w:lastRenderedPageBreak/>
        <w:t>duced or used and in terms of the commodity to be sold or purchased for future delivery. In addition, such persons shall explain the m</w:t>
      </w:r>
      <w:r>
        <w:rPr>
          <w:rFonts w:ascii="Times New Roman" w:hAnsi="Times New Roman" w:cs="Times New Roman"/>
          <w:color w:val="000000"/>
          <w:sz w:val="24"/>
          <w:szCs w:val="24"/>
        </w:rPr>
        <w:t>e</w:t>
      </w:r>
      <w:r>
        <w:rPr>
          <w:rFonts w:ascii="Times New Roman" w:hAnsi="Times New Roman" w:cs="Times New Roman"/>
          <w:color w:val="000000"/>
          <w:sz w:val="24"/>
          <w:szCs w:val="24"/>
        </w:rPr>
        <w:t xml:space="preserve">thod for determining the ratio of conversion between the </w:t>
      </w:r>
      <w:proofErr w:type="gramStart"/>
      <w:r>
        <w:rPr>
          <w:rFonts w:ascii="Times New Roman" w:hAnsi="Times New Roman" w:cs="Times New Roman"/>
          <w:color w:val="000000"/>
          <w:sz w:val="24"/>
          <w:szCs w:val="24"/>
        </w:rPr>
        <w:t>amount</w:t>
      </w:r>
      <w:proofErr w:type="gramEnd"/>
      <w:r>
        <w:rPr>
          <w:rFonts w:ascii="Times New Roman" w:hAnsi="Times New Roman" w:cs="Times New Roman"/>
          <w:color w:val="000000"/>
          <w:sz w:val="24"/>
          <w:szCs w:val="24"/>
        </w:rPr>
        <w:t xml:space="preserve"> of the actual unsold a</w:t>
      </w:r>
      <w:r>
        <w:rPr>
          <w:rFonts w:ascii="Times New Roman" w:hAnsi="Times New Roman" w:cs="Times New Roman"/>
          <w:color w:val="000000"/>
          <w:sz w:val="24"/>
          <w:szCs w:val="24"/>
        </w:rPr>
        <w:t>n</w:t>
      </w:r>
      <w:r>
        <w:rPr>
          <w:rFonts w:ascii="Times New Roman" w:hAnsi="Times New Roman" w:cs="Times New Roman"/>
          <w:color w:val="000000"/>
          <w:sz w:val="24"/>
          <w:szCs w:val="24"/>
        </w:rPr>
        <w:t>ticipated production or unfilled anticipated requirements and the amount of commodity to be sold or purchased for future delivery. Persons hedging unfilled annual feeding r</w:t>
      </w:r>
      <w:r>
        <w:rPr>
          <w:rFonts w:ascii="Times New Roman" w:hAnsi="Times New Roman" w:cs="Times New Roman"/>
          <w:color w:val="000000"/>
          <w:sz w:val="24"/>
          <w:szCs w:val="24"/>
        </w:rPr>
        <w:t>e</w:t>
      </w:r>
      <w:r>
        <w:rPr>
          <w:rFonts w:ascii="Times New Roman" w:hAnsi="Times New Roman" w:cs="Times New Roman"/>
          <w:color w:val="000000"/>
          <w:sz w:val="24"/>
          <w:szCs w:val="24"/>
        </w:rPr>
        <w:t>quirements for livestock and poultry shall provide the number of cattle, hogs, sheep, or poultry expected to be fed during the spec</w:t>
      </w:r>
      <w:r>
        <w:rPr>
          <w:rFonts w:ascii="Times New Roman" w:hAnsi="Times New Roman" w:cs="Times New Roman"/>
          <w:color w:val="000000"/>
          <w:sz w:val="24"/>
          <w:szCs w:val="24"/>
        </w:rPr>
        <w:t>i</w:t>
      </w:r>
      <w:r>
        <w:rPr>
          <w:rFonts w:ascii="Times New Roman" w:hAnsi="Times New Roman" w:cs="Times New Roman"/>
          <w:color w:val="000000"/>
          <w:sz w:val="24"/>
          <w:szCs w:val="24"/>
        </w:rPr>
        <w:t>fied period, not to exceed one year, and the derivation of their annual requirements based upon these numbers. Persons filing as an agent shall furnish this information on the basis of the fiscal or operating year of the person on whose behalf the filing is made.</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Supplemental reports. Whenever the sales or purchases which a person wishes to consider as bona fide hedging of unsold anticipated produ</w:t>
      </w:r>
      <w:r>
        <w:rPr>
          <w:rFonts w:ascii="Times New Roman" w:hAnsi="Times New Roman" w:cs="Times New Roman"/>
          <w:color w:val="000000"/>
          <w:sz w:val="24"/>
          <w:szCs w:val="24"/>
        </w:rPr>
        <w:t>c</w:t>
      </w:r>
      <w:r>
        <w:rPr>
          <w:rFonts w:ascii="Times New Roman" w:hAnsi="Times New Roman" w:cs="Times New Roman"/>
          <w:color w:val="000000"/>
          <w:sz w:val="24"/>
          <w:szCs w:val="24"/>
        </w:rPr>
        <w:t>tion or unfilled anticipated requirements shall exceed the amounts described by the figures for requirements furnished in the most recent filing pursuant to this section or the amounts dete</w:t>
      </w:r>
      <w:r>
        <w:rPr>
          <w:rFonts w:ascii="Times New Roman" w:hAnsi="Times New Roman" w:cs="Times New Roman"/>
          <w:color w:val="000000"/>
          <w:sz w:val="24"/>
          <w:szCs w:val="24"/>
        </w:rPr>
        <w:t>r</w:t>
      </w:r>
      <w:r>
        <w:rPr>
          <w:rFonts w:ascii="Times New Roman" w:hAnsi="Times New Roman" w:cs="Times New Roman"/>
          <w:color w:val="000000"/>
          <w:sz w:val="24"/>
          <w:szCs w:val="24"/>
        </w:rPr>
        <w:t>mined by the Commission to constitute unsold anticipated production or unfilled anticipated requirements pursuant to paragraph (a) of this section, such person shall file with the Commi</w:t>
      </w:r>
      <w:r>
        <w:rPr>
          <w:rFonts w:ascii="Times New Roman" w:hAnsi="Times New Roman" w:cs="Times New Roman"/>
          <w:color w:val="000000"/>
          <w:sz w:val="24"/>
          <w:szCs w:val="24"/>
        </w:rPr>
        <w:t>s</w:t>
      </w:r>
      <w:r>
        <w:rPr>
          <w:rFonts w:ascii="Times New Roman" w:hAnsi="Times New Roman" w:cs="Times New Roman"/>
          <w:color w:val="000000"/>
          <w:sz w:val="24"/>
          <w:szCs w:val="24"/>
        </w:rPr>
        <w:t>sion a statement which updates the information provided in the person's most recent filing and supplies the reason for this change at least ten days in advance of the date that person wishes to exceed these amounts.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Maximum sales and purchases. Sales or purchases for future delivery considered as bona fide hedges pursuant to </w:t>
      </w:r>
      <w:hyperlink r:id="rId86" w:history="1">
        <w:r>
          <w:rPr>
            <w:rFonts w:ascii="Times New Roman" w:hAnsi="Times New Roman" w:cs="Times New Roman"/>
            <w:color w:val="0000FF"/>
            <w:sz w:val="24"/>
            <w:szCs w:val="24"/>
            <w:u w:val="single"/>
          </w:rPr>
          <w:t>§ 1.3(z)(2)</w:t>
        </w:r>
      </w:hyperlink>
      <w:r>
        <w:rPr>
          <w:rFonts w:ascii="Times New Roman" w:hAnsi="Times New Roman" w:cs="Times New Roman"/>
          <w:color w:val="000000"/>
          <w:sz w:val="24"/>
          <w:szCs w:val="24"/>
        </w:rPr>
        <w:t xml:space="preserve"> </w:t>
      </w:r>
      <w:hyperlink r:id="rId87" w:history="1">
        <w:r>
          <w:rPr>
            <w:rFonts w:ascii="Times New Roman" w:hAnsi="Times New Roman" w:cs="Times New Roman"/>
            <w:color w:val="0000FF"/>
            <w:sz w:val="24"/>
            <w:szCs w:val="24"/>
            <w:u w:val="single"/>
          </w:rPr>
          <w:t>(</w:t>
        </w:r>
        <w:proofErr w:type="spellStart"/>
        <w:r>
          <w:rPr>
            <w:rFonts w:ascii="Times New Roman" w:hAnsi="Times New Roman" w:cs="Times New Roman"/>
            <w:color w:val="0000FF"/>
            <w:sz w:val="24"/>
            <w:szCs w:val="24"/>
            <w:u w:val="single"/>
          </w:rPr>
          <w:t>i</w:t>
        </w:r>
        <w:proofErr w:type="spellEnd"/>
        <w:r>
          <w:rPr>
            <w:rFonts w:ascii="Times New Roman" w:hAnsi="Times New Roman" w:cs="Times New Roman"/>
            <w:color w:val="0000FF"/>
            <w:sz w:val="24"/>
            <w:szCs w:val="24"/>
            <w:u w:val="single"/>
          </w:rPr>
          <w:t>)</w:t>
        </w:r>
      </w:hyperlink>
      <w:r>
        <w:rPr>
          <w:rFonts w:ascii="Times New Roman" w:hAnsi="Times New Roman" w:cs="Times New Roman"/>
          <w:color w:val="000000"/>
          <w:sz w:val="24"/>
          <w:szCs w:val="24"/>
        </w:rPr>
        <w:t xml:space="preserve">(B) or </w:t>
      </w:r>
      <w:hyperlink r:id="rId88" w:history="1">
        <w:r>
          <w:rPr>
            <w:rFonts w:ascii="Times New Roman" w:hAnsi="Times New Roman" w:cs="Times New Roman"/>
            <w:color w:val="0000FF"/>
            <w:sz w:val="24"/>
            <w:szCs w:val="24"/>
            <w:u w:val="single"/>
          </w:rPr>
          <w:t>(ii)</w:t>
        </w:r>
      </w:hyperlink>
      <w:r>
        <w:rPr>
          <w:rFonts w:ascii="Times New Roman" w:hAnsi="Times New Roman" w:cs="Times New Roman"/>
          <w:color w:val="000000"/>
          <w:sz w:val="24"/>
          <w:szCs w:val="24"/>
        </w:rPr>
        <w:t>(C) shall at no time exceed the lesser of:</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A person's unsold anticipated production of unfilled anticipated requirements as d</w:t>
      </w:r>
      <w:r>
        <w:rPr>
          <w:rFonts w:ascii="Times New Roman" w:hAnsi="Times New Roman" w:cs="Times New Roman"/>
          <w:color w:val="000000"/>
          <w:sz w:val="24"/>
          <w:szCs w:val="24"/>
        </w:rPr>
        <w:t>e</w:t>
      </w:r>
      <w:r>
        <w:rPr>
          <w:rFonts w:ascii="Times New Roman" w:hAnsi="Times New Roman" w:cs="Times New Roman"/>
          <w:color w:val="000000"/>
          <w:sz w:val="24"/>
          <w:szCs w:val="24"/>
        </w:rPr>
        <w:t>scribed by the information most recently filed pursuant to this section or determined by the Commission pursuant to paragraph (a) of this section; or</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(2) A person's actual unsold anticipated production or current unfilled anticipated requirements for the length of time specified in the information most recently filed pu</w:t>
      </w:r>
      <w:r>
        <w:rPr>
          <w:rFonts w:ascii="Times New Roman" w:hAnsi="Times New Roman" w:cs="Times New Roman"/>
          <w:color w:val="000000"/>
          <w:sz w:val="24"/>
          <w:szCs w:val="24"/>
        </w:rPr>
        <w:t>r</w:t>
      </w:r>
      <w:r>
        <w:rPr>
          <w:rFonts w:ascii="Times New Roman" w:hAnsi="Times New Roman" w:cs="Times New Roman"/>
          <w:color w:val="000000"/>
          <w:sz w:val="24"/>
          <w:szCs w:val="24"/>
        </w:rPr>
        <w:t>suant to this section.</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 Updated reports. Reports updating the i</w:t>
      </w:r>
      <w:r>
        <w:rPr>
          <w:rFonts w:ascii="Times New Roman" w:hAnsi="Times New Roman" w:cs="Times New Roman"/>
          <w:color w:val="000000"/>
          <w:sz w:val="24"/>
          <w:szCs w:val="24"/>
        </w:rPr>
        <w:t>n</w:t>
      </w:r>
      <w:r>
        <w:rPr>
          <w:rFonts w:ascii="Times New Roman" w:hAnsi="Times New Roman" w:cs="Times New Roman"/>
          <w:color w:val="000000"/>
          <w:sz w:val="24"/>
          <w:szCs w:val="24"/>
        </w:rPr>
        <w:t>formation required pursuant to this section shall also be filed with the Commission upon specific request.</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firstLine="180"/>
        <w:jc w:val="both"/>
        <w:rPr>
          <w:rFonts w:ascii="Times New Roman" w:hAnsi="Times New Roman" w:cs="Times New Roman"/>
          <w:color w:val="000000"/>
          <w:sz w:val="24"/>
          <w:szCs w:val="24"/>
        </w:rPr>
      </w:pPr>
      <w:r>
        <w:rPr>
          <w:rFonts w:ascii="Times New Roman" w:hAnsi="Times New Roman" w:cs="Times New Roman"/>
          <w:color w:val="000000"/>
          <w:sz w:val="24"/>
          <w:szCs w:val="24"/>
        </w:rPr>
        <w:t>(Approved by the Office of Management and Budget under control number 3038-0013)</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[42 FR 42752, Aug. 8, 1977, as amended at </w:t>
      </w:r>
      <w:hyperlink r:id="rId89" w:history="1">
        <w:r>
          <w:rPr>
            <w:rFonts w:ascii="Times New Roman" w:hAnsi="Times New Roman" w:cs="Times New Roman"/>
            <w:color w:val="0000FF"/>
            <w:sz w:val="24"/>
            <w:szCs w:val="24"/>
            <w:u w:val="single"/>
          </w:rPr>
          <w:t>46 FR 63035</w:t>
        </w:r>
      </w:hyperlink>
      <w:r>
        <w:rPr>
          <w:rFonts w:ascii="Times New Roman" w:hAnsi="Times New Roman" w:cs="Times New Roman"/>
          <w:color w:val="000000"/>
          <w:sz w:val="24"/>
          <w:szCs w:val="24"/>
        </w:rPr>
        <w:t>, Dec. 30, 1981]</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41 FR 3194, Jan. 21, 1976; 51 FR 2691, Jan. 21, 1986; 51 FR 17473, May 13, 1986; </w:t>
      </w:r>
      <w:hyperlink r:id="rId90" w:history="1">
        <w:r>
          <w:rPr>
            <w:rFonts w:ascii="Times New Roman" w:hAnsi="Times New Roman" w:cs="Times New Roman"/>
            <w:color w:val="0000FF"/>
            <w:sz w:val="24"/>
            <w:szCs w:val="24"/>
            <w:u w:val="single"/>
          </w:rPr>
          <w:t>52 FR 46072</w:t>
        </w:r>
      </w:hyperlink>
      <w:r>
        <w:rPr>
          <w:rFonts w:ascii="Times New Roman" w:hAnsi="Times New Roman" w:cs="Times New Roman"/>
          <w:color w:val="000000"/>
          <w:sz w:val="24"/>
          <w:szCs w:val="24"/>
        </w:rPr>
        <w:t xml:space="preserve">, Dec. 4, 1987; 54 FR 41077, Oct. 5, 1989, 57 FR 23143, June 2, 1992; 58 FR 10952, Feb. 23, 1993; 58 FR 19589, April 15, 1993; </w:t>
      </w:r>
      <w:hyperlink r:id="rId91" w:history="1">
        <w:r>
          <w:rPr>
            <w:rFonts w:ascii="Times New Roman" w:hAnsi="Times New Roman" w:cs="Times New Roman"/>
            <w:color w:val="0000FF"/>
            <w:sz w:val="24"/>
            <w:szCs w:val="24"/>
            <w:u w:val="single"/>
          </w:rPr>
          <w:t>59 FR 5525</w:t>
        </w:r>
      </w:hyperlink>
      <w:r>
        <w:rPr>
          <w:rFonts w:ascii="Times New Roman" w:hAnsi="Times New Roman" w:cs="Times New Roman"/>
          <w:color w:val="000000"/>
          <w:sz w:val="24"/>
          <w:szCs w:val="24"/>
        </w:rPr>
        <w:t>, Feb. 7, 1994; 66 FR 42269, Aug. 10, 2001, unless otherwise noted.</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AUTHORITY: </w:t>
      </w:r>
      <w:hyperlink r:id="rId92" w:history="1">
        <w:r>
          <w:rPr>
            <w:rFonts w:ascii="Times New Roman" w:hAnsi="Times New Roman" w:cs="Times New Roman"/>
            <w:color w:val="0000FF"/>
            <w:sz w:val="24"/>
            <w:szCs w:val="24"/>
            <w:u w:val="single"/>
          </w:rPr>
          <w:t>7 U.S.C. 1a</w:t>
        </w:r>
      </w:hyperlink>
      <w:r>
        <w:rPr>
          <w:rFonts w:ascii="Times New Roman" w:hAnsi="Times New Roman" w:cs="Times New Roman"/>
          <w:color w:val="000000"/>
          <w:sz w:val="24"/>
          <w:szCs w:val="24"/>
        </w:rPr>
        <w:t xml:space="preserve">, </w:t>
      </w:r>
      <w:hyperlink r:id="rId93" w:history="1">
        <w:r>
          <w:rPr>
            <w:rFonts w:ascii="Times New Roman" w:hAnsi="Times New Roman" w:cs="Times New Roman"/>
            <w:color w:val="0000FF"/>
            <w:sz w:val="24"/>
            <w:szCs w:val="24"/>
            <w:u w:val="single"/>
          </w:rPr>
          <w:t>2</w:t>
        </w:r>
      </w:hyperlink>
      <w:r>
        <w:rPr>
          <w:rFonts w:ascii="Times New Roman" w:hAnsi="Times New Roman" w:cs="Times New Roman"/>
          <w:color w:val="000000"/>
          <w:sz w:val="24"/>
          <w:szCs w:val="24"/>
        </w:rPr>
        <w:t xml:space="preserve">, </w:t>
      </w:r>
      <w:hyperlink r:id="rId94" w:history="1">
        <w:r>
          <w:rPr>
            <w:rFonts w:ascii="Times New Roman" w:hAnsi="Times New Roman" w:cs="Times New Roman"/>
            <w:color w:val="0000FF"/>
            <w:sz w:val="24"/>
            <w:szCs w:val="24"/>
            <w:u w:val="single"/>
          </w:rPr>
          <w:t>5</w:t>
        </w:r>
      </w:hyperlink>
      <w:r>
        <w:rPr>
          <w:rFonts w:ascii="Times New Roman" w:hAnsi="Times New Roman" w:cs="Times New Roman"/>
          <w:color w:val="000000"/>
          <w:sz w:val="24"/>
          <w:szCs w:val="24"/>
        </w:rPr>
        <w:t xml:space="preserve">, </w:t>
      </w:r>
      <w:hyperlink r:id="rId95" w:history="1">
        <w:r>
          <w:rPr>
            <w:rFonts w:ascii="Times New Roman" w:hAnsi="Times New Roman" w:cs="Times New Roman"/>
            <w:color w:val="0000FF"/>
            <w:sz w:val="24"/>
            <w:szCs w:val="24"/>
            <w:u w:val="single"/>
          </w:rPr>
          <w:t>6</w:t>
        </w:r>
      </w:hyperlink>
      <w:r>
        <w:rPr>
          <w:rFonts w:ascii="Times New Roman" w:hAnsi="Times New Roman" w:cs="Times New Roman"/>
          <w:color w:val="000000"/>
          <w:sz w:val="24"/>
          <w:szCs w:val="24"/>
        </w:rPr>
        <w:t xml:space="preserve">, </w:t>
      </w:r>
      <w:hyperlink r:id="rId96" w:history="1">
        <w:r>
          <w:rPr>
            <w:rFonts w:ascii="Times New Roman" w:hAnsi="Times New Roman" w:cs="Times New Roman"/>
            <w:color w:val="0000FF"/>
            <w:sz w:val="24"/>
            <w:szCs w:val="24"/>
            <w:u w:val="single"/>
          </w:rPr>
          <w:t>6a</w:t>
        </w:r>
      </w:hyperlink>
      <w:r>
        <w:rPr>
          <w:rFonts w:ascii="Times New Roman" w:hAnsi="Times New Roman" w:cs="Times New Roman"/>
          <w:color w:val="000000"/>
          <w:sz w:val="24"/>
          <w:szCs w:val="24"/>
        </w:rPr>
        <w:t xml:space="preserve">, </w:t>
      </w:r>
      <w:hyperlink r:id="rId97" w:history="1">
        <w:r>
          <w:rPr>
            <w:rFonts w:ascii="Times New Roman" w:hAnsi="Times New Roman" w:cs="Times New Roman"/>
            <w:color w:val="0000FF"/>
            <w:sz w:val="24"/>
            <w:szCs w:val="24"/>
            <w:u w:val="single"/>
          </w:rPr>
          <w:t>6b</w:t>
        </w:r>
      </w:hyperlink>
      <w:r>
        <w:rPr>
          <w:rFonts w:ascii="Times New Roman" w:hAnsi="Times New Roman" w:cs="Times New Roman"/>
          <w:color w:val="000000"/>
          <w:sz w:val="24"/>
          <w:szCs w:val="24"/>
        </w:rPr>
        <w:t xml:space="preserve">, </w:t>
      </w:r>
      <w:hyperlink r:id="rId98" w:history="1">
        <w:r>
          <w:rPr>
            <w:rFonts w:ascii="Times New Roman" w:hAnsi="Times New Roman" w:cs="Times New Roman"/>
            <w:color w:val="0000FF"/>
            <w:sz w:val="24"/>
            <w:szCs w:val="24"/>
            <w:u w:val="single"/>
          </w:rPr>
          <w:t>6c</w:t>
        </w:r>
      </w:hyperlink>
      <w:r>
        <w:rPr>
          <w:rFonts w:ascii="Times New Roman" w:hAnsi="Times New Roman" w:cs="Times New Roman"/>
          <w:color w:val="000000"/>
          <w:sz w:val="24"/>
          <w:szCs w:val="24"/>
        </w:rPr>
        <w:t xml:space="preserve">, </w:t>
      </w:r>
      <w:hyperlink r:id="rId99" w:history="1">
        <w:r>
          <w:rPr>
            <w:rFonts w:ascii="Times New Roman" w:hAnsi="Times New Roman" w:cs="Times New Roman"/>
            <w:color w:val="0000FF"/>
            <w:sz w:val="24"/>
            <w:szCs w:val="24"/>
            <w:u w:val="single"/>
          </w:rPr>
          <w:t>6d</w:t>
        </w:r>
      </w:hyperlink>
      <w:r>
        <w:rPr>
          <w:rFonts w:ascii="Times New Roman" w:hAnsi="Times New Roman" w:cs="Times New Roman"/>
          <w:color w:val="000000"/>
          <w:sz w:val="24"/>
          <w:szCs w:val="24"/>
        </w:rPr>
        <w:t xml:space="preserve">, </w:t>
      </w:r>
      <w:hyperlink r:id="rId100" w:history="1">
        <w:r>
          <w:rPr>
            <w:rFonts w:ascii="Times New Roman" w:hAnsi="Times New Roman" w:cs="Times New Roman"/>
            <w:color w:val="0000FF"/>
            <w:sz w:val="24"/>
            <w:szCs w:val="24"/>
            <w:u w:val="single"/>
          </w:rPr>
          <w:t>6e</w:t>
        </w:r>
      </w:hyperlink>
      <w:r>
        <w:rPr>
          <w:rFonts w:ascii="Times New Roman" w:hAnsi="Times New Roman" w:cs="Times New Roman"/>
          <w:color w:val="000000"/>
          <w:sz w:val="24"/>
          <w:szCs w:val="24"/>
        </w:rPr>
        <w:t xml:space="preserve">, </w:t>
      </w:r>
      <w:hyperlink r:id="rId101" w:history="1">
        <w:r>
          <w:rPr>
            <w:rFonts w:ascii="Times New Roman" w:hAnsi="Times New Roman" w:cs="Times New Roman"/>
            <w:color w:val="0000FF"/>
            <w:sz w:val="24"/>
            <w:szCs w:val="24"/>
            <w:u w:val="single"/>
          </w:rPr>
          <w:t>6f</w:t>
        </w:r>
      </w:hyperlink>
      <w:r>
        <w:rPr>
          <w:rFonts w:ascii="Times New Roman" w:hAnsi="Times New Roman" w:cs="Times New Roman"/>
          <w:color w:val="000000"/>
          <w:sz w:val="24"/>
          <w:szCs w:val="24"/>
        </w:rPr>
        <w:t xml:space="preserve">, </w:t>
      </w:r>
      <w:hyperlink r:id="rId102" w:history="1">
        <w:r>
          <w:rPr>
            <w:rFonts w:ascii="Times New Roman" w:hAnsi="Times New Roman" w:cs="Times New Roman"/>
            <w:color w:val="0000FF"/>
            <w:sz w:val="24"/>
            <w:szCs w:val="24"/>
            <w:u w:val="single"/>
          </w:rPr>
          <w:t>6g</w:t>
        </w:r>
      </w:hyperlink>
      <w:r>
        <w:rPr>
          <w:rFonts w:ascii="Times New Roman" w:hAnsi="Times New Roman" w:cs="Times New Roman"/>
          <w:color w:val="000000"/>
          <w:sz w:val="24"/>
          <w:szCs w:val="24"/>
        </w:rPr>
        <w:t xml:space="preserve">, </w:t>
      </w:r>
      <w:hyperlink r:id="rId103" w:history="1">
        <w:r>
          <w:rPr>
            <w:rFonts w:ascii="Times New Roman" w:hAnsi="Times New Roman" w:cs="Times New Roman"/>
            <w:color w:val="0000FF"/>
            <w:sz w:val="24"/>
            <w:szCs w:val="24"/>
            <w:u w:val="single"/>
          </w:rPr>
          <w:t>6h</w:t>
        </w:r>
      </w:hyperlink>
      <w:r>
        <w:rPr>
          <w:rFonts w:ascii="Times New Roman" w:hAnsi="Times New Roman" w:cs="Times New Roman"/>
          <w:color w:val="000000"/>
          <w:sz w:val="24"/>
          <w:szCs w:val="24"/>
        </w:rPr>
        <w:t xml:space="preserve">, </w:t>
      </w:r>
      <w:hyperlink r:id="rId104" w:history="1">
        <w:r>
          <w:rPr>
            <w:rFonts w:ascii="Times New Roman" w:hAnsi="Times New Roman" w:cs="Times New Roman"/>
            <w:color w:val="0000FF"/>
            <w:sz w:val="24"/>
            <w:szCs w:val="24"/>
            <w:u w:val="single"/>
          </w:rPr>
          <w:t>6i</w:t>
        </w:r>
      </w:hyperlink>
      <w:r>
        <w:rPr>
          <w:rFonts w:ascii="Times New Roman" w:hAnsi="Times New Roman" w:cs="Times New Roman"/>
          <w:color w:val="000000"/>
          <w:sz w:val="24"/>
          <w:szCs w:val="24"/>
        </w:rPr>
        <w:t xml:space="preserve">, </w:t>
      </w:r>
      <w:hyperlink r:id="rId105" w:history="1">
        <w:r>
          <w:rPr>
            <w:rFonts w:ascii="Times New Roman" w:hAnsi="Times New Roman" w:cs="Times New Roman"/>
            <w:color w:val="0000FF"/>
            <w:sz w:val="24"/>
            <w:szCs w:val="24"/>
            <w:u w:val="single"/>
          </w:rPr>
          <w:t>6j</w:t>
        </w:r>
      </w:hyperlink>
      <w:r>
        <w:rPr>
          <w:rFonts w:ascii="Times New Roman" w:hAnsi="Times New Roman" w:cs="Times New Roman"/>
          <w:color w:val="000000"/>
          <w:sz w:val="24"/>
          <w:szCs w:val="24"/>
        </w:rPr>
        <w:t xml:space="preserve">, </w:t>
      </w:r>
      <w:hyperlink r:id="rId106" w:history="1">
        <w:r>
          <w:rPr>
            <w:rFonts w:ascii="Times New Roman" w:hAnsi="Times New Roman" w:cs="Times New Roman"/>
            <w:color w:val="0000FF"/>
            <w:sz w:val="24"/>
            <w:szCs w:val="24"/>
            <w:u w:val="single"/>
          </w:rPr>
          <w:t>6k</w:t>
        </w:r>
      </w:hyperlink>
      <w:r>
        <w:rPr>
          <w:rFonts w:ascii="Times New Roman" w:hAnsi="Times New Roman" w:cs="Times New Roman"/>
          <w:color w:val="000000"/>
          <w:sz w:val="24"/>
          <w:szCs w:val="24"/>
        </w:rPr>
        <w:t xml:space="preserve">, </w:t>
      </w:r>
      <w:hyperlink r:id="rId107" w:history="1">
        <w:r>
          <w:rPr>
            <w:rFonts w:ascii="Times New Roman" w:hAnsi="Times New Roman" w:cs="Times New Roman"/>
            <w:color w:val="0000FF"/>
            <w:sz w:val="24"/>
            <w:szCs w:val="24"/>
            <w:u w:val="single"/>
          </w:rPr>
          <w:t>6l</w:t>
        </w:r>
      </w:hyperlink>
      <w:r>
        <w:rPr>
          <w:rFonts w:ascii="Times New Roman" w:hAnsi="Times New Roman" w:cs="Times New Roman"/>
          <w:color w:val="000000"/>
          <w:sz w:val="24"/>
          <w:szCs w:val="24"/>
        </w:rPr>
        <w:t xml:space="preserve">, </w:t>
      </w:r>
      <w:hyperlink r:id="rId108" w:history="1">
        <w:r>
          <w:rPr>
            <w:rFonts w:ascii="Times New Roman" w:hAnsi="Times New Roman" w:cs="Times New Roman"/>
            <w:color w:val="0000FF"/>
            <w:sz w:val="24"/>
            <w:szCs w:val="24"/>
            <w:u w:val="single"/>
          </w:rPr>
          <w:t>6m</w:t>
        </w:r>
      </w:hyperlink>
      <w:r>
        <w:rPr>
          <w:rFonts w:ascii="Times New Roman" w:hAnsi="Times New Roman" w:cs="Times New Roman"/>
          <w:color w:val="000000"/>
          <w:sz w:val="24"/>
          <w:szCs w:val="24"/>
        </w:rPr>
        <w:t xml:space="preserve">, </w:t>
      </w:r>
      <w:hyperlink r:id="rId109" w:history="1">
        <w:r>
          <w:rPr>
            <w:rFonts w:ascii="Times New Roman" w:hAnsi="Times New Roman" w:cs="Times New Roman"/>
            <w:color w:val="0000FF"/>
            <w:sz w:val="24"/>
            <w:szCs w:val="24"/>
            <w:u w:val="single"/>
          </w:rPr>
          <w:t>6n</w:t>
        </w:r>
      </w:hyperlink>
      <w:r>
        <w:rPr>
          <w:rFonts w:ascii="Times New Roman" w:hAnsi="Times New Roman" w:cs="Times New Roman"/>
          <w:color w:val="000000"/>
          <w:sz w:val="24"/>
          <w:szCs w:val="24"/>
        </w:rPr>
        <w:t xml:space="preserve">, </w:t>
      </w:r>
      <w:hyperlink r:id="rId110" w:history="1">
        <w:r>
          <w:rPr>
            <w:rFonts w:ascii="Times New Roman" w:hAnsi="Times New Roman" w:cs="Times New Roman"/>
            <w:color w:val="0000FF"/>
            <w:sz w:val="24"/>
            <w:szCs w:val="24"/>
            <w:u w:val="single"/>
          </w:rPr>
          <w:t>6o</w:t>
        </w:r>
      </w:hyperlink>
      <w:r>
        <w:rPr>
          <w:rFonts w:ascii="Times New Roman" w:hAnsi="Times New Roman" w:cs="Times New Roman"/>
          <w:color w:val="000000"/>
          <w:sz w:val="24"/>
          <w:szCs w:val="24"/>
        </w:rPr>
        <w:t xml:space="preserve">, </w:t>
      </w:r>
      <w:hyperlink r:id="rId111" w:history="1">
        <w:r>
          <w:rPr>
            <w:rFonts w:ascii="Times New Roman" w:hAnsi="Times New Roman" w:cs="Times New Roman"/>
            <w:color w:val="0000FF"/>
            <w:sz w:val="24"/>
            <w:szCs w:val="24"/>
            <w:u w:val="single"/>
          </w:rPr>
          <w:t>6p</w:t>
        </w:r>
      </w:hyperlink>
      <w:r>
        <w:rPr>
          <w:rFonts w:ascii="Times New Roman" w:hAnsi="Times New Roman" w:cs="Times New Roman"/>
          <w:color w:val="000000"/>
          <w:sz w:val="24"/>
          <w:szCs w:val="24"/>
        </w:rPr>
        <w:t xml:space="preserve">, </w:t>
      </w:r>
      <w:hyperlink r:id="rId112" w:history="1">
        <w:r>
          <w:rPr>
            <w:rFonts w:ascii="Times New Roman" w:hAnsi="Times New Roman" w:cs="Times New Roman"/>
            <w:color w:val="0000FF"/>
            <w:sz w:val="24"/>
            <w:szCs w:val="24"/>
            <w:u w:val="single"/>
          </w:rPr>
          <w:t>7</w:t>
        </w:r>
      </w:hyperlink>
      <w:r>
        <w:rPr>
          <w:rFonts w:ascii="Times New Roman" w:hAnsi="Times New Roman" w:cs="Times New Roman"/>
          <w:color w:val="000000"/>
          <w:sz w:val="24"/>
          <w:szCs w:val="24"/>
        </w:rPr>
        <w:t xml:space="preserve">, </w:t>
      </w:r>
      <w:hyperlink r:id="rId113" w:history="1">
        <w:r>
          <w:rPr>
            <w:rFonts w:ascii="Times New Roman" w:hAnsi="Times New Roman" w:cs="Times New Roman"/>
            <w:color w:val="0000FF"/>
            <w:sz w:val="24"/>
            <w:szCs w:val="24"/>
            <w:u w:val="single"/>
          </w:rPr>
          <w:t>7a</w:t>
        </w:r>
      </w:hyperlink>
      <w:r>
        <w:rPr>
          <w:rFonts w:ascii="Times New Roman" w:hAnsi="Times New Roman" w:cs="Times New Roman"/>
          <w:color w:val="000000"/>
          <w:sz w:val="24"/>
          <w:szCs w:val="24"/>
        </w:rPr>
        <w:t xml:space="preserve">, </w:t>
      </w:r>
      <w:hyperlink r:id="rId114" w:history="1">
        <w:r>
          <w:rPr>
            <w:rFonts w:ascii="Times New Roman" w:hAnsi="Times New Roman" w:cs="Times New Roman"/>
            <w:color w:val="0000FF"/>
            <w:sz w:val="24"/>
            <w:szCs w:val="24"/>
            <w:u w:val="single"/>
          </w:rPr>
          <w:t>7b</w:t>
        </w:r>
      </w:hyperlink>
      <w:r>
        <w:rPr>
          <w:rFonts w:ascii="Times New Roman" w:hAnsi="Times New Roman" w:cs="Times New Roman"/>
          <w:color w:val="000000"/>
          <w:sz w:val="24"/>
          <w:szCs w:val="24"/>
        </w:rPr>
        <w:t xml:space="preserve">, </w:t>
      </w:r>
      <w:hyperlink r:id="rId115" w:history="1">
        <w:r>
          <w:rPr>
            <w:rFonts w:ascii="Times New Roman" w:hAnsi="Times New Roman" w:cs="Times New Roman"/>
            <w:color w:val="0000FF"/>
            <w:sz w:val="24"/>
            <w:szCs w:val="24"/>
            <w:u w:val="single"/>
          </w:rPr>
          <w:t>8</w:t>
        </w:r>
      </w:hyperlink>
      <w:r>
        <w:rPr>
          <w:rFonts w:ascii="Times New Roman" w:hAnsi="Times New Roman" w:cs="Times New Roman"/>
          <w:color w:val="000000"/>
          <w:sz w:val="24"/>
          <w:szCs w:val="24"/>
        </w:rPr>
        <w:t xml:space="preserve">, </w:t>
      </w:r>
      <w:hyperlink r:id="rId116" w:history="1">
        <w:r>
          <w:rPr>
            <w:rFonts w:ascii="Times New Roman" w:hAnsi="Times New Roman" w:cs="Times New Roman"/>
            <w:color w:val="0000FF"/>
            <w:sz w:val="24"/>
            <w:szCs w:val="24"/>
            <w:u w:val="single"/>
          </w:rPr>
          <w:t>9</w:t>
        </w:r>
      </w:hyperlink>
      <w:r>
        <w:rPr>
          <w:rFonts w:ascii="Times New Roman" w:hAnsi="Times New Roman" w:cs="Times New Roman"/>
          <w:color w:val="000000"/>
          <w:sz w:val="24"/>
          <w:szCs w:val="24"/>
        </w:rPr>
        <w:t xml:space="preserve">, </w:t>
      </w:r>
      <w:hyperlink r:id="rId117" w:history="1">
        <w:r>
          <w:rPr>
            <w:rFonts w:ascii="Times New Roman" w:hAnsi="Times New Roman" w:cs="Times New Roman"/>
            <w:color w:val="0000FF"/>
            <w:sz w:val="24"/>
            <w:szCs w:val="24"/>
            <w:u w:val="single"/>
          </w:rPr>
          <w:t>12</w:t>
        </w:r>
      </w:hyperlink>
      <w:r>
        <w:rPr>
          <w:rFonts w:ascii="Times New Roman" w:hAnsi="Times New Roman" w:cs="Times New Roman"/>
          <w:color w:val="000000"/>
          <w:sz w:val="24"/>
          <w:szCs w:val="24"/>
        </w:rPr>
        <w:t xml:space="preserve">, </w:t>
      </w:r>
      <w:hyperlink r:id="rId118" w:history="1">
        <w:r>
          <w:rPr>
            <w:rFonts w:ascii="Times New Roman" w:hAnsi="Times New Roman" w:cs="Times New Roman"/>
            <w:color w:val="0000FF"/>
            <w:sz w:val="24"/>
            <w:szCs w:val="24"/>
            <w:u w:val="single"/>
          </w:rPr>
          <w:t>12a</w:t>
        </w:r>
      </w:hyperlink>
      <w:r>
        <w:rPr>
          <w:rFonts w:ascii="Times New Roman" w:hAnsi="Times New Roman" w:cs="Times New Roman"/>
          <w:color w:val="000000"/>
          <w:sz w:val="24"/>
          <w:szCs w:val="24"/>
        </w:rPr>
        <w:t xml:space="preserve">, </w:t>
      </w:r>
      <w:hyperlink r:id="rId119" w:history="1">
        <w:r>
          <w:rPr>
            <w:rFonts w:ascii="Times New Roman" w:hAnsi="Times New Roman" w:cs="Times New Roman"/>
            <w:color w:val="0000FF"/>
            <w:sz w:val="24"/>
            <w:szCs w:val="24"/>
            <w:u w:val="single"/>
          </w:rPr>
          <w:t>12c</w:t>
        </w:r>
      </w:hyperlink>
      <w:r>
        <w:rPr>
          <w:rFonts w:ascii="Times New Roman" w:hAnsi="Times New Roman" w:cs="Times New Roman"/>
          <w:color w:val="000000"/>
          <w:sz w:val="24"/>
          <w:szCs w:val="24"/>
        </w:rPr>
        <w:t xml:space="preserve">, </w:t>
      </w:r>
      <w:hyperlink r:id="rId120" w:history="1">
        <w:r>
          <w:rPr>
            <w:rFonts w:ascii="Times New Roman" w:hAnsi="Times New Roman" w:cs="Times New Roman"/>
            <w:color w:val="0000FF"/>
            <w:sz w:val="24"/>
            <w:szCs w:val="24"/>
            <w:u w:val="single"/>
          </w:rPr>
          <w:t>13a</w:t>
        </w:r>
      </w:hyperlink>
      <w:r>
        <w:rPr>
          <w:rFonts w:ascii="Times New Roman" w:hAnsi="Times New Roman" w:cs="Times New Roman"/>
          <w:color w:val="000000"/>
          <w:sz w:val="24"/>
          <w:szCs w:val="24"/>
        </w:rPr>
        <w:t xml:space="preserve">, </w:t>
      </w:r>
      <w:hyperlink r:id="rId121" w:history="1">
        <w:r>
          <w:rPr>
            <w:rFonts w:ascii="Times New Roman" w:hAnsi="Times New Roman" w:cs="Times New Roman"/>
            <w:color w:val="0000FF"/>
            <w:sz w:val="24"/>
            <w:szCs w:val="24"/>
            <w:u w:val="single"/>
          </w:rPr>
          <w:t>13a</w:t>
        </w:r>
      </w:hyperlink>
      <w:r>
        <w:rPr>
          <w:rFonts w:ascii="Times New Roman" w:hAnsi="Times New Roman" w:cs="Times New Roman"/>
          <w:color w:val="000000"/>
          <w:sz w:val="24"/>
          <w:szCs w:val="24"/>
        </w:rPr>
        <w:t>-</w:t>
      </w:r>
      <w:hyperlink r:id="rId122" w:history="1">
        <w:r>
          <w:rPr>
            <w:rFonts w:ascii="Times New Roman" w:hAnsi="Times New Roman" w:cs="Times New Roman"/>
            <w:color w:val="0000FF"/>
            <w:sz w:val="24"/>
            <w:szCs w:val="24"/>
            <w:u w:val="single"/>
          </w:rPr>
          <w:t>1</w:t>
        </w:r>
      </w:hyperlink>
      <w:r>
        <w:rPr>
          <w:rFonts w:ascii="Times New Roman" w:hAnsi="Times New Roman" w:cs="Times New Roman"/>
          <w:color w:val="000000"/>
          <w:sz w:val="24"/>
          <w:szCs w:val="24"/>
        </w:rPr>
        <w:t xml:space="preserve">, </w:t>
      </w:r>
      <w:hyperlink r:id="rId123" w:history="1">
        <w:r>
          <w:rPr>
            <w:rFonts w:ascii="Times New Roman" w:hAnsi="Times New Roman" w:cs="Times New Roman"/>
            <w:color w:val="0000FF"/>
            <w:sz w:val="24"/>
            <w:szCs w:val="24"/>
            <w:u w:val="single"/>
          </w:rPr>
          <w:t>16</w:t>
        </w:r>
      </w:hyperlink>
      <w:r>
        <w:rPr>
          <w:rFonts w:ascii="Times New Roman" w:hAnsi="Times New Roman" w:cs="Times New Roman"/>
          <w:color w:val="000000"/>
          <w:sz w:val="24"/>
          <w:szCs w:val="24"/>
        </w:rPr>
        <w:t xml:space="preserve">, </w:t>
      </w:r>
      <w:hyperlink r:id="rId124" w:history="1">
        <w:r>
          <w:rPr>
            <w:rFonts w:ascii="Times New Roman" w:hAnsi="Times New Roman" w:cs="Times New Roman"/>
            <w:color w:val="0000FF"/>
            <w:sz w:val="24"/>
            <w:szCs w:val="24"/>
            <w:u w:val="single"/>
          </w:rPr>
          <w:t>16a</w:t>
        </w:r>
      </w:hyperlink>
      <w:r>
        <w:rPr>
          <w:rFonts w:ascii="Times New Roman" w:hAnsi="Times New Roman" w:cs="Times New Roman"/>
          <w:color w:val="000000"/>
          <w:sz w:val="24"/>
          <w:szCs w:val="24"/>
        </w:rPr>
        <w:t xml:space="preserve">, </w:t>
      </w:r>
      <w:hyperlink r:id="rId125" w:history="1">
        <w:r>
          <w:rPr>
            <w:rFonts w:ascii="Times New Roman" w:hAnsi="Times New Roman" w:cs="Times New Roman"/>
            <w:color w:val="0000FF"/>
            <w:sz w:val="24"/>
            <w:szCs w:val="24"/>
            <w:u w:val="single"/>
          </w:rPr>
          <w:t>19</w:t>
        </w:r>
      </w:hyperlink>
      <w:r>
        <w:rPr>
          <w:rFonts w:ascii="Times New Roman" w:hAnsi="Times New Roman" w:cs="Times New Roman"/>
          <w:color w:val="000000"/>
          <w:sz w:val="24"/>
          <w:szCs w:val="24"/>
        </w:rPr>
        <w:t xml:space="preserve">, </w:t>
      </w:r>
      <w:hyperlink r:id="rId126" w:history="1">
        <w:r>
          <w:rPr>
            <w:rFonts w:ascii="Times New Roman" w:hAnsi="Times New Roman" w:cs="Times New Roman"/>
            <w:color w:val="0000FF"/>
            <w:sz w:val="24"/>
            <w:szCs w:val="24"/>
            <w:u w:val="single"/>
          </w:rPr>
          <w:t>21</w:t>
        </w:r>
      </w:hyperlink>
      <w:r>
        <w:rPr>
          <w:rFonts w:ascii="Times New Roman" w:hAnsi="Times New Roman" w:cs="Times New Roman"/>
          <w:color w:val="000000"/>
          <w:sz w:val="24"/>
          <w:szCs w:val="24"/>
        </w:rPr>
        <w:t xml:space="preserve">, </w:t>
      </w:r>
      <w:hyperlink r:id="rId127" w:history="1">
        <w:r>
          <w:rPr>
            <w:rFonts w:ascii="Times New Roman" w:hAnsi="Times New Roman" w:cs="Times New Roman"/>
            <w:color w:val="0000FF"/>
            <w:sz w:val="24"/>
            <w:szCs w:val="24"/>
            <w:u w:val="single"/>
          </w:rPr>
          <w:t>23</w:t>
        </w:r>
      </w:hyperlink>
      <w:r>
        <w:rPr>
          <w:rFonts w:ascii="Times New Roman" w:hAnsi="Times New Roman" w:cs="Times New Roman"/>
          <w:color w:val="000000"/>
          <w:sz w:val="24"/>
          <w:szCs w:val="24"/>
        </w:rPr>
        <w:t xml:space="preserve">, and </w:t>
      </w:r>
      <w:hyperlink r:id="rId128" w:history="1">
        <w:r>
          <w:rPr>
            <w:rFonts w:ascii="Times New Roman" w:hAnsi="Times New Roman" w:cs="Times New Roman"/>
            <w:color w:val="0000FF"/>
            <w:sz w:val="24"/>
            <w:szCs w:val="24"/>
            <w:u w:val="single"/>
          </w:rPr>
          <w:t>24</w:t>
        </w:r>
      </w:hyperlink>
      <w:r>
        <w:rPr>
          <w:rFonts w:ascii="Times New Roman" w:hAnsi="Times New Roman" w:cs="Times New Roman"/>
          <w:color w:val="000000"/>
          <w:sz w:val="24"/>
          <w:szCs w:val="24"/>
        </w:rPr>
        <w:t xml:space="preserve">, as amended by the Commodity Futures Modernization Act of 2000, Appendix E of </w:t>
      </w:r>
      <w:hyperlink r:id="rId129"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xml:space="preserve">. </w:t>
        </w:r>
        <w:proofErr w:type="gramStart"/>
        <w:r>
          <w:rPr>
            <w:rFonts w:ascii="Times New Roman" w:hAnsi="Times New Roman" w:cs="Times New Roman"/>
            <w:color w:val="0000FF"/>
            <w:sz w:val="24"/>
            <w:szCs w:val="24"/>
            <w:u w:val="single"/>
          </w:rPr>
          <w:t>106-554, 114 Stat. 2763 (2000).</w:t>
        </w:r>
        <w:proofErr w:type="gramEnd"/>
      </w:hyperlink>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 C. F. R. § 1.48, 17 CFR § 1.48</w:t>
      </w: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7" w:name="Document1zzI4A9BB7E0334611DEA168E6BA6939"/>
      <w:bookmarkEnd w:id="7"/>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Current through July 10, 2009; 74 FR 33170</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2009 Thomson Reuters </w:t>
      </w:r>
    </w:p>
    <w:p w:rsidR="00AF381C"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END OF DOCUMENT</w:t>
      </w:r>
    </w:p>
    <w:p w:rsidR="00AF381C" w:rsidRDefault="00AF381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F509CF" w:rsidRDefault="00246A03" w:rsidP="00AF381C">
      <w:pPr>
        <w:rPr>
          <w:rFonts w:ascii="Times New Roman" w:hAnsi="Times New Roman" w:cs="Times New Roman"/>
          <w:color w:val="000000"/>
          <w:sz w:val="24"/>
          <w:szCs w:val="24"/>
        </w:rPr>
      </w:pPr>
      <w:r w:rsidRPr="008234A1">
        <w:rPr>
          <w:rFonts w:ascii="Times New Roman" w:hAnsi="Times New Roman" w:cs="Times New Roman"/>
          <w:color w:val="00000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v:imagedata r:id="rId130" o:title=""/>
          </v:shape>
        </w:pict>
      </w:r>
    </w:p>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Effective</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 xml:space="preserve">See Text Amendments] </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Code of Federal Regulations </w:t>
      </w:r>
      <w:hyperlink w:anchor="Document1zzIA616E860334611DEA168E6BA6939" w:history="1">
        <w:proofErr w:type="spellStart"/>
        <w:r>
          <w:rPr>
            <w:rFonts w:ascii="Times New Roman" w:hAnsi="Times New Roman" w:cs="Times New Roman"/>
            <w:color w:val="0000FF"/>
            <w:sz w:val="24"/>
            <w:szCs w:val="24"/>
            <w:u w:val="single"/>
          </w:rPr>
          <w:t>Currentness</w:t>
        </w:r>
        <w:proofErr w:type="spellEnd"/>
      </w:hyperlink>
    </w:p>
    <w:p w:rsidR="00F509CF" w:rsidRDefault="00F509C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Title 17.</w:t>
      </w:r>
      <w:proofErr w:type="gramEnd"/>
      <w:r>
        <w:rPr>
          <w:rFonts w:ascii="Times New Roman" w:hAnsi="Times New Roman" w:cs="Times New Roman"/>
          <w:color w:val="000000"/>
          <w:sz w:val="24"/>
          <w:szCs w:val="24"/>
        </w:rPr>
        <w:t xml:space="preserve"> Commodity and Securities Exchanges</w:t>
      </w:r>
    </w:p>
    <w:p w:rsidR="00F509CF" w:rsidRDefault="008234A1">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hyperlink r:id="rId131" w:history="1">
        <w:r w:rsidR="00246A03" w:rsidRPr="008234A1">
          <w:rPr>
            <w:rFonts w:ascii="Times New Roman" w:hAnsi="Times New Roman" w:cs="Times New Roman"/>
            <w:color w:val="0000FF"/>
            <w:sz w:val="24"/>
            <w:szCs w:val="24"/>
            <w:u w:val="single"/>
          </w:rPr>
          <w:pict>
            <v:shape id="_x0000_i1026" type="#_x0000_t75" style="width:9.75pt;height:9.75pt">
              <v:imagedata r:id="rId132" o:title=""/>
            </v:shape>
          </w:pict>
        </w:r>
        <w:r w:rsidR="00F509CF">
          <w:rPr>
            <w:rFonts w:ascii="Times New Roman" w:hAnsi="Times New Roman" w:cs="Times New Roman"/>
            <w:color w:val="0000FF"/>
            <w:sz w:val="24"/>
            <w:szCs w:val="24"/>
            <w:u w:val="single"/>
          </w:rPr>
          <w:t xml:space="preserve"> </w:t>
        </w:r>
        <w:proofErr w:type="gramStart"/>
        <w:r w:rsidR="00F509CF">
          <w:rPr>
            <w:rFonts w:ascii="Times New Roman" w:hAnsi="Times New Roman" w:cs="Times New Roman"/>
            <w:color w:val="0000FF"/>
            <w:sz w:val="24"/>
            <w:szCs w:val="24"/>
            <w:u w:val="single"/>
          </w:rPr>
          <w:t>Chapter I</w:t>
        </w:r>
      </w:hyperlink>
      <w:r w:rsidR="00F509CF">
        <w:rPr>
          <w:rFonts w:ascii="Times New Roman" w:hAnsi="Times New Roman" w:cs="Times New Roman"/>
          <w:color w:val="000000"/>
          <w:sz w:val="24"/>
          <w:szCs w:val="24"/>
        </w:rPr>
        <w:t>.</w:t>
      </w:r>
      <w:proofErr w:type="gramEnd"/>
      <w:r w:rsidR="00F509CF">
        <w:rPr>
          <w:rFonts w:ascii="Times New Roman" w:hAnsi="Times New Roman" w:cs="Times New Roman"/>
          <w:color w:val="000000"/>
          <w:sz w:val="24"/>
          <w:szCs w:val="24"/>
        </w:rPr>
        <w:t xml:space="preserve"> Commodity Futures Trading Commission</w:t>
      </w:r>
    </w:p>
    <w:p w:rsidR="00F509CF" w:rsidRDefault="008234A1">
      <w:pPr>
        <w:widowControl w:val="0"/>
        <w:autoSpaceDE w:val="0"/>
        <w:autoSpaceDN w:val="0"/>
        <w:adjustRightInd w:val="0"/>
        <w:spacing w:after="0" w:line="240" w:lineRule="auto"/>
        <w:ind w:left="540"/>
        <w:jc w:val="both"/>
        <w:rPr>
          <w:rFonts w:ascii="Times New Roman" w:hAnsi="Times New Roman" w:cs="Times New Roman"/>
          <w:color w:val="000000"/>
          <w:sz w:val="24"/>
          <w:szCs w:val="24"/>
        </w:rPr>
      </w:pPr>
      <w:hyperlink r:id="rId133" w:history="1">
        <w:r w:rsidR="00246A03" w:rsidRPr="008234A1">
          <w:rPr>
            <w:rFonts w:ascii="Times New Roman" w:hAnsi="Times New Roman" w:cs="Times New Roman"/>
            <w:color w:val="0000FF"/>
            <w:sz w:val="24"/>
            <w:szCs w:val="24"/>
            <w:u w:val="single"/>
          </w:rPr>
          <w:pict>
            <v:shape id="_x0000_i1027" type="#_x0000_t75" style="width:9.75pt;height:9.75pt">
              <v:imagedata r:id="rId132" o:title=""/>
            </v:shape>
          </w:pict>
        </w:r>
        <w:r w:rsidR="00F509CF">
          <w:rPr>
            <w:rFonts w:ascii="Times New Roman" w:hAnsi="Times New Roman" w:cs="Times New Roman"/>
            <w:color w:val="0000FF"/>
            <w:sz w:val="24"/>
            <w:szCs w:val="24"/>
            <w:u w:val="single"/>
          </w:rPr>
          <w:t xml:space="preserve"> </w:t>
        </w:r>
        <w:proofErr w:type="gramStart"/>
        <w:r w:rsidR="00F509CF">
          <w:rPr>
            <w:rFonts w:ascii="Times New Roman" w:hAnsi="Times New Roman" w:cs="Times New Roman"/>
            <w:color w:val="0000FF"/>
            <w:sz w:val="24"/>
            <w:szCs w:val="24"/>
            <w:u w:val="single"/>
          </w:rPr>
          <w:t>Part 150</w:t>
        </w:r>
      </w:hyperlink>
      <w:r w:rsidR="00F509CF">
        <w:rPr>
          <w:rFonts w:ascii="Times New Roman" w:hAnsi="Times New Roman" w:cs="Times New Roman"/>
          <w:color w:val="000000"/>
          <w:sz w:val="24"/>
          <w:szCs w:val="24"/>
        </w:rPr>
        <w:t>.</w:t>
      </w:r>
      <w:proofErr w:type="gramEnd"/>
      <w:r w:rsidR="00F509CF">
        <w:rPr>
          <w:rFonts w:ascii="Times New Roman" w:hAnsi="Times New Roman" w:cs="Times New Roman"/>
          <w:color w:val="000000"/>
          <w:sz w:val="24"/>
          <w:szCs w:val="24"/>
        </w:rPr>
        <w:t xml:space="preserve"> Limits on Positions </w:t>
      </w:r>
      <w:hyperlink r:id="rId134" w:history="1">
        <w:r w:rsidR="00F509CF">
          <w:rPr>
            <w:rFonts w:ascii="Times New Roman" w:hAnsi="Times New Roman" w:cs="Times New Roman"/>
            <w:color w:val="0000FF"/>
            <w:sz w:val="24"/>
            <w:szCs w:val="24"/>
            <w:u w:val="single"/>
          </w:rPr>
          <w:t xml:space="preserve">(Refs &amp; </w:t>
        </w:r>
        <w:proofErr w:type="spellStart"/>
        <w:r w:rsidR="00F509CF">
          <w:rPr>
            <w:rFonts w:ascii="Times New Roman" w:hAnsi="Times New Roman" w:cs="Times New Roman"/>
            <w:color w:val="0000FF"/>
            <w:sz w:val="24"/>
            <w:szCs w:val="24"/>
            <w:u w:val="single"/>
          </w:rPr>
          <w:t>Annos</w:t>
        </w:r>
        <w:proofErr w:type="spellEnd"/>
        <w:r w:rsidR="00F509CF">
          <w:rPr>
            <w:rFonts w:ascii="Times New Roman" w:hAnsi="Times New Roman" w:cs="Times New Roman"/>
            <w:color w:val="0000FF"/>
            <w:sz w:val="24"/>
            <w:szCs w:val="24"/>
            <w:u w:val="single"/>
          </w:rPr>
          <w:t>)</w:t>
        </w:r>
      </w:hyperlink>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246A03">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8234A1">
        <w:rPr>
          <w:rFonts w:ascii="Times New Roman" w:hAnsi="Times New Roman" w:cs="Times New Roman"/>
          <w:b/>
          <w:bCs/>
          <w:color w:val="000000"/>
          <w:sz w:val="24"/>
          <w:szCs w:val="24"/>
        </w:rPr>
        <w:pict>
          <v:shape id="_x0000_i1028" type="#_x0000_t75" style="width:9.75pt;height:9.75pt">
            <v:imagedata r:id="rId135" o:title=""/>
          </v:shape>
        </w:pict>
      </w:r>
      <w:r w:rsidR="00F509CF">
        <w:rPr>
          <w:rFonts w:ascii="Times New Roman" w:hAnsi="Times New Roman" w:cs="Times New Roman"/>
          <w:b/>
          <w:bCs/>
          <w:color w:val="000000"/>
          <w:sz w:val="24"/>
          <w:szCs w:val="24"/>
        </w:rPr>
        <w:t xml:space="preserve"> § 150.1 Definitions.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 used in this part--</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Spot month means the futures contract next to expire during that period of time beginning at the close of trading on the trading day preceding the first day on which delivery notices can be issued to the clearing organization of a contract market.</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Single month means each separate futures trading month, other than the spot month future.</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All-months means the sum of all futures trading months including the spot month future.</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Eligible entity means--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commodity pool operator, the operator of a trading vehicle which is excluded or who itself has qualified for exclusion from the definition of the term “pool” or commodity pool operator,” respectively, under </w:t>
      </w:r>
      <w:hyperlink r:id="rId136" w:history="1">
        <w:r>
          <w:rPr>
            <w:rFonts w:ascii="Times New Roman" w:hAnsi="Times New Roman" w:cs="Times New Roman"/>
            <w:color w:val="0000FF"/>
            <w:sz w:val="24"/>
            <w:szCs w:val="24"/>
            <w:u w:val="single"/>
          </w:rPr>
          <w:t>§ 4.5</w:t>
        </w:r>
      </w:hyperlink>
      <w:r>
        <w:rPr>
          <w:rFonts w:ascii="Times New Roman" w:hAnsi="Times New Roman" w:cs="Times New Roman"/>
          <w:color w:val="000000"/>
          <w:sz w:val="24"/>
          <w:szCs w:val="24"/>
        </w:rPr>
        <w:t xml:space="preserve"> of this chapter; the l</w:t>
      </w:r>
      <w:r>
        <w:rPr>
          <w:rFonts w:ascii="Times New Roman" w:hAnsi="Times New Roman" w:cs="Times New Roman"/>
          <w:color w:val="000000"/>
          <w:sz w:val="24"/>
          <w:szCs w:val="24"/>
        </w:rPr>
        <w:t>i</w:t>
      </w:r>
      <w:r>
        <w:rPr>
          <w:rFonts w:ascii="Times New Roman" w:hAnsi="Times New Roman" w:cs="Times New Roman"/>
          <w:color w:val="000000"/>
          <w:sz w:val="24"/>
          <w:szCs w:val="24"/>
        </w:rPr>
        <w:t>mited partner or shareholder in a commodity pool the operator of which is exempt from re</w:t>
      </w:r>
      <w:r>
        <w:rPr>
          <w:rFonts w:ascii="Times New Roman" w:hAnsi="Times New Roman" w:cs="Times New Roman"/>
          <w:color w:val="000000"/>
          <w:sz w:val="24"/>
          <w:szCs w:val="24"/>
        </w:rPr>
        <w:t>g</w:t>
      </w:r>
      <w:r>
        <w:rPr>
          <w:rFonts w:ascii="Times New Roman" w:hAnsi="Times New Roman" w:cs="Times New Roman"/>
          <w:color w:val="000000"/>
          <w:sz w:val="24"/>
          <w:szCs w:val="24"/>
        </w:rPr>
        <w:t xml:space="preserve">istration under </w:t>
      </w:r>
      <w:hyperlink r:id="rId137" w:history="1">
        <w:r>
          <w:rPr>
            <w:rFonts w:ascii="Times New Roman" w:hAnsi="Times New Roman" w:cs="Times New Roman"/>
            <w:color w:val="0000FF"/>
            <w:sz w:val="24"/>
            <w:szCs w:val="24"/>
            <w:u w:val="single"/>
          </w:rPr>
          <w:t>§ 4.13</w:t>
        </w:r>
      </w:hyperlink>
      <w:r>
        <w:rPr>
          <w:rFonts w:ascii="Times New Roman" w:hAnsi="Times New Roman" w:cs="Times New Roman"/>
          <w:color w:val="000000"/>
          <w:sz w:val="24"/>
          <w:szCs w:val="24"/>
        </w:rPr>
        <w:t xml:space="preserve"> of this chapter; a co</w:t>
      </w:r>
      <w:r>
        <w:rPr>
          <w:rFonts w:ascii="Times New Roman" w:hAnsi="Times New Roman" w:cs="Times New Roman"/>
          <w:color w:val="000000"/>
          <w:sz w:val="24"/>
          <w:szCs w:val="24"/>
        </w:rPr>
        <w:t>m</w:t>
      </w:r>
      <w:r>
        <w:rPr>
          <w:rFonts w:ascii="Times New Roman" w:hAnsi="Times New Roman" w:cs="Times New Roman"/>
          <w:color w:val="000000"/>
          <w:sz w:val="24"/>
          <w:szCs w:val="24"/>
        </w:rPr>
        <w:t>modity trading advisor; a bank or trust company; a savings association; an insurance company; or the separately organized affiliates of any of the above entities: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(1) Which authorizes an independent account controller independently to control all trading decisions for positions it holds directly or indirectly, or on its behalf, but without its day-to-day direction; and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Which </w:t>
      </w:r>
      <w:proofErr w:type="gramStart"/>
      <w:r>
        <w:rPr>
          <w:rFonts w:ascii="Times New Roman" w:hAnsi="Times New Roman" w:cs="Times New Roman"/>
          <w:color w:val="000000"/>
          <w:sz w:val="24"/>
          <w:szCs w:val="24"/>
        </w:rPr>
        <w:t>maintains:</w:t>
      </w:r>
      <w:proofErr w:type="gramEnd"/>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Only such minimum control over the i</w:t>
      </w:r>
      <w:r>
        <w:rPr>
          <w:rFonts w:ascii="Times New Roman" w:hAnsi="Times New Roman" w:cs="Times New Roman"/>
          <w:color w:val="000000"/>
          <w:sz w:val="24"/>
          <w:szCs w:val="24"/>
        </w:rPr>
        <w:t>n</w:t>
      </w:r>
      <w:r>
        <w:rPr>
          <w:rFonts w:ascii="Times New Roman" w:hAnsi="Times New Roman" w:cs="Times New Roman"/>
          <w:color w:val="000000"/>
          <w:sz w:val="24"/>
          <w:szCs w:val="24"/>
        </w:rPr>
        <w:t>dependent account controller as is consistent with its fiduciary responsibilities and nece</w:t>
      </w:r>
      <w:r>
        <w:rPr>
          <w:rFonts w:ascii="Times New Roman" w:hAnsi="Times New Roman" w:cs="Times New Roman"/>
          <w:color w:val="000000"/>
          <w:sz w:val="24"/>
          <w:szCs w:val="24"/>
        </w:rPr>
        <w:t>s</w:t>
      </w:r>
      <w:r>
        <w:rPr>
          <w:rFonts w:ascii="Times New Roman" w:hAnsi="Times New Roman" w:cs="Times New Roman"/>
          <w:color w:val="000000"/>
          <w:sz w:val="24"/>
          <w:szCs w:val="24"/>
        </w:rPr>
        <w:t>sary to fulfill its duty to supervise diligently the trading done on its behalf; or</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 If a limited partner or shareholder of a commodity pool the operator of which is exempt from registration under </w:t>
      </w:r>
      <w:hyperlink r:id="rId138" w:history="1">
        <w:r>
          <w:rPr>
            <w:rFonts w:ascii="Times New Roman" w:hAnsi="Times New Roman" w:cs="Times New Roman"/>
            <w:color w:val="0000FF"/>
            <w:sz w:val="24"/>
            <w:szCs w:val="24"/>
            <w:u w:val="single"/>
          </w:rPr>
          <w:t>§ 4.13</w:t>
        </w:r>
      </w:hyperlink>
      <w:r>
        <w:rPr>
          <w:rFonts w:ascii="Times New Roman" w:hAnsi="Times New Roman" w:cs="Times New Roman"/>
          <w:color w:val="000000"/>
          <w:sz w:val="24"/>
          <w:szCs w:val="24"/>
        </w:rPr>
        <w:t xml:space="preserve"> of this chapter, only such limited control as is co</w:t>
      </w:r>
      <w:r>
        <w:rPr>
          <w:rFonts w:ascii="Times New Roman" w:hAnsi="Times New Roman" w:cs="Times New Roman"/>
          <w:color w:val="000000"/>
          <w:sz w:val="24"/>
          <w:szCs w:val="24"/>
        </w:rPr>
        <w:t>n</w:t>
      </w:r>
      <w:r>
        <w:rPr>
          <w:rFonts w:ascii="Times New Roman" w:hAnsi="Times New Roman" w:cs="Times New Roman"/>
          <w:color w:val="000000"/>
          <w:sz w:val="24"/>
          <w:szCs w:val="24"/>
        </w:rPr>
        <w:t>sistent with its status.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 Independent account controller means a person--</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(1) Who specifically is authorized by an el</w:t>
      </w:r>
      <w:r>
        <w:rPr>
          <w:rFonts w:ascii="Times New Roman" w:hAnsi="Times New Roman" w:cs="Times New Roman"/>
          <w:color w:val="000000"/>
          <w:sz w:val="24"/>
          <w:szCs w:val="24"/>
        </w:rPr>
        <w:t>i</w:t>
      </w:r>
      <w:r>
        <w:rPr>
          <w:rFonts w:ascii="Times New Roman" w:hAnsi="Times New Roman" w:cs="Times New Roman"/>
          <w:color w:val="000000"/>
          <w:sz w:val="24"/>
          <w:szCs w:val="24"/>
        </w:rPr>
        <w:t>gible entity, as defined in paragraph (d) of this section, independently to control trading decisions on behalf of, but without the day-to-day direction of, the eligible entity;</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(2) Over whose trading the eligible entity maintains only such minimum control as is consistent with its fiduciary responsibilities to fulfill its duty to supervise diligently the trading done on its behalf or as is consistent with such other legal rights or obligations which may be incumbent upon the eligible entity to fulfill;</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Who trades independently of the eligible entity and of any other independent account </w:t>
      </w:r>
      <w:r>
        <w:rPr>
          <w:rFonts w:ascii="Times New Roman" w:hAnsi="Times New Roman" w:cs="Times New Roman"/>
          <w:color w:val="000000"/>
          <w:sz w:val="24"/>
          <w:szCs w:val="24"/>
        </w:rPr>
        <w:lastRenderedPageBreak/>
        <w:t xml:space="preserve">controller trading for the eligible </w:t>
      </w:r>
      <w:proofErr w:type="gramStart"/>
      <w:r>
        <w:rPr>
          <w:rFonts w:ascii="Times New Roman" w:hAnsi="Times New Roman" w:cs="Times New Roman"/>
          <w:color w:val="000000"/>
          <w:sz w:val="24"/>
          <w:szCs w:val="24"/>
        </w:rPr>
        <w:t>entity;</w:t>
      </w:r>
      <w:proofErr w:type="gramEnd"/>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(4) Who has no knowledge of trading dec</w:t>
      </w:r>
      <w:r>
        <w:rPr>
          <w:rFonts w:ascii="Times New Roman" w:hAnsi="Times New Roman" w:cs="Times New Roman"/>
          <w:color w:val="000000"/>
          <w:sz w:val="24"/>
          <w:szCs w:val="24"/>
        </w:rPr>
        <w:t>i</w:t>
      </w:r>
      <w:r>
        <w:rPr>
          <w:rFonts w:ascii="Times New Roman" w:hAnsi="Times New Roman" w:cs="Times New Roman"/>
          <w:color w:val="000000"/>
          <w:sz w:val="24"/>
          <w:szCs w:val="24"/>
        </w:rPr>
        <w:t>sions by any other independent account co</w:t>
      </w:r>
      <w:r>
        <w:rPr>
          <w:rFonts w:ascii="Times New Roman" w:hAnsi="Times New Roman" w:cs="Times New Roman"/>
          <w:color w:val="000000"/>
          <w:sz w:val="24"/>
          <w:szCs w:val="24"/>
        </w:rPr>
        <w:t>n</w:t>
      </w:r>
      <w:r>
        <w:rPr>
          <w:rFonts w:ascii="Times New Roman" w:hAnsi="Times New Roman" w:cs="Times New Roman"/>
          <w:color w:val="000000"/>
          <w:sz w:val="24"/>
          <w:szCs w:val="24"/>
        </w:rPr>
        <w:t>troller; and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(5) Who is registered as a futures commi</w:t>
      </w:r>
      <w:r>
        <w:rPr>
          <w:rFonts w:ascii="Times New Roman" w:hAnsi="Times New Roman" w:cs="Times New Roman"/>
          <w:color w:val="000000"/>
          <w:sz w:val="24"/>
          <w:szCs w:val="24"/>
        </w:rPr>
        <w:t>s</w:t>
      </w:r>
      <w:r>
        <w:rPr>
          <w:rFonts w:ascii="Times New Roman" w:hAnsi="Times New Roman" w:cs="Times New Roman"/>
          <w:color w:val="000000"/>
          <w:sz w:val="24"/>
          <w:szCs w:val="24"/>
        </w:rPr>
        <w:t xml:space="preserve">sion merchant, an introducing broker, a commodity trading advisor, an associated person or any such registrant, or is a general partner of a commodity pool the operator of which is exempt from registration under </w:t>
      </w:r>
      <w:hyperlink r:id="rId139" w:history="1">
        <w:r>
          <w:rPr>
            <w:rFonts w:ascii="Times New Roman" w:hAnsi="Times New Roman" w:cs="Times New Roman"/>
            <w:color w:val="0000FF"/>
            <w:sz w:val="24"/>
            <w:szCs w:val="24"/>
            <w:u w:val="single"/>
          </w:rPr>
          <w:t>§ 4.13</w:t>
        </w:r>
      </w:hyperlink>
      <w:r>
        <w:rPr>
          <w:rFonts w:ascii="Times New Roman" w:hAnsi="Times New Roman" w:cs="Times New Roman"/>
          <w:color w:val="000000"/>
          <w:sz w:val="24"/>
          <w:szCs w:val="24"/>
        </w:rPr>
        <w:t xml:space="preserve"> of this chapter.</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 Futures-equivalent means an option contract which has been adjusted by the previous day's </w:t>
      </w:r>
      <w:r>
        <w:rPr>
          <w:rFonts w:ascii="Times New Roman" w:hAnsi="Times New Roman" w:cs="Times New Roman"/>
          <w:color w:val="000000"/>
          <w:sz w:val="24"/>
          <w:szCs w:val="24"/>
        </w:rPr>
        <w:lastRenderedPageBreak/>
        <w:t xml:space="preserve">risk factor, or delta coefficient, for that option which has been calculated at the close of trading and published by the applicable exchange under </w:t>
      </w:r>
      <w:hyperlink r:id="rId140" w:history="1">
        <w:r>
          <w:rPr>
            <w:rFonts w:ascii="Times New Roman" w:hAnsi="Times New Roman" w:cs="Times New Roman"/>
            <w:color w:val="0000FF"/>
            <w:sz w:val="24"/>
            <w:szCs w:val="24"/>
            <w:u w:val="single"/>
          </w:rPr>
          <w:t>§ 16.01</w:t>
        </w:r>
      </w:hyperlink>
      <w:r>
        <w:rPr>
          <w:rFonts w:ascii="Times New Roman" w:hAnsi="Times New Roman" w:cs="Times New Roman"/>
          <w:color w:val="000000"/>
          <w:sz w:val="24"/>
          <w:szCs w:val="24"/>
        </w:rPr>
        <w:t xml:space="preserve"> of this chapter.</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 Long position means a long call option, a short put option or a long underlying futures contract.</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 Short position means a short call </w:t>
      </w:r>
      <w:proofErr w:type="gramStart"/>
      <w:r>
        <w:rPr>
          <w:rFonts w:ascii="Times New Roman" w:hAnsi="Times New Roman" w:cs="Times New Roman"/>
          <w:color w:val="000000"/>
          <w:sz w:val="24"/>
          <w:szCs w:val="24"/>
        </w:rPr>
        <w:t>option,</w:t>
      </w:r>
      <w:proofErr w:type="gramEnd"/>
      <w:r>
        <w:rPr>
          <w:rFonts w:ascii="Times New Roman" w:hAnsi="Times New Roman" w:cs="Times New Roman"/>
          <w:color w:val="000000"/>
          <w:sz w:val="24"/>
          <w:szCs w:val="24"/>
        </w:rPr>
        <w:t xml:space="preserve"> a long put option or a short underlying futures contract.</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For the following commodities, the first d</w:t>
      </w:r>
      <w:r>
        <w:rPr>
          <w:rFonts w:ascii="Times New Roman" w:hAnsi="Times New Roman" w:cs="Times New Roman"/>
          <w:color w:val="000000"/>
          <w:sz w:val="24"/>
          <w:szCs w:val="24"/>
        </w:rPr>
        <w:t>e</w:t>
      </w:r>
      <w:r>
        <w:rPr>
          <w:rFonts w:ascii="Times New Roman" w:hAnsi="Times New Roman" w:cs="Times New Roman"/>
          <w:color w:val="000000"/>
          <w:sz w:val="24"/>
          <w:szCs w:val="24"/>
        </w:rPr>
        <w:t>livery month of the “crop year” is as follows: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headerReference w:type="default" r:id="rId141"/>
          <w:footerReference w:type="default" r:id="rId142"/>
          <w:type w:val="continuous"/>
          <w:pgSz w:w="12240" w:h="15840"/>
          <w:pgMar w:top="2520" w:right="1080" w:bottom="1800" w:left="1080" w:header="720" w:footer="720" w:gutter="0"/>
          <w:cols w:num="2" w:space="720"/>
          <w:noEndnote/>
        </w:sectPr>
      </w:pPr>
    </w:p>
    <w:tbl>
      <w:tblPr>
        <w:tblW w:w="0" w:type="auto"/>
        <w:tblInd w:w="28" w:type="dxa"/>
        <w:tblLayout w:type="fixed"/>
        <w:tblCellMar>
          <w:left w:w="0" w:type="dxa"/>
          <w:right w:w="0" w:type="dxa"/>
        </w:tblCellMar>
        <w:tblLook w:val="0000"/>
      </w:tblPr>
      <w:tblGrid>
        <w:gridCol w:w="5040"/>
        <w:gridCol w:w="5040"/>
      </w:tblGrid>
      <w:tr w:rsidR="00F509CF">
        <w:tc>
          <w:tcPr>
            <w:tcW w:w="5040" w:type="dxa"/>
            <w:tcBorders>
              <w:top w:val="single" w:sz="8" w:space="0" w:color="auto"/>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Commodity</w:t>
            </w:r>
          </w:p>
        </w:tc>
        <w:tc>
          <w:tcPr>
            <w:tcW w:w="5040" w:type="dxa"/>
            <w:tcBorders>
              <w:top w:val="single" w:sz="8" w:space="0" w:color="auto"/>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Beginning delivery month</w:t>
            </w:r>
          </w:p>
        </w:tc>
      </w:tr>
      <w:tr w:rsidR="00F509CF">
        <w:tc>
          <w:tcPr>
            <w:tcW w:w="504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corn</w:t>
            </w:r>
          </w:p>
        </w:tc>
        <w:tc>
          <w:tcPr>
            <w:tcW w:w="504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December.</w:t>
            </w:r>
          </w:p>
        </w:tc>
      </w:tr>
      <w:tr w:rsidR="00F509CF">
        <w:tc>
          <w:tcPr>
            <w:tcW w:w="504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cotton</w:t>
            </w:r>
          </w:p>
        </w:tc>
        <w:tc>
          <w:tcPr>
            <w:tcW w:w="504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October.</w:t>
            </w:r>
          </w:p>
        </w:tc>
      </w:tr>
      <w:tr w:rsidR="00F509CF">
        <w:tc>
          <w:tcPr>
            <w:tcW w:w="504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oats</w:t>
            </w:r>
          </w:p>
        </w:tc>
        <w:tc>
          <w:tcPr>
            <w:tcW w:w="504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July.</w:t>
            </w:r>
          </w:p>
        </w:tc>
      </w:tr>
      <w:tr w:rsidR="00F509CF">
        <w:tc>
          <w:tcPr>
            <w:tcW w:w="504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soybeans</w:t>
            </w:r>
          </w:p>
        </w:tc>
        <w:tc>
          <w:tcPr>
            <w:tcW w:w="504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September.</w:t>
            </w:r>
          </w:p>
        </w:tc>
      </w:tr>
      <w:tr w:rsidR="00F509CF">
        <w:tc>
          <w:tcPr>
            <w:tcW w:w="504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soybean meal</w:t>
            </w:r>
          </w:p>
        </w:tc>
        <w:tc>
          <w:tcPr>
            <w:tcW w:w="504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October.</w:t>
            </w:r>
          </w:p>
        </w:tc>
      </w:tr>
      <w:tr w:rsidR="00F509CF">
        <w:tc>
          <w:tcPr>
            <w:tcW w:w="504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soybean oil</w:t>
            </w:r>
          </w:p>
        </w:tc>
        <w:tc>
          <w:tcPr>
            <w:tcW w:w="504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October.</w:t>
            </w:r>
          </w:p>
        </w:tc>
      </w:tr>
      <w:tr w:rsidR="00F509CF">
        <w:tc>
          <w:tcPr>
            <w:tcW w:w="504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wheat (spring)</w:t>
            </w:r>
          </w:p>
        </w:tc>
        <w:tc>
          <w:tcPr>
            <w:tcW w:w="504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September.</w:t>
            </w:r>
          </w:p>
        </w:tc>
      </w:tr>
      <w:tr w:rsidR="00F509CF">
        <w:tc>
          <w:tcPr>
            <w:tcW w:w="504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wheat (winter)</w:t>
            </w:r>
          </w:p>
        </w:tc>
        <w:tc>
          <w:tcPr>
            <w:tcW w:w="504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July.</w:t>
            </w:r>
          </w:p>
        </w:tc>
      </w:tr>
    </w:tbl>
    <w:p w:rsidR="00F509CF" w:rsidRDefault="00F509CF">
      <w:pPr>
        <w:widowControl w:val="0"/>
        <w:autoSpaceDE w:val="0"/>
        <w:autoSpaceDN w:val="0"/>
        <w:adjustRightInd w:val="0"/>
        <w:spacing w:after="0" w:line="240" w:lineRule="auto"/>
        <w:rPr>
          <w:rFonts w:ascii="Times New Roman" w:hAnsi="Times New Roman" w:cs="Times New Roman"/>
          <w:sz w:val="24"/>
          <w:szCs w:val="24"/>
        </w:rPr>
        <w:sectPr w:rsidR="00F509CF">
          <w:type w:val="continuous"/>
          <w:pgSz w:w="12240" w:h="15840"/>
          <w:pgMar w:top="2520" w:right="1080" w:bottom="1800" w:left="1080" w:header="720" w:footer="720" w:gutter="0"/>
          <w:cols w:space="720"/>
          <w:noEndnote/>
        </w:sectPr>
      </w:pPr>
      <w:r>
        <w:rPr>
          <w:rFonts w:ascii="Times New Roman" w:hAnsi="Times New Roman" w:cs="Times New Roman"/>
          <w:color w:val="000000"/>
          <w:sz w:val="24"/>
          <w:szCs w:val="24"/>
        </w:rPr>
        <w:t xml:space="preserve"> </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hyperlink r:id="rId143" w:history="1">
        <w:r>
          <w:rPr>
            <w:rFonts w:ascii="Times New Roman" w:hAnsi="Times New Roman" w:cs="Times New Roman"/>
            <w:color w:val="0000FF"/>
            <w:sz w:val="24"/>
            <w:szCs w:val="24"/>
            <w:u w:val="single"/>
          </w:rPr>
          <w:t>53 FR 41571</w:t>
        </w:r>
      </w:hyperlink>
      <w:r>
        <w:rPr>
          <w:rFonts w:ascii="Times New Roman" w:hAnsi="Times New Roman" w:cs="Times New Roman"/>
          <w:color w:val="000000"/>
          <w:sz w:val="24"/>
          <w:szCs w:val="24"/>
        </w:rPr>
        <w:t xml:space="preserve">, Oct. 24, 1988; </w:t>
      </w:r>
      <w:hyperlink r:id="rId144" w:history="1">
        <w:r>
          <w:rPr>
            <w:rFonts w:ascii="Times New Roman" w:hAnsi="Times New Roman" w:cs="Times New Roman"/>
            <w:color w:val="0000FF"/>
            <w:sz w:val="24"/>
            <w:szCs w:val="24"/>
            <w:u w:val="single"/>
          </w:rPr>
          <w:t>56 FR 14315</w:t>
        </w:r>
      </w:hyperlink>
      <w:r>
        <w:rPr>
          <w:rFonts w:ascii="Times New Roman" w:hAnsi="Times New Roman" w:cs="Times New Roman"/>
          <w:color w:val="000000"/>
          <w:sz w:val="24"/>
          <w:szCs w:val="24"/>
        </w:rPr>
        <w:t xml:space="preserve">, April 9, 1991; </w:t>
      </w:r>
      <w:hyperlink r:id="rId145" w:history="1">
        <w:r>
          <w:rPr>
            <w:rFonts w:ascii="Times New Roman" w:hAnsi="Times New Roman" w:cs="Times New Roman"/>
            <w:color w:val="0000FF"/>
            <w:sz w:val="24"/>
            <w:szCs w:val="24"/>
            <w:u w:val="single"/>
          </w:rPr>
          <w:t>57 FR 44492</w:t>
        </w:r>
      </w:hyperlink>
      <w:r>
        <w:rPr>
          <w:rFonts w:ascii="Times New Roman" w:hAnsi="Times New Roman" w:cs="Times New Roman"/>
          <w:color w:val="000000"/>
          <w:sz w:val="24"/>
          <w:szCs w:val="24"/>
        </w:rPr>
        <w:t xml:space="preserve">, Sept. 28, 1992; 58 FR 17981, April 7, 1993; </w:t>
      </w:r>
      <w:hyperlink r:id="rId146" w:history="1">
        <w:r>
          <w:rPr>
            <w:rFonts w:ascii="Times New Roman" w:hAnsi="Times New Roman" w:cs="Times New Roman"/>
            <w:color w:val="0000FF"/>
            <w:sz w:val="24"/>
            <w:szCs w:val="24"/>
            <w:u w:val="single"/>
          </w:rPr>
          <w:t>64 FR 24046</w:t>
        </w:r>
      </w:hyperlink>
      <w:r>
        <w:rPr>
          <w:rFonts w:ascii="Times New Roman" w:hAnsi="Times New Roman" w:cs="Times New Roman"/>
          <w:color w:val="000000"/>
          <w:sz w:val="24"/>
          <w:szCs w:val="24"/>
        </w:rPr>
        <w:t>, May 5, 1999]</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w:t>
      </w:r>
      <w:hyperlink r:id="rId147" w:history="1">
        <w:r>
          <w:rPr>
            <w:rFonts w:ascii="Times New Roman" w:hAnsi="Times New Roman" w:cs="Times New Roman"/>
            <w:color w:val="0000FF"/>
            <w:sz w:val="24"/>
            <w:szCs w:val="24"/>
            <w:u w:val="single"/>
          </w:rPr>
          <w:t>52 FR 38923</w:t>
        </w:r>
      </w:hyperlink>
      <w:r>
        <w:rPr>
          <w:rFonts w:ascii="Times New Roman" w:hAnsi="Times New Roman" w:cs="Times New Roman"/>
          <w:color w:val="000000"/>
          <w:sz w:val="24"/>
          <w:szCs w:val="24"/>
        </w:rPr>
        <w:t xml:space="preserve">, Oct. 20, 1987; </w:t>
      </w:r>
      <w:hyperlink r:id="rId148" w:history="1">
        <w:r>
          <w:rPr>
            <w:rFonts w:ascii="Times New Roman" w:hAnsi="Times New Roman" w:cs="Times New Roman"/>
            <w:color w:val="0000FF"/>
            <w:sz w:val="24"/>
            <w:szCs w:val="24"/>
            <w:u w:val="single"/>
          </w:rPr>
          <w:t>57 FR 44492</w:t>
        </w:r>
      </w:hyperlink>
      <w:r>
        <w:rPr>
          <w:rFonts w:ascii="Times New Roman" w:hAnsi="Times New Roman" w:cs="Times New Roman"/>
          <w:color w:val="000000"/>
          <w:sz w:val="24"/>
          <w:szCs w:val="24"/>
        </w:rPr>
        <w:t>, Sept. 28, 1992; 58 FR 17981, April 7, 1993; 70 FR 24706, May 11, 2005, unless ot</w:t>
      </w:r>
      <w:r>
        <w:rPr>
          <w:rFonts w:ascii="Times New Roman" w:hAnsi="Times New Roman" w:cs="Times New Roman"/>
          <w:color w:val="000000"/>
          <w:sz w:val="24"/>
          <w:szCs w:val="24"/>
        </w:rPr>
        <w:t>h</w:t>
      </w:r>
      <w:r>
        <w:rPr>
          <w:rFonts w:ascii="Times New Roman" w:hAnsi="Times New Roman" w:cs="Times New Roman"/>
          <w:color w:val="000000"/>
          <w:sz w:val="24"/>
          <w:szCs w:val="24"/>
        </w:rPr>
        <w:t>erwise noted.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AUTHORITY: </w:t>
      </w:r>
      <w:hyperlink r:id="rId149" w:history="1">
        <w:r>
          <w:rPr>
            <w:rFonts w:ascii="Times New Roman" w:hAnsi="Times New Roman" w:cs="Times New Roman"/>
            <w:color w:val="0000FF"/>
            <w:sz w:val="24"/>
            <w:szCs w:val="24"/>
            <w:u w:val="single"/>
          </w:rPr>
          <w:t>7 U.S.C. 6a</w:t>
        </w:r>
      </w:hyperlink>
      <w:r>
        <w:rPr>
          <w:rFonts w:ascii="Times New Roman" w:hAnsi="Times New Roman" w:cs="Times New Roman"/>
          <w:color w:val="000000"/>
          <w:sz w:val="24"/>
          <w:szCs w:val="24"/>
        </w:rPr>
        <w:t xml:space="preserve">, </w:t>
      </w:r>
      <w:hyperlink r:id="rId150" w:history="1">
        <w:r>
          <w:rPr>
            <w:rFonts w:ascii="Times New Roman" w:hAnsi="Times New Roman" w:cs="Times New Roman"/>
            <w:color w:val="0000FF"/>
            <w:sz w:val="24"/>
            <w:szCs w:val="24"/>
            <w:u w:val="single"/>
          </w:rPr>
          <w:t>6c</w:t>
        </w:r>
      </w:hyperlink>
      <w:r>
        <w:rPr>
          <w:rFonts w:ascii="Times New Roman" w:hAnsi="Times New Roman" w:cs="Times New Roman"/>
          <w:color w:val="000000"/>
          <w:sz w:val="24"/>
          <w:szCs w:val="24"/>
        </w:rPr>
        <w:t xml:space="preserve">, and </w:t>
      </w:r>
      <w:hyperlink r:id="rId151" w:history="1">
        <w:r>
          <w:rPr>
            <w:rFonts w:ascii="Times New Roman" w:hAnsi="Times New Roman" w:cs="Times New Roman"/>
            <w:color w:val="0000FF"/>
            <w:sz w:val="24"/>
            <w:szCs w:val="24"/>
            <w:u w:val="single"/>
          </w:rPr>
          <w:t>12a(5)</w:t>
        </w:r>
      </w:hyperlink>
      <w:r>
        <w:rPr>
          <w:rFonts w:ascii="Times New Roman" w:hAnsi="Times New Roman" w:cs="Times New Roman"/>
          <w:color w:val="000000"/>
          <w:sz w:val="24"/>
          <w:szCs w:val="24"/>
        </w:rPr>
        <w:t>, as amended by the Commodity Futures Modern</w:t>
      </w:r>
      <w:r>
        <w:rPr>
          <w:rFonts w:ascii="Times New Roman" w:hAnsi="Times New Roman" w:cs="Times New Roman"/>
          <w:color w:val="000000"/>
          <w:sz w:val="24"/>
          <w:szCs w:val="24"/>
        </w:rPr>
        <w:t>i</w:t>
      </w:r>
      <w:r>
        <w:rPr>
          <w:rFonts w:ascii="Times New Roman" w:hAnsi="Times New Roman" w:cs="Times New Roman"/>
          <w:color w:val="000000"/>
          <w:sz w:val="24"/>
          <w:szCs w:val="24"/>
        </w:rPr>
        <w:lastRenderedPageBreak/>
        <w:t xml:space="preserve">zation Act of 2000, Appendix E of </w:t>
      </w:r>
      <w:hyperlink r:id="rId152"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xml:space="preserve">. </w:t>
        </w:r>
        <w:proofErr w:type="gramStart"/>
        <w:r>
          <w:rPr>
            <w:rFonts w:ascii="Times New Roman" w:hAnsi="Times New Roman" w:cs="Times New Roman"/>
            <w:color w:val="0000FF"/>
            <w:sz w:val="24"/>
            <w:szCs w:val="24"/>
            <w:u w:val="single"/>
          </w:rPr>
          <w:t>106-554, 114 Stat. 2763 (2000).</w:t>
        </w:r>
        <w:proofErr w:type="gramEnd"/>
      </w:hyperlink>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 C. F. R. § 150.1, 17 CFR § 150.1</w:t>
      </w: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8" w:name="Document1zzIA616E860334611DEA168E6BA6939"/>
      <w:bookmarkEnd w:id="8"/>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Current through July 17, 2009; 74 FR 35074</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2009 Thomson Reuters </w:t>
      </w: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END OF DOCUMENT</w:t>
      </w: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type w:val="continuous"/>
          <w:pgSz w:w="12240" w:h="15840"/>
          <w:pgMar w:top="2520" w:right="1080" w:bottom="1800" w:left="1080" w:header="720" w:footer="720" w:gutter="0"/>
          <w:cols w:num="2" w:space="720"/>
          <w:noEndnote/>
        </w:sectPr>
      </w:pP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headerReference w:type="default" r:id="rId153"/>
          <w:footerReference w:type="default" r:id="rId154"/>
          <w:pgSz w:w="12240" w:h="15840"/>
          <w:pgMar w:top="3024" w:right="1080" w:bottom="1800" w:left="1080" w:header="720" w:footer="720" w:gutter="0"/>
          <w:pgNumType w:start="1"/>
          <w:cols w:space="720"/>
          <w:noEndnote/>
        </w:sectPr>
      </w:pP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bookmarkStart w:id="9" w:name="Document2zzSDUNumber1"/>
      <w:bookmarkEnd w:id="9"/>
    </w:p>
    <w:p w:rsidR="00F509CF" w:rsidRDefault="00246A03">
      <w:pPr>
        <w:widowControl w:val="0"/>
        <w:autoSpaceDE w:val="0"/>
        <w:autoSpaceDN w:val="0"/>
        <w:adjustRightInd w:val="0"/>
        <w:spacing w:after="0" w:line="240" w:lineRule="auto"/>
        <w:rPr>
          <w:rFonts w:ascii="Times New Roman" w:hAnsi="Times New Roman" w:cs="Times New Roman"/>
          <w:color w:val="000000"/>
          <w:sz w:val="24"/>
          <w:szCs w:val="24"/>
        </w:rPr>
      </w:pPr>
      <w:r w:rsidRPr="008234A1">
        <w:rPr>
          <w:rFonts w:ascii="Times New Roman" w:hAnsi="Times New Roman" w:cs="Times New Roman"/>
          <w:color w:val="000000"/>
          <w:sz w:val="24"/>
          <w:szCs w:val="24"/>
        </w:rPr>
        <w:pict>
          <v:shape id="_x0000_i1030" type="#_x0000_t75" style="width:9.75pt;height:9.75pt">
            <v:imagedata r:id="rId130" o:title=""/>
          </v:shape>
        </w:pict>
      </w:r>
    </w:p>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Effective: June 10, 2005</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Code of Federal Regulations </w:t>
      </w:r>
      <w:bookmarkStart w:id="10" w:name="Document3zzCurrentness"/>
      <w:bookmarkEnd w:id="10"/>
      <w:r w:rsidR="008234A1">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\l "Document3zzI149BA400472511DE819E9C723C2E"</w:instrText>
      </w:r>
      <w:r w:rsidR="008234A1">
        <w:rPr>
          <w:rFonts w:ascii="Times New Roman" w:hAnsi="Times New Roman" w:cs="Times New Roman"/>
          <w:color w:val="000000"/>
          <w:sz w:val="24"/>
          <w:szCs w:val="24"/>
        </w:rPr>
        <w:fldChar w:fldCharType="separate"/>
      </w:r>
      <w:proofErr w:type="spellStart"/>
      <w:r>
        <w:rPr>
          <w:rFonts w:ascii="Times New Roman" w:hAnsi="Times New Roman" w:cs="Times New Roman"/>
          <w:color w:val="0000FF"/>
          <w:sz w:val="24"/>
          <w:szCs w:val="24"/>
          <w:u w:val="single"/>
        </w:rPr>
        <w:t>Currentness</w:t>
      </w:r>
      <w:proofErr w:type="spellEnd"/>
      <w:r w:rsidR="008234A1">
        <w:rPr>
          <w:rFonts w:ascii="Times New Roman" w:hAnsi="Times New Roman" w:cs="Times New Roman"/>
          <w:color w:val="000000"/>
          <w:sz w:val="24"/>
          <w:szCs w:val="24"/>
        </w:rPr>
        <w:fldChar w:fldCharType="end"/>
      </w:r>
    </w:p>
    <w:p w:rsidR="00F509CF" w:rsidRDefault="00F509C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Title 17.</w:t>
      </w:r>
      <w:proofErr w:type="gramEnd"/>
      <w:r>
        <w:rPr>
          <w:rFonts w:ascii="Times New Roman" w:hAnsi="Times New Roman" w:cs="Times New Roman"/>
          <w:color w:val="000000"/>
          <w:sz w:val="24"/>
          <w:szCs w:val="24"/>
        </w:rPr>
        <w:t xml:space="preserve"> Commodity and Securities Exchanges</w:t>
      </w:r>
    </w:p>
    <w:p w:rsidR="00F509CF" w:rsidRDefault="008234A1">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hyperlink r:id="rId155" w:history="1">
        <w:r w:rsidR="00246A03" w:rsidRPr="008234A1">
          <w:rPr>
            <w:rFonts w:ascii="Times New Roman" w:hAnsi="Times New Roman" w:cs="Times New Roman"/>
            <w:color w:val="0000FF"/>
            <w:sz w:val="24"/>
            <w:szCs w:val="24"/>
            <w:u w:val="single"/>
          </w:rPr>
          <w:pict>
            <v:shape id="_x0000_i1031" type="#_x0000_t75" style="width:9.75pt;height:9.75pt">
              <v:imagedata r:id="rId132" o:title=""/>
            </v:shape>
          </w:pict>
        </w:r>
        <w:r w:rsidR="00F509CF">
          <w:rPr>
            <w:rFonts w:ascii="Times New Roman" w:hAnsi="Times New Roman" w:cs="Times New Roman"/>
            <w:color w:val="0000FF"/>
            <w:sz w:val="24"/>
            <w:szCs w:val="24"/>
            <w:u w:val="single"/>
          </w:rPr>
          <w:t xml:space="preserve"> </w:t>
        </w:r>
        <w:proofErr w:type="gramStart"/>
        <w:r w:rsidR="00F509CF">
          <w:rPr>
            <w:rFonts w:ascii="Times New Roman" w:hAnsi="Times New Roman" w:cs="Times New Roman"/>
            <w:color w:val="0000FF"/>
            <w:sz w:val="24"/>
            <w:szCs w:val="24"/>
            <w:u w:val="single"/>
          </w:rPr>
          <w:t>Chapter I</w:t>
        </w:r>
      </w:hyperlink>
      <w:r w:rsidR="00F509CF">
        <w:rPr>
          <w:rFonts w:ascii="Times New Roman" w:hAnsi="Times New Roman" w:cs="Times New Roman"/>
          <w:color w:val="000000"/>
          <w:sz w:val="24"/>
          <w:szCs w:val="24"/>
        </w:rPr>
        <w:t>.</w:t>
      </w:r>
      <w:proofErr w:type="gramEnd"/>
      <w:r w:rsidR="00F509CF">
        <w:rPr>
          <w:rFonts w:ascii="Times New Roman" w:hAnsi="Times New Roman" w:cs="Times New Roman"/>
          <w:color w:val="000000"/>
          <w:sz w:val="24"/>
          <w:szCs w:val="24"/>
        </w:rPr>
        <w:t xml:space="preserve"> Commodity Futures Trading Commission</w:t>
      </w:r>
    </w:p>
    <w:p w:rsidR="00F509CF" w:rsidRDefault="008234A1">
      <w:pPr>
        <w:widowControl w:val="0"/>
        <w:autoSpaceDE w:val="0"/>
        <w:autoSpaceDN w:val="0"/>
        <w:adjustRightInd w:val="0"/>
        <w:spacing w:after="0" w:line="240" w:lineRule="auto"/>
        <w:ind w:left="540"/>
        <w:jc w:val="both"/>
        <w:rPr>
          <w:rFonts w:ascii="Times New Roman" w:hAnsi="Times New Roman" w:cs="Times New Roman"/>
          <w:color w:val="000000"/>
          <w:sz w:val="24"/>
          <w:szCs w:val="24"/>
        </w:rPr>
      </w:pPr>
      <w:hyperlink r:id="rId156" w:history="1">
        <w:r w:rsidR="00246A03" w:rsidRPr="008234A1">
          <w:rPr>
            <w:rFonts w:ascii="Times New Roman" w:hAnsi="Times New Roman" w:cs="Times New Roman"/>
            <w:color w:val="0000FF"/>
            <w:sz w:val="24"/>
            <w:szCs w:val="24"/>
            <w:u w:val="single"/>
          </w:rPr>
          <w:pict>
            <v:shape id="_x0000_i1032" type="#_x0000_t75" style="width:9.75pt;height:9.75pt">
              <v:imagedata r:id="rId132" o:title=""/>
            </v:shape>
          </w:pict>
        </w:r>
        <w:r w:rsidR="00F509CF">
          <w:rPr>
            <w:rFonts w:ascii="Times New Roman" w:hAnsi="Times New Roman" w:cs="Times New Roman"/>
            <w:color w:val="0000FF"/>
            <w:sz w:val="24"/>
            <w:szCs w:val="24"/>
            <w:u w:val="single"/>
          </w:rPr>
          <w:t xml:space="preserve"> </w:t>
        </w:r>
        <w:proofErr w:type="gramStart"/>
        <w:r w:rsidR="00F509CF">
          <w:rPr>
            <w:rFonts w:ascii="Times New Roman" w:hAnsi="Times New Roman" w:cs="Times New Roman"/>
            <w:color w:val="0000FF"/>
            <w:sz w:val="24"/>
            <w:szCs w:val="24"/>
            <w:u w:val="single"/>
          </w:rPr>
          <w:t>Part 150</w:t>
        </w:r>
      </w:hyperlink>
      <w:r w:rsidR="00F509CF">
        <w:rPr>
          <w:rFonts w:ascii="Times New Roman" w:hAnsi="Times New Roman" w:cs="Times New Roman"/>
          <w:color w:val="000000"/>
          <w:sz w:val="24"/>
          <w:szCs w:val="24"/>
        </w:rPr>
        <w:t>.</w:t>
      </w:r>
      <w:proofErr w:type="gramEnd"/>
      <w:r w:rsidR="00F509CF">
        <w:rPr>
          <w:rFonts w:ascii="Times New Roman" w:hAnsi="Times New Roman" w:cs="Times New Roman"/>
          <w:color w:val="000000"/>
          <w:sz w:val="24"/>
          <w:szCs w:val="24"/>
        </w:rPr>
        <w:t xml:space="preserve"> Limits on Positions </w:t>
      </w:r>
      <w:hyperlink r:id="rId157" w:history="1">
        <w:r w:rsidR="00F509CF">
          <w:rPr>
            <w:rFonts w:ascii="Times New Roman" w:hAnsi="Times New Roman" w:cs="Times New Roman"/>
            <w:color w:val="0000FF"/>
            <w:sz w:val="24"/>
            <w:szCs w:val="24"/>
            <w:u w:val="single"/>
          </w:rPr>
          <w:t xml:space="preserve">(Refs &amp; </w:t>
        </w:r>
        <w:proofErr w:type="spellStart"/>
        <w:r w:rsidR="00F509CF">
          <w:rPr>
            <w:rFonts w:ascii="Times New Roman" w:hAnsi="Times New Roman" w:cs="Times New Roman"/>
            <w:color w:val="0000FF"/>
            <w:sz w:val="24"/>
            <w:szCs w:val="24"/>
            <w:u w:val="single"/>
          </w:rPr>
          <w:t>Annos</w:t>
        </w:r>
        <w:proofErr w:type="spellEnd"/>
        <w:r w:rsidR="00F509CF">
          <w:rPr>
            <w:rFonts w:ascii="Times New Roman" w:hAnsi="Times New Roman" w:cs="Times New Roman"/>
            <w:color w:val="0000FF"/>
            <w:sz w:val="24"/>
            <w:szCs w:val="24"/>
            <w:u w:val="single"/>
          </w:rPr>
          <w:t>)</w:t>
        </w:r>
      </w:hyperlink>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246A03">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8234A1">
        <w:rPr>
          <w:rFonts w:ascii="Times New Roman" w:hAnsi="Times New Roman" w:cs="Times New Roman"/>
          <w:b/>
          <w:bCs/>
          <w:color w:val="000000"/>
          <w:sz w:val="24"/>
          <w:szCs w:val="24"/>
        </w:rPr>
        <w:pict>
          <v:shape id="_x0000_i1033" type="#_x0000_t75" style="width:9.75pt;height:9.75pt">
            <v:imagedata r:id="rId135" o:title=""/>
          </v:shape>
        </w:pict>
      </w:r>
      <w:r w:rsidR="00F509CF">
        <w:rPr>
          <w:rFonts w:ascii="Times New Roman" w:hAnsi="Times New Roman" w:cs="Times New Roman"/>
          <w:b/>
          <w:bCs/>
          <w:color w:val="000000"/>
          <w:sz w:val="24"/>
          <w:szCs w:val="24"/>
        </w:rPr>
        <w:t xml:space="preserve"> § 150.2 Position limits.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 person may hold or control positions, sep</w:t>
      </w:r>
      <w:r>
        <w:rPr>
          <w:rFonts w:ascii="Times New Roman" w:hAnsi="Times New Roman" w:cs="Times New Roman"/>
          <w:color w:val="000000"/>
          <w:sz w:val="24"/>
          <w:szCs w:val="24"/>
        </w:rPr>
        <w:t>a</w:t>
      </w:r>
      <w:r>
        <w:rPr>
          <w:rFonts w:ascii="Times New Roman" w:hAnsi="Times New Roman" w:cs="Times New Roman"/>
          <w:color w:val="000000"/>
          <w:sz w:val="24"/>
          <w:szCs w:val="24"/>
        </w:rPr>
        <w:t>rately or in combination, net long or net short, for the purchase or sale of a commodity for future delivery or, on a futures-equivalent basis, options thereon, in excess of the following:</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headerReference w:type="default" r:id="rId158"/>
          <w:footerReference w:type="default" r:id="rId159"/>
          <w:type w:val="continuous"/>
          <w:pgSz w:w="12240" w:h="15840"/>
          <w:pgMar w:top="2520" w:right="1080" w:bottom="1800" w:left="1080" w:header="720" w:footer="720" w:gutter="0"/>
          <w:cols w:num="2" w:space="720"/>
          <w:noEndnote/>
        </w:sectPr>
      </w:pPr>
    </w:p>
    <w:tbl>
      <w:tblPr>
        <w:tblW w:w="0" w:type="auto"/>
        <w:tblInd w:w="28" w:type="dxa"/>
        <w:tblLayout w:type="fixed"/>
        <w:tblCellMar>
          <w:left w:w="0" w:type="dxa"/>
          <w:right w:w="0" w:type="dxa"/>
        </w:tblCellMar>
        <w:tblLook w:val="0000"/>
      </w:tblPr>
      <w:tblGrid>
        <w:gridCol w:w="2520"/>
        <w:gridCol w:w="2520"/>
        <w:gridCol w:w="2520"/>
        <w:gridCol w:w="2520"/>
      </w:tblGrid>
      <w:tr w:rsidR="00F509CF">
        <w:tc>
          <w:tcPr>
            <w:tcW w:w="10080" w:type="dxa"/>
            <w:gridSpan w:val="4"/>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Pr>
                <w:rFonts w:ascii="Times New Roman" w:hAnsi="Times New Roman" w:cs="Times New Roman"/>
                <w:color w:val="000000"/>
                <w:sz w:val="20"/>
                <w:szCs w:val="20"/>
              </w:rPr>
              <w:t>Speculative Position Limits</w:t>
            </w:r>
          </w:p>
        </w:tc>
      </w:tr>
      <w:tr w:rsidR="00F509CF">
        <w:tc>
          <w:tcPr>
            <w:tcW w:w="10080" w:type="dxa"/>
            <w:gridSpan w:val="4"/>
            <w:tcBorders>
              <w:top w:val="nil"/>
              <w:left w:val="nil"/>
              <w:bottom w:val="single" w:sz="8" w:space="0" w:color="auto"/>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[In contract units]</w:t>
            </w:r>
          </w:p>
        </w:tc>
      </w:tr>
      <w:tr w:rsidR="00F509CF">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Contract</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Spot month</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Single month</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0"/>
                <w:szCs w:val="20"/>
              </w:rPr>
              <w:t>All months</w:t>
            </w:r>
          </w:p>
        </w:tc>
      </w:tr>
      <w:tr w:rsidR="00F509CF">
        <w:tc>
          <w:tcPr>
            <w:tcW w:w="10080" w:type="dxa"/>
            <w:gridSpan w:val="4"/>
            <w:tcBorders>
              <w:top w:val="nil"/>
              <w:left w:val="nil"/>
              <w:bottom w:val="single" w:sz="8" w:space="0" w:color="auto"/>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Chicago Board of Trade</w:t>
            </w:r>
          </w:p>
        </w:tc>
      </w:tr>
      <w:tr w:rsidR="00F509CF">
        <w:tc>
          <w:tcPr>
            <w:tcW w:w="252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 xml:space="preserve">Corn and Mini-Corn </w:t>
            </w:r>
            <w:r>
              <w:rPr>
                <w:rFonts w:ascii="Times New Roman" w:hAnsi="Times New Roman" w:cs="Times New Roman"/>
                <w:color w:val="000000"/>
                <w:sz w:val="20"/>
                <w:szCs w:val="20"/>
                <w:vertAlign w:val="superscript"/>
              </w:rPr>
              <w:t>[FN1]</w:t>
            </w:r>
          </w:p>
        </w:tc>
        <w:tc>
          <w:tcPr>
            <w:tcW w:w="252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600</w:t>
            </w:r>
          </w:p>
        </w:tc>
        <w:tc>
          <w:tcPr>
            <w:tcW w:w="252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13,500</w:t>
            </w:r>
          </w:p>
        </w:tc>
        <w:tc>
          <w:tcPr>
            <w:tcW w:w="252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22,000</w:t>
            </w:r>
          </w:p>
        </w:tc>
      </w:tr>
      <w:tr w:rsidR="00F509CF">
        <w:tc>
          <w:tcPr>
            <w:tcW w:w="252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Oats</w:t>
            </w:r>
          </w:p>
        </w:tc>
        <w:tc>
          <w:tcPr>
            <w:tcW w:w="252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600</w:t>
            </w:r>
          </w:p>
        </w:tc>
        <w:tc>
          <w:tcPr>
            <w:tcW w:w="252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1,400</w:t>
            </w:r>
          </w:p>
        </w:tc>
        <w:tc>
          <w:tcPr>
            <w:tcW w:w="252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2,000</w:t>
            </w:r>
          </w:p>
        </w:tc>
      </w:tr>
      <w:tr w:rsidR="00F509CF">
        <w:tc>
          <w:tcPr>
            <w:tcW w:w="252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 xml:space="preserve">Soybeans and Mini-Soybeans </w:t>
            </w:r>
            <w:r>
              <w:rPr>
                <w:rFonts w:ascii="Times New Roman" w:hAnsi="Times New Roman" w:cs="Times New Roman"/>
                <w:color w:val="000000"/>
                <w:sz w:val="20"/>
                <w:szCs w:val="20"/>
                <w:vertAlign w:val="superscript"/>
              </w:rPr>
              <w:t>[FN1]</w:t>
            </w:r>
          </w:p>
        </w:tc>
        <w:tc>
          <w:tcPr>
            <w:tcW w:w="252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600</w:t>
            </w:r>
          </w:p>
        </w:tc>
        <w:tc>
          <w:tcPr>
            <w:tcW w:w="252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6,500</w:t>
            </w:r>
          </w:p>
        </w:tc>
        <w:tc>
          <w:tcPr>
            <w:tcW w:w="252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10,000</w:t>
            </w:r>
          </w:p>
        </w:tc>
      </w:tr>
      <w:tr w:rsidR="00F509CF">
        <w:tc>
          <w:tcPr>
            <w:tcW w:w="252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 xml:space="preserve">Wheat and Mini-Wheat </w:t>
            </w:r>
            <w:r>
              <w:rPr>
                <w:rFonts w:ascii="Times New Roman" w:hAnsi="Times New Roman" w:cs="Times New Roman"/>
                <w:color w:val="000000"/>
                <w:sz w:val="20"/>
                <w:szCs w:val="20"/>
                <w:vertAlign w:val="superscript"/>
              </w:rPr>
              <w:t>[FN1]</w:t>
            </w:r>
          </w:p>
        </w:tc>
        <w:tc>
          <w:tcPr>
            <w:tcW w:w="252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600</w:t>
            </w:r>
          </w:p>
        </w:tc>
        <w:tc>
          <w:tcPr>
            <w:tcW w:w="252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5,000</w:t>
            </w:r>
          </w:p>
        </w:tc>
        <w:tc>
          <w:tcPr>
            <w:tcW w:w="2520" w:type="dxa"/>
            <w:tcBorders>
              <w:top w:val="nil"/>
              <w:left w:val="nil"/>
              <w:bottom w:val="nil"/>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6,500</w:t>
            </w:r>
          </w:p>
        </w:tc>
      </w:tr>
      <w:tr w:rsidR="00F509CF">
        <w:tc>
          <w:tcPr>
            <w:tcW w:w="252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Soybean Oil</w:t>
            </w:r>
          </w:p>
        </w:tc>
        <w:tc>
          <w:tcPr>
            <w:tcW w:w="252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540</w:t>
            </w:r>
          </w:p>
        </w:tc>
        <w:tc>
          <w:tcPr>
            <w:tcW w:w="252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5,000</w:t>
            </w:r>
          </w:p>
        </w:tc>
        <w:tc>
          <w:tcPr>
            <w:tcW w:w="2520" w:type="dxa"/>
            <w:tcBorders>
              <w:top w:val="nil"/>
              <w:left w:val="nil"/>
              <w:bottom w:val="nil"/>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6,500</w:t>
            </w:r>
          </w:p>
        </w:tc>
      </w:tr>
      <w:tr w:rsidR="00F509CF">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Soybean Meal</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720</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5,000</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6,500</w:t>
            </w:r>
          </w:p>
        </w:tc>
      </w:tr>
      <w:tr w:rsidR="00F509CF">
        <w:tc>
          <w:tcPr>
            <w:tcW w:w="10080" w:type="dxa"/>
            <w:gridSpan w:val="4"/>
            <w:tcBorders>
              <w:top w:val="nil"/>
              <w:left w:val="nil"/>
              <w:bottom w:val="single" w:sz="8" w:space="0" w:color="auto"/>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Minneapolis Grain Exchange</w:t>
            </w:r>
          </w:p>
        </w:tc>
      </w:tr>
      <w:tr w:rsidR="00F509CF">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Hard Red Spring Wheat</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600</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5,000</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6,500</w:t>
            </w:r>
          </w:p>
        </w:tc>
      </w:tr>
      <w:tr w:rsidR="00F509CF">
        <w:tc>
          <w:tcPr>
            <w:tcW w:w="10080" w:type="dxa"/>
            <w:gridSpan w:val="4"/>
            <w:tcBorders>
              <w:top w:val="nil"/>
              <w:left w:val="nil"/>
              <w:bottom w:val="single" w:sz="8" w:space="0" w:color="auto"/>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New York Board of Trade</w:t>
            </w:r>
          </w:p>
        </w:tc>
      </w:tr>
      <w:tr w:rsidR="00F509CF">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Cotton No. 2</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300</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3,500</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5,000</w:t>
            </w:r>
          </w:p>
        </w:tc>
      </w:tr>
      <w:tr w:rsidR="00F509CF">
        <w:tc>
          <w:tcPr>
            <w:tcW w:w="10080" w:type="dxa"/>
            <w:gridSpan w:val="4"/>
            <w:tcBorders>
              <w:top w:val="nil"/>
              <w:left w:val="nil"/>
              <w:bottom w:val="single" w:sz="8" w:space="0" w:color="auto"/>
              <w:right w:val="nil"/>
            </w:tcBorders>
            <w:tcMar>
              <w:top w:w="28" w:type="dxa"/>
              <w:left w:w="28" w:type="dxa"/>
              <w:bottom w:w="28" w:type="dxa"/>
              <w:right w:w="28" w:type="dxa"/>
            </w:tcMar>
          </w:tcPr>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Kansas City Board of Trade</w:t>
            </w:r>
          </w:p>
        </w:tc>
      </w:tr>
      <w:tr w:rsidR="00F509CF">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Hard Winter Wheat</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600</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5,000</w:t>
            </w:r>
          </w:p>
        </w:tc>
        <w:tc>
          <w:tcPr>
            <w:tcW w:w="2520" w:type="dxa"/>
            <w:tcBorders>
              <w:top w:val="nil"/>
              <w:left w:val="nil"/>
              <w:bottom w:val="single" w:sz="8" w:space="0" w:color="auto"/>
              <w:right w:val="nil"/>
            </w:tcBorders>
            <w:shd w:val="clear" w:color="auto" w:fill="CCCCCC"/>
            <w:tcMar>
              <w:top w:w="28" w:type="dxa"/>
              <w:left w:w="28" w:type="dxa"/>
              <w:bottom w:w="28" w:type="dxa"/>
              <w:right w:w="28" w:type="dxa"/>
            </w:tcMar>
          </w:tcPr>
          <w:p w:rsidR="00F509CF" w:rsidRDefault="00F509CF">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0"/>
                <w:szCs w:val="20"/>
              </w:rPr>
              <w:t>6,500</w:t>
            </w:r>
          </w:p>
        </w:tc>
      </w:tr>
    </w:tbl>
    <w:p w:rsidR="00F509CF" w:rsidRDefault="00F509C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bookmarkStart w:id="11" w:name="Document3zzfnid1"/>
      <w:bookmarkEnd w:id="11"/>
      <w:r>
        <w:rPr>
          <w:rFonts w:ascii="Times New Roman" w:hAnsi="Times New Roman" w:cs="Times New Roman"/>
          <w:color w:val="000000"/>
          <w:sz w:val="20"/>
          <w:szCs w:val="20"/>
          <w:vertAlign w:val="superscript"/>
        </w:rPr>
        <w:t>[FN1]</w:t>
      </w:r>
      <w:r>
        <w:rPr>
          <w:rFonts w:ascii="Times New Roman" w:hAnsi="Times New Roman" w:cs="Times New Roman"/>
          <w:color w:val="000000"/>
          <w:sz w:val="24"/>
          <w:szCs w:val="24"/>
        </w:rPr>
        <w:t xml:space="preserve"> For purposes of compliance with these limits, positions in the regular sized and mini-sized contracts shall be aggregated.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type w:val="continuous"/>
          <w:pgSz w:w="12240" w:h="15840"/>
          <w:pgMar w:top="2520" w:right="1080" w:bottom="1800" w:left="1080" w:header="720" w:footer="720" w:gutter="0"/>
          <w:cols w:space="720"/>
          <w:noEndnote/>
        </w:sect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hyperlink r:id="rId160" w:history="1">
        <w:r>
          <w:rPr>
            <w:rFonts w:ascii="Times New Roman" w:hAnsi="Times New Roman" w:cs="Times New Roman"/>
            <w:color w:val="0000FF"/>
            <w:sz w:val="24"/>
            <w:szCs w:val="24"/>
            <w:u w:val="single"/>
          </w:rPr>
          <w:t>58 FR 17982</w:t>
        </w:r>
      </w:hyperlink>
      <w:r>
        <w:rPr>
          <w:rFonts w:ascii="Times New Roman" w:hAnsi="Times New Roman" w:cs="Times New Roman"/>
          <w:color w:val="000000"/>
          <w:sz w:val="24"/>
          <w:szCs w:val="24"/>
        </w:rPr>
        <w:t xml:space="preserve">, April 7, 1993; </w:t>
      </w:r>
      <w:hyperlink r:id="rId161" w:history="1">
        <w:r>
          <w:rPr>
            <w:rFonts w:ascii="Times New Roman" w:hAnsi="Times New Roman" w:cs="Times New Roman"/>
            <w:color w:val="0000FF"/>
            <w:sz w:val="24"/>
            <w:szCs w:val="24"/>
            <w:u w:val="single"/>
          </w:rPr>
          <w:t>64 FR 24047</w:t>
        </w:r>
      </w:hyperlink>
      <w:r>
        <w:rPr>
          <w:rFonts w:ascii="Times New Roman" w:hAnsi="Times New Roman" w:cs="Times New Roman"/>
          <w:color w:val="000000"/>
          <w:sz w:val="24"/>
          <w:szCs w:val="24"/>
        </w:rPr>
        <w:t xml:space="preserve">, May 5, 1999; </w:t>
      </w:r>
      <w:hyperlink r:id="rId162" w:history="1">
        <w:r>
          <w:rPr>
            <w:rFonts w:ascii="Times New Roman" w:hAnsi="Times New Roman" w:cs="Times New Roman"/>
            <w:color w:val="0000FF"/>
            <w:sz w:val="24"/>
            <w:szCs w:val="24"/>
            <w:u w:val="single"/>
          </w:rPr>
          <w:t>70 FR 24706</w:t>
        </w:r>
      </w:hyperlink>
      <w:r>
        <w:rPr>
          <w:rFonts w:ascii="Times New Roman" w:hAnsi="Times New Roman" w:cs="Times New Roman"/>
          <w:color w:val="000000"/>
          <w:sz w:val="24"/>
          <w:szCs w:val="24"/>
        </w:rPr>
        <w:t>, May 11, 2005]</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w:t>
      </w:r>
      <w:hyperlink r:id="rId163" w:history="1">
        <w:r>
          <w:rPr>
            <w:rFonts w:ascii="Times New Roman" w:hAnsi="Times New Roman" w:cs="Times New Roman"/>
            <w:color w:val="0000FF"/>
            <w:sz w:val="24"/>
            <w:szCs w:val="24"/>
            <w:u w:val="single"/>
          </w:rPr>
          <w:t>52 FR 38923</w:t>
        </w:r>
      </w:hyperlink>
      <w:r>
        <w:rPr>
          <w:rFonts w:ascii="Times New Roman" w:hAnsi="Times New Roman" w:cs="Times New Roman"/>
          <w:color w:val="000000"/>
          <w:sz w:val="24"/>
          <w:szCs w:val="24"/>
        </w:rPr>
        <w:t xml:space="preserve">, Oct. 20, 1987; </w:t>
      </w:r>
      <w:hyperlink r:id="rId164" w:history="1">
        <w:r>
          <w:rPr>
            <w:rFonts w:ascii="Times New Roman" w:hAnsi="Times New Roman" w:cs="Times New Roman"/>
            <w:color w:val="0000FF"/>
            <w:sz w:val="24"/>
            <w:szCs w:val="24"/>
            <w:u w:val="single"/>
          </w:rPr>
          <w:t>57 FR 44492</w:t>
        </w:r>
      </w:hyperlink>
      <w:r>
        <w:rPr>
          <w:rFonts w:ascii="Times New Roman" w:hAnsi="Times New Roman" w:cs="Times New Roman"/>
          <w:color w:val="000000"/>
          <w:sz w:val="24"/>
          <w:szCs w:val="24"/>
        </w:rPr>
        <w:t xml:space="preserve">, Sept. 28, 1992; 58 FR 17981, April 7, 1993; </w:t>
      </w:r>
      <w:hyperlink r:id="rId165" w:history="1">
        <w:r>
          <w:rPr>
            <w:rFonts w:ascii="Times New Roman" w:hAnsi="Times New Roman" w:cs="Times New Roman"/>
            <w:color w:val="0000FF"/>
            <w:sz w:val="24"/>
            <w:szCs w:val="24"/>
            <w:u w:val="single"/>
          </w:rPr>
          <w:t>70 FR 24706</w:t>
        </w:r>
      </w:hyperlink>
      <w:r>
        <w:rPr>
          <w:rFonts w:ascii="Times New Roman" w:hAnsi="Times New Roman" w:cs="Times New Roman"/>
          <w:color w:val="000000"/>
          <w:sz w:val="24"/>
          <w:szCs w:val="24"/>
        </w:rPr>
        <w:t>, May 11, 2005, unless ot</w:t>
      </w:r>
      <w:r>
        <w:rPr>
          <w:rFonts w:ascii="Times New Roman" w:hAnsi="Times New Roman" w:cs="Times New Roman"/>
          <w:color w:val="000000"/>
          <w:sz w:val="24"/>
          <w:szCs w:val="24"/>
        </w:rPr>
        <w:t>h</w:t>
      </w:r>
      <w:r>
        <w:rPr>
          <w:rFonts w:ascii="Times New Roman" w:hAnsi="Times New Roman" w:cs="Times New Roman"/>
          <w:color w:val="000000"/>
          <w:sz w:val="24"/>
          <w:szCs w:val="24"/>
        </w:rPr>
        <w:t>erwise noted.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AUTHORITY: </w:t>
      </w:r>
      <w:hyperlink r:id="rId166" w:history="1">
        <w:r>
          <w:rPr>
            <w:rFonts w:ascii="Times New Roman" w:hAnsi="Times New Roman" w:cs="Times New Roman"/>
            <w:color w:val="0000FF"/>
            <w:sz w:val="24"/>
            <w:szCs w:val="24"/>
            <w:u w:val="single"/>
          </w:rPr>
          <w:t>7 U.S.C. 6a</w:t>
        </w:r>
      </w:hyperlink>
      <w:r>
        <w:rPr>
          <w:rFonts w:ascii="Times New Roman" w:hAnsi="Times New Roman" w:cs="Times New Roman"/>
          <w:color w:val="000000"/>
          <w:sz w:val="24"/>
          <w:szCs w:val="24"/>
        </w:rPr>
        <w:t xml:space="preserve">, </w:t>
      </w:r>
      <w:hyperlink r:id="rId167" w:history="1">
        <w:r>
          <w:rPr>
            <w:rFonts w:ascii="Times New Roman" w:hAnsi="Times New Roman" w:cs="Times New Roman"/>
            <w:color w:val="0000FF"/>
            <w:sz w:val="24"/>
            <w:szCs w:val="24"/>
            <w:u w:val="single"/>
          </w:rPr>
          <w:t>6c</w:t>
        </w:r>
      </w:hyperlink>
      <w:r>
        <w:rPr>
          <w:rFonts w:ascii="Times New Roman" w:hAnsi="Times New Roman" w:cs="Times New Roman"/>
          <w:color w:val="000000"/>
          <w:sz w:val="24"/>
          <w:szCs w:val="24"/>
        </w:rPr>
        <w:t xml:space="preserve">, and </w:t>
      </w:r>
      <w:hyperlink r:id="rId168" w:history="1">
        <w:r>
          <w:rPr>
            <w:rFonts w:ascii="Times New Roman" w:hAnsi="Times New Roman" w:cs="Times New Roman"/>
            <w:color w:val="0000FF"/>
            <w:sz w:val="24"/>
            <w:szCs w:val="24"/>
            <w:u w:val="single"/>
          </w:rPr>
          <w:t>12a(5)</w:t>
        </w:r>
      </w:hyperlink>
      <w:r>
        <w:rPr>
          <w:rFonts w:ascii="Times New Roman" w:hAnsi="Times New Roman" w:cs="Times New Roman"/>
          <w:color w:val="000000"/>
          <w:sz w:val="24"/>
          <w:szCs w:val="24"/>
        </w:rPr>
        <w:t>, as amended by the Commodity Futures Modern</w:t>
      </w:r>
      <w:r>
        <w:rPr>
          <w:rFonts w:ascii="Times New Roman" w:hAnsi="Times New Roman" w:cs="Times New Roman"/>
          <w:color w:val="000000"/>
          <w:sz w:val="24"/>
          <w:szCs w:val="24"/>
        </w:rPr>
        <w:t>i</w:t>
      </w:r>
      <w:r>
        <w:rPr>
          <w:rFonts w:ascii="Times New Roman" w:hAnsi="Times New Roman" w:cs="Times New Roman"/>
          <w:color w:val="000000"/>
          <w:sz w:val="24"/>
          <w:szCs w:val="24"/>
        </w:rPr>
        <w:t xml:space="preserve">zation Act of 2000, Appendix E of </w:t>
      </w:r>
      <w:hyperlink r:id="rId169"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xml:space="preserve">. </w:t>
        </w:r>
        <w:proofErr w:type="gramStart"/>
        <w:r>
          <w:rPr>
            <w:rFonts w:ascii="Times New Roman" w:hAnsi="Times New Roman" w:cs="Times New Roman"/>
            <w:color w:val="0000FF"/>
            <w:sz w:val="24"/>
            <w:szCs w:val="24"/>
            <w:u w:val="single"/>
          </w:rPr>
          <w:t>106-554, 114 Stat. 2763 (2000).</w:t>
        </w:r>
        <w:proofErr w:type="gramEnd"/>
      </w:hyperlink>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 C. F. R. § 150.2, 17 CFR § 150.2</w:t>
      </w: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12" w:name="Document3zzI149BA400472511DE819E9C723C2E"/>
      <w:bookmarkEnd w:id="12"/>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Current through July 17, 2009; 74 FR 35074</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2009 Thomson Reuters </w:t>
      </w: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END OF DOCUMENT</w:t>
      </w: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type w:val="continuous"/>
          <w:pgSz w:w="12240" w:h="15840"/>
          <w:pgMar w:top="2520" w:right="1080" w:bottom="1800" w:left="1080" w:header="720" w:footer="720" w:gutter="0"/>
          <w:cols w:num="2" w:space="720"/>
          <w:noEndnote/>
        </w:sectPr>
      </w:pP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headerReference w:type="default" r:id="rId170"/>
          <w:footerReference w:type="default" r:id="rId171"/>
          <w:pgSz w:w="12240" w:h="15840"/>
          <w:pgMar w:top="3024" w:right="1440" w:bottom="1800" w:left="1440" w:header="720" w:footer="720" w:gutter="0"/>
          <w:pgNumType w:start="1"/>
          <w:cols w:space="720"/>
          <w:noEndnote/>
        </w:sectPr>
      </w:pP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bookmarkStart w:id="13" w:name="Document4zzSDUNumber1"/>
      <w:bookmarkEnd w:id="13"/>
    </w:p>
    <w:p w:rsidR="00F509CF" w:rsidRDefault="00246A03">
      <w:pPr>
        <w:widowControl w:val="0"/>
        <w:autoSpaceDE w:val="0"/>
        <w:autoSpaceDN w:val="0"/>
        <w:adjustRightInd w:val="0"/>
        <w:spacing w:after="0" w:line="240" w:lineRule="auto"/>
        <w:rPr>
          <w:rFonts w:ascii="Times New Roman" w:hAnsi="Times New Roman" w:cs="Times New Roman"/>
          <w:color w:val="000000"/>
          <w:sz w:val="24"/>
          <w:szCs w:val="24"/>
        </w:rPr>
      </w:pPr>
      <w:r w:rsidRPr="008234A1">
        <w:rPr>
          <w:rFonts w:ascii="Times New Roman" w:hAnsi="Times New Roman" w:cs="Times New Roman"/>
          <w:color w:val="000000"/>
          <w:sz w:val="24"/>
          <w:szCs w:val="24"/>
        </w:rPr>
        <w:pict>
          <v:shape id="_x0000_i1035" type="#_x0000_t75" style="width:9.75pt;height:9.75pt">
            <v:imagedata r:id="rId130" o:title=""/>
          </v:shape>
        </w:pict>
      </w:r>
    </w:p>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Effective</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 xml:space="preserve">See Text Amendments] </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Code of Federal Regulations </w:t>
      </w:r>
      <w:bookmarkStart w:id="14" w:name="Document5zzCurrentness"/>
      <w:bookmarkEnd w:id="14"/>
      <w:r w:rsidR="008234A1">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\l "Document5zzIB6644910334111DEA168E6BA6939"</w:instrText>
      </w:r>
      <w:r w:rsidR="008234A1">
        <w:rPr>
          <w:rFonts w:ascii="Times New Roman" w:hAnsi="Times New Roman" w:cs="Times New Roman"/>
          <w:color w:val="000000"/>
          <w:sz w:val="24"/>
          <w:szCs w:val="24"/>
        </w:rPr>
        <w:fldChar w:fldCharType="separate"/>
      </w:r>
      <w:proofErr w:type="spellStart"/>
      <w:r>
        <w:rPr>
          <w:rFonts w:ascii="Times New Roman" w:hAnsi="Times New Roman" w:cs="Times New Roman"/>
          <w:color w:val="0000FF"/>
          <w:sz w:val="24"/>
          <w:szCs w:val="24"/>
          <w:u w:val="single"/>
        </w:rPr>
        <w:t>Currentness</w:t>
      </w:r>
      <w:proofErr w:type="spellEnd"/>
      <w:r w:rsidR="008234A1">
        <w:rPr>
          <w:rFonts w:ascii="Times New Roman" w:hAnsi="Times New Roman" w:cs="Times New Roman"/>
          <w:color w:val="000000"/>
          <w:sz w:val="24"/>
          <w:szCs w:val="24"/>
        </w:rPr>
        <w:fldChar w:fldCharType="end"/>
      </w:r>
    </w:p>
    <w:p w:rsidR="00F509CF" w:rsidRDefault="00F509C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Title 17.</w:t>
      </w:r>
      <w:proofErr w:type="gramEnd"/>
      <w:r>
        <w:rPr>
          <w:rFonts w:ascii="Times New Roman" w:hAnsi="Times New Roman" w:cs="Times New Roman"/>
          <w:color w:val="000000"/>
          <w:sz w:val="24"/>
          <w:szCs w:val="24"/>
        </w:rPr>
        <w:t xml:space="preserve"> Commodity and Securities E</w:t>
      </w:r>
      <w:r>
        <w:rPr>
          <w:rFonts w:ascii="Times New Roman" w:hAnsi="Times New Roman" w:cs="Times New Roman"/>
          <w:color w:val="000000"/>
          <w:sz w:val="24"/>
          <w:szCs w:val="24"/>
        </w:rPr>
        <w:t>x</w:t>
      </w:r>
      <w:r>
        <w:rPr>
          <w:rFonts w:ascii="Times New Roman" w:hAnsi="Times New Roman" w:cs="Times New Roman"/>
          <w:color w:val="000000"/>
          <w:sz w:val="24"/>
          <w:szCs w:val="24"/>
        </w:rPr>
        <w:t>changes</w:t>
      </w:r>
    </w:p>
    <w:p w:rsidR="00F509CF" w:rsidRDefault="008234A1">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hyperlink r:id="rId172" w:history="1">
        <w:r w:rsidR="00246A03" w:rsidRPr="008234A1">
          <w:rPr>
            <w:rFonts w:ascii="Times New Roman" w:hAnsi="Times New Roman" w:cs="Times New Roman"/>
            <w:color w:val="0000FF"/>
            <w:sz w:val="24"/>
            <w:szCs w:val="24"/>
            <w:u w:val="single"/>
          </w:rPr>
          <w:pict>
            <v:shape id="_x0000_i1036" type="#_x0000_t75" style="width:9.75pt;height:9.75pt">
              <v:imagedata r:id="rId132" o:title=""/>
            </v:shape>
          </w:pict>
        </w:r>
        <w:r w:rsidR="00F509CF">
          <w:rPr>
            <w:rFonts w:ascii="Times New Roman" w:hAnsi="Times New Roman" w:cs="Times New Roman"/>
            <w:color w:val="0000FF"/>
            <w:sz w:val="24"/>
            <w:szCs w:val="24"/>
            <w:u w:val="single"/>
          </w:rPr>
          <w:t xml:space="preserve"> </w:t>
        </w:r>
        <w:proofErr w:type="gramStart"/>
        <w:r w:rsidR="00F509CF">
          <w:rPr>
            <w:rFonts w:ascii="Times New Roman" w:hAnsi="Times New Roman" w:cs="Times New Roman"/>
            <w:color w:val="0000FF"/>
            <w:sz w:val="24"/>
            <w:szCs w:val="24"/>
            <w:u w:val="single"/>
          </w:rPr>
          <w:t>Chapter I</w:t>
        </w:r>
      </w:hyperlink>
      <w:r w:rsidR="00F509CF">
        <w:rPr>
          <w:rFonts w:ascii="Times New Roman" w:hAnsi="Times New Roman" w:cs="Times New Roman"/>
          <w:color w:val="000000"/>
          <w:sz w:val="24"/>
          <w:szCs w:val="24"/>
        </w:rPr>
        <w:t>.</w:t>
      </w:r>
      <w:proofErr w:type="gramEnd"/>
      <w:r w:rsidR="00F509CF">
        <w:rPr>
          <w:rFonts w:ascii="Times New Roman" w:hAnsi="Times New Roman" w:cs="Times New Roman"/>
          <w:color w:val="000000"/>
          <w:sz w:val="24"/>
          <w:szCs w:val="24"/>
        </w:rPr>
        <w:t xml:space="preserve"> Commodity Futures Tra</w:t>
      </w:r>
      <w:r w:rsidR="00F509CF">
        <w:rPr>
          <w:rFonts w:ascii="Times New Roman" w:hAnsi="Times New Roman" w:cs="Times New Roman"/>
          <w:color w:val="000000"/>
          <w:sz w:val="24"/>
          <w:szCs w:val="24"/>
        </w:rPr>
        <w:t>d</w:t>
      </w:r>
      <w:r w:rsidR="00F509CF">
        <w:rPr>
          <w:rFonts w:ascii="Times New Roman" w:hAnsi="Times New Roman" w:cs="Times New Roman"/>
          <w:color w:val="000000"/>
          <w:sz w:val="24"/>
          <w:szCs w:val="24"/>
        </w:rPr>
        <w:t>ing Commission</w:t>
      </w:r>
    </w:p>
    <w:p w:rsidR="00F509CF" w:rsidRDefault="008234A1">
      <w:pPr>
        <w:widowControl w:val="0"/>
        <w:autoSpaceDE w:val="0"/>
        <w:autoSpaceDN w:val="0"/>
        <w:adjustRightInd w:val="0"/>
        <w:spacing w:after="0" w:line="240" w:lineRule="auto"/>
        <w:ind w:left="540"/>
        <w:jc w:val="both"/>
        <w:rPr>
          <w:rFonts w:ascii="Times New Roman" w:hAnsi="Times New Roman" w:cs="Times New Roman"/>
          <w:color w:val="000000"/>
          <w:sz w:val="24"/>
          <w:szCs w:val="24"/>
        </w:rPr>
      </w:pPr>
      <w:hyperlink r:id="rId173" w:history="1">
        <w:r w:rsidR="00246A03" w:rsidRPr="008234A1">
          <w:rPr>
            <w:rFonts w:ascii="Times New Roman" w:hAnsi="Times New Roman" w:cs="Times New Roman"/>
            <w:color w:val="0000FF"/>
            <w:sz w:val="24"/>
            <w:szCs w:val="24"/>
            <w:u w:val="single"/>
          </w:rPr>
          <w:pict>
            <v:shape id="_x0000_i1037" type="#_x0000_t75" style="width:9.75pt;height:9.75pt">
              <v:imagedata r:id="rId132" o:title=""/>
            </v:shape>
          </w:pict>
        </w:r>
        <w:r w:rsidR="00F509CF">
          <w:rPr>
            <w:rFonts w:ascii="Times New Roman" w:hAnsi="Times New Roman" w:cs="Times New Roman"/>
            <w:color w:val="0000FF"/>
            <w:sz w:val="24"/>
            <w:szCs w:val="24"/>
            <w:u w:val="single"/>
          </w:rPr>
          <w:t xml:space="preserve"> </w:t>
        </w:r>
        <w:proofErr w:type="gramStart"/>
        <w:r w:rsidR="00F509CF">
          <w:rPr>
            <w:rFonts w:ascii="Times New Roman" w:hAnsi="Times New Roman" w:cs="Times New Roman"/>
            <w:color w:val="0000FF"/>
            <w:sz w:val="24"/>
            <w:szCs w:val="24"/>
            <w:u w:val="single"/>
          </w:rPr>
          <w:t>Part 150</w:t>
        </w:r>
      </w:hyperlink>
      <w:r w:rsidR="00F509CF">
        <w:rPr>
          <w:rFonts w:ascii="Times New Roman" w:hAnsi="Times New Roman" w:cs="Times New Roman"/>
          <w:color w:val="000000"/>
          <w:sz w:val="24"/>
          <w:szCs w:val="24"/>
        </w:rPr>
        <w:t>.</w:t>
      </w:r>
      <w:proofErr w:type="gramEnd"/>
      <w:r w:rsidR="00F509CF">
        <w:rPr>
          <w:rFonts w:ascii="Times New Roman" w:hAnsi="Times New Roman" w:cs="Times New Roman"/>
          <w:color w:val="000000"/>
          <w:sz w:val="24"/>
          <w:szCs w:val="24"/>
        </w:rPr>
        <w:t xml:space="preserve"> Limits on Positions </w:t>
      </w:r>
      <w:hyperlink r:id="rId174" w:history="1">
        <w:r w:rsidR="00F509CF">
          <w:rPr>
            <w:rFonts w:ascii="Times New Roman" w:hAnsi="Times New Roman" w:cs="Times New Roman"/>
            <w:color w:val="0000FF"/>
            <w:sz w:val="24"/>
            <w:szCs w:val="24"/>
            <w:u w:val="single"/>
          </w:rPr>
          <w:t xml:space="preserve">(Refs &amp; </w:t>
        </w:r>
        <w:proofErr w:type="spellStart"/>
        <w:r w:rsidR="00F509CF">
          <w:rPr>
            <w:rFonts w:ascii="Times New Roman" w:hAnsi="Times New Roman" w:cs="Times New Roman"/>
            <w:color w:val="0000FF"/>
            <w:sz w:val="24"/>
            <w:szCs w:val="24"/>
            <w:u w:val="single"/>
          </w:rPr>
          <w:t>Annos</w:t>
        </w:r>
        <w:proofErr w:type="spellEnd"/>
        <w:r w:rsidR="00F509CF">
          <w:rPr>
            <w:rFonts w:ascii="Times New Roman" w:hAnsi="Times New Roman" w:cs="Times New Roman"/>
            <w:color w:val="0000FF"/>
            <w:sz w:val="24"/>
            <w:szCs w:val="24"/>
            <w:u w:val="single"/>
          </w:rPr>
          <w:t>)</w:t>
        </w:r>
      </w:hyperlink>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246A03">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8234A1">
        <w:rPr>
          <w:rFonts w:ascii="Times New Roman" w:hAnsi="Times New Roman" w:cs="Times New Roman"/>
          <w:b/>
          <w:bCs/>
          <w:color w:val="000000"/>
          <w:sz w:val="24"/>
          <w:szCs w:val="24"/>
        </w:rPr>
        <w:pict>
          <v:shape id="_x0000_i1038" type="#_x0000_t75" style="width:9.75pt;height:9.75pt">
            <v:imagedata r:id="rId135" o:title=""/>
          </v:shape>
        </w:pict>
      </w:r>
      <w:r w:rsidR="00F509CF">
        <w:rPr>
          <w:rFonts w:ascii="Times New Roman" w:hAnsi="Times New Roman" w:cs="Times New Roman"/>
          <w:b/>
          <w:bCs/>
          <w:color w:val="000000"/>
          <w:sz w:val="24"/>
          <w:szCs w:val="24"/>
        </w:rPr>
        <w:t xml:space="preserve"> § 150.3 Exemptions.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Positions which may exceed limits. The position limits set forth in </w:t>
      </w:r>
      <w:hyperlink r:id="rId175" w:history="1">
        <w:r>
          <w:rPr>
            <w:rFonts w:ascii="Times New Roman" w:hAnsi="Times New Roman" w:cs="Times New Roman"/>
            <w:color w:val="0000FF"/>
            <w:sz w:val="24"/>
            <w:szCs w:val="24"/>
            <w:u w:val="single"/>
          </w:rPr>
          <w:t>§ 150.2</w:t>
        </w:r>
      </w:hyperlink>
      <w:r>
        <w:rPr>
          <w:rFonts w:ascii="Times New Roman" w:hAnsi="Times New Roman" w:cs="Times New Roman"/>
          <w:color w:val="000000"/>
          <w:sz w:val="24"/>
          <w:szCs w:val="24"/>
        </w:rPr>
        <w:t xml:space="preserve"> of this part may be exceeded to the extent such </w:t>
      </w:r>
      <w:proofErr w:type="gramStart"/>
      <w:r>
        <w:rPr>
          <w:rFonts w:ascii="Times New Roman" w:hAnsi="Times New Roman" w:cs="Times New Roman"/>
          <w:color w:val="000000"/>
          <w:sz w:val="24"/>
          <w:szCs w:val="24"/>
        </w:rPr>
        <w:t>position are</w:t>
      </w:r>
      <w:proofErr w:type="gramEnd"/>
      <w:r>
        <w:rPr>
          <w:rFonts w:ascii="Times New Roman" w:hAnsi="Times New Roman" w:cs="Times New Roman"/>
          <w:color w:val="000000"/>
          <w:sz w:val="24"/>
          <w:szCs w:val="24"/>
        </w:rPr>
        <w:t>:</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Bona fide hedging transactions as defined in </w:t>
      </w:r>
      <w:hyperlink r:id="rId176" w:history="1">
        <w:r>
          <w:rPr>
            <w:rFonts w:ascii="Times New Roman" w:hAnsi="Times New Roman" w:cs="Times New Roman"/>
            <w:color w:val="0000FF"/>
            <w:sz w:val="24"/>
            <w:szCs w:val="24"/>
            <w:u w:val="single"/>
          </w:rPr>
          <w:t>§ 1.3(z)</w:t>
        </w:r>
      </w:hyperlink>
      <w:r>
        <w:rPr>
          <w:rFonts w:ascii="Times New Roman" w:hAnsi="Times New Roman" w:cs="Times New Roman"/>
          <w:color w:val="000000"/>
          <w:sz w:val="24"/>
          <w:szCs w:val="24"/>
        </w:rPr>
        <w:t xml:space="preserve"> of this chapter;</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(2) [Reserved]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(3) Spread or arbitrage positions between single months of a futures contract and/or, on a futures-equivalent basis, o</w:t>
      </w:r>
      <w:r>
        <w:rPr>
          <w:rFonts w:ascii="Times New Roman" w:hAnsi="Times New Roman" w:cs="Times New Roman"/>
          <w:color w:val="000000"/>
          <w:sz w:val="24"/>
          <w:szCs w:val="24"/>
        </w:rPr>
        <w:t>p</w:t>
      </w:r>
      <w:r>
        <w:rPr>
          <w:rFonts w:ascii="Times New Roman" w:hAnsi="Times New Roman" w:cs="Times New Roman"/>
          <w:color w:val="000000"/>
          <w:sz w:val="24"/>
          <w:szCs w:val="24"/>
        </w:rPr>
        <w:t>tions thereon, outside of the spot month, in the same crop year; provided however, That such spread or arbitrage positions, when combined with any other net pos</w:t>
      </w:r>
      <w:r>
        <w:rPr>
          <w:rFonts w:ascii="Times New Roman" w:hAnsi="Times New Roman" w:cs="Times New Roman"/>
          <w:color w:val="000000"/>
          <w:sz w:val="24"/>
          <w:szCs w:val="24"/>
        </w:rPr>
        <w:t>i</w:t>
      </w:r>
      <w:r>
        <w:rPr>
          <w:rFonts w:ascii="Times New Roman" w:hAnsi="Times New Roman" w:cs="Times New Roman"/>
          <w:color w:val="000000"/>
          <w:sz w:val="24"/>
          <w:szCs w:val="24"/>
        </w:rPr>
        <w:t xml:space="preserve">tions in the single month, do not exceed the all-months limit set forth in </w:t>
      </w:r>
      <w:hyperlink r:id="rId177" w:history="1">
        <w:r>
          <w:rPr>
            <w:rFonts w:ascii="Times New Roman" w:hAnsi="Times New Roman" w:cs="Times New Roman"/>
            <w:color w:val="0000FF"/>
            <w:sz w:val="24"/>
            <w:szCs w:val="24"/>
            <w:u w:val="single"/>
          </w:rPr>
          <w:t>§ 150.2</w:t>
        </w:r>
      </w:hyperlink>
      <w:r>
        <w:rPr>
          <w:rFonts w:ascii="Times New Roman" w:hAnsi="Times New Roman" w:cs="Times New Roman"/>
          <w:color w:val="000000"/>
          <w:sz w:val="24"/>
          <w:szCs w:val="24"/>
        </w:rPr>
        <w:t>; or</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(4) Carried for an eligible entity as d</w:t>
      </w:r>
      <w:r>
        <w:rPr>
          <w:rFonts w:ascii="Times New Roman" w:hAnsi="Times New Roman" w:cs="Times New Roman"/>
          <w:color w:val="000000"/>
          <w:sz w:val="24"/>
          <w:szCs w:val="24"/>
        </w:rPr>
        <w:t>e</w:t>
      </w:r>
      <w:r>
        <w:rPr>
          <w:rFonts w:ascii="Times New Roman" w:hAnsi="Times New Roman" w:cs="Times New Roman"/>
          <w:color w:val="000000"/>
          <w:sz w:val="24"/>
          <w:szCs w:val="24"/>
        </w:rPr>
        <w:t>fined in § 150.1(d), in the separate a</w:t>
      </w:r>
      <w:r>
        <w:rPr>
          <w:rFonts w:ascii="Times New Roman" w:hAnsi="Times New Roman" w:cs="Times New Roman"/>
          <w:color w:val="000000"/>
          <w:sz w:val="24"/>
          <w:szCs w:val="24"/>
        </w:rPr>
        <w:t>c</w:t>
      </w:r>
      <w:r>
        <w:rPr>
          <w:rFonts w:ascii="Times New Roman" w:hAnsi="Times New Roman" w:cs="Times New Roman"/>
          <w:color w:val="000000"/>
          <w:sz w:val="24"/>
          <w:szCs w:val="24"/>
        </w:rPr>
        <w:t>count or accounts of an independent a</w:t>
      </w:r>
      <w:r>
        <w:rPr>
          <w:rFonts w:ascii="Times New Roman" w:hAnsi="Times New Roman" w:cs="Times New Roman"/>
          <w:color w:val="000000"/>
          <w:sz w:val="24"/>
          <w:szCs w:val="24"/>
        </w:rPr>
        <w:t>c</w:t>
      </w:r>
      <w:r>
        <w:rPr>
          <w:rFonts w:ascii="Times New Roman" w:hAnsi="Times New Roman" w:cs="Times New Roman"/>
          <w:color w:val="000000"/>
          <w:sz w:val="24"/>
          <w:szCs w:val="24"/>
        </w:rPr>
        <w:lastRenderedPageBreak/>
        <w:t xml:space="preserve">count controller, as defined in </w:t>
      </w:r>
      <w:hyperlink r:id="rId178" w:history="1">
        <w:r>
          <w:rPr>
            <w:rFonts w:ascii="Times New Roman" w:hAnsi="Times New Roman" w:cs="Times New Roman"/>
            <w:color w:val="0000FF"/>
            <w:sz w:val="24"/>
            <w:szCs w:val="24"/>
            <w:u w:val="single"/>
          </w:rPr>
          <w:t>§ 150.1(e)</w:t>
        </w:r>
      </w:hyperlink>
      <w:r>
        <w:rPr>
          <w:rFonts w:ascii="Times New Roman" w:hAnsi="Times New Roman" w:cs="Times New Roman"/>
          <w:color w:val="000000"/>
          <w:sz w:val="24"/>
          <w:szCs w:val="24"/>
        </w:rPr>
        <w:t>, and not in the spot month if there is a position limit which applies to individual trading months during their expiration; Provided, however, That the overall p</w:t>
      </w:r>
      <w:r>
        <w:rPr>
          <w:rFonts w:ascii="Times New Roman" w:hAnsi="Times New Roman" w:cs="Times New Roman"/>
          <w:color w:val="000000"/>
          <w:sz w:val="24"/>
          <w:szCs w:val="24"/>
        </w:rPr>
        <w:t>o</w:t>
      </w:r>
      <w:r>
        <w:rPr>
          <w:rFonts w:ascii="Times New Roman" w:hAnsi="Times New Roman" w:cs="Times New Roman"/>
          <w:color w:val="000000"/>
          <w:sz w:val="24"/>
          <w:szCs w:val="24"/>
        </w:rPr>
        <w:t xml:space="preserve">sitions held or controlled by each such independent account controller may not exceed the limits specified in </w:t>
      </w:r>
      <w:hyperlink r:id="rId179" w:history="1">
        <w:r>
          <w:rPr>
            <w:rFonts w:ascii="Times New Roman" w:hAnsi="Times New Roman" w:cs="Times New Roman"/>
            <w:color w:val="0000FF"/>
            <w:sz w:val="24"/>
            <w:szCs w:val="24"/>
            <w:u w:val="single"/>
          </w:rPr>
          <w:t>§ 150.2</w:t>
        </w:r>
      </w:hyperlink>
      <w:r>
        <w:rPr>
          <w:rFonts w:ascii="Times New Roman" w:hAnsi="Times New Roman" w:cs="Times New Roman"/>
          <w:color w:val="000000"/>
          <w:sz w:val="24"/>
          <w:szCs w:val="24"/>
        </w:rPr>
        <w:t>.</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Additional Requirements for Exem</w:t>
      </w:r>
      <w:r>
        <w:rPr>
          <w:rFonts w:ascii="Times New Roman" w:hAnsi="Times New Roman" w:cs="Times New Roman"/>
          <w:color w:val="000000"/>
          <w:sz w:val="24"/>
          <w:szCs w:val="24"/>
        </w:rPr>
        <w:t>p</w:t>
      </w:r>
      <w:r>
        <w:rPr>
          <w:rFonts w:ascii="Times New Roman" w:hAnsi="Times New Roman" w:cs="Times New Roman"/>
          <w:color w:val="000000"/>
          <w:sz w:val="24"/>
          <w:szCs w:val="24"/>
        </w:rPr>
        <w:t>tion of Affiliated Entities. If the ind</w:t>
      </w:r>
      <w:r>
        <w:rPr>
          <w:rFonts w:ascii="Times New Roman" w:hAnsi="Times New Roman" w:cs="Times New Roman"/>
          <w:color w:val="000000"/>
          <w:sz w:val="24"/>
          <w:szCs w:val="24"/>
        </w:rPr>
        <w:t>e</w:t>
      </w:r>
      <w:r>
        <w:rPr>
          <w:rFonts w:ascii="Times New Roman" w:hAnsi="Times New Roman" w:cs="Times New Roman"/>
          <w:color w:val="000000"/>
          <w:sz w:val="24"/>
          <w:szCs w:val="24"/>
        </w:rPr>
        <w:t>pendent account controller is affiliated with the eligible entity or another ind</w:t>
      </w:r>
      <w:r>
        <w:rPr>
          <w:rFonts w:ascii="Times New Roman" w:hAnsi="Times New Roman" w:cs="Times New Roman"/>
          <w:color w:val="000000"/>
          <w:sz w:val="24"/>
          <w:szCs w:val="24"/>
        </w:rPr>
        <w:t>e</w:t>
      </w:r>
      <w:r>
        <w:rPr>
          <w:rFonts w:ascii="Times New Roman" w:hAnsi="Times New Roman" w:cs="Times New Roman"/>
          <w:color w:val="000000"/>
          <w:sz w:val="24"/>
          <w:szCs w:val="24"/>
        </w:rPr>
        <w:t>pendent account controller, each of the affiliated entities must:</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(A) Have, and enforce, written pr</w:t>
      </w:r>
      <w:r>
        <w:rPr>
          <w:rFonts w:ascii="Times New Roman" w:hAnsi="Times New Roman" w:cs="Times New Roman"/>
          <w:color w:val="000000"/>
          <w:sz w:val="24"/>
          <w:szCs w:val="24"/>
        </w:rPr>
        <w:t>o</w:t>
      </w:r>
      <w:r>
        <w:rPr>
          <w:rFonts w:ascii="Times New Roman" w:hAnsi="Times New Roman" w:cs="Times New Roman"/>
          <w:color w:val="000000"/>
          <w:sz w:val="24"/>
          <w:szCs w:val="24"/>
        </w:rPr>
        <w:t>cedures to preclude the affiliated en</w:t>
      </w:r>
      <w:r>
        <w:rPr>
          <w:rFonts w:ascii="Times New Roman" w:hAnsi="Times New Roman" w:cs="Times New Roman"/>
          <w:color w:val="000000"/>
          <w:sz w:val="24"/>
          <w:szCs w:val="24"/>
        </w:rPr>
        <w:t>t</w:t>
      </w:r>
      <w:r>
        <w:rPr>
          <w:rFonts w:ascii="Times New Roman" w:hAnsi="Times New Roman" w:cs="Times New Roman"/>
          <w:color w:val="000000"/>
          <w:sz w:val="24"/>
          <w:szCs w:val="24"/>
        </w:rPr>
        <w:t>ities from having knowledge of, gaining access to, or receiving data about, trades of the other. Such pr</w:t>
      </w:r>
      <w:r>
        <w:rPr>
          <w:rFonts w:ascii="Times New Roman" w:hAnsi="Times New Roman" w:cs="Times New Roman"/>
          <w:color w:val="000000"/>
          <w:sz w:val="24"/>
          <w:szCs w:val="24"/>
        </w:rPr>
        <w:t>o</w:t>
      </w:r>
      <w:r>
        <w:rPr>
          <w:rFonts w:ascii="Times New Roman" w:hAnsi="Times New Roman" w:cs="Times New Roman"/>
          <w:color w:val="000000"/>
          <w:sz w:val="24"/>
          <w:szCs w:val="24"/>
        </w:rPr>
        <w:t>cedures must include document routing and other procedures or s</w:t>
      </w:r>
      <w:r>
        <w:rPr>
          <w:rFonts w:ascii="Times New Roman" w:hAnsi="Times New Roman" w:cs="Times New Roman"/>
          <w:color w:val="000000"/>
          <w:sz w:val="24"/>
          <w:szCs w:val="24"/>
        </w:rPr>
        <w:t>e</w:t>
      </w:r>
      <w:r>
        <w:rPr>
          <w:rFonts w:ascii="Times New Roman" w:hAnsi="Times New Roman" w:cs="Times New Roman"/>
          <w:color w:val="000000"/>
          <w:sz w:val="24"/>
          <w:szCs w:val="24"/>
        </w:rPr>
        <w:t>curity arrangements, including sep</w:t>
      </w:r>
      <w:r>
        <w:rPr>
          <w:rFonts w:ascii="Times New Roman" w:hAnsi="Times New Roman" w:cs="Times New Roman"/>
          <w:color w:val="000000"/>
          <w:sz w:val="24"/>
          <w:szCs w:val="24"/>
        </w:rPr>
        <w:t>a</w:t>
      </w:r>
      <w:r>
        <w:rPr>
          <w:rFonts w:ascii="Times New Roman" w:hAnsi="Times New Roman" w:cs="Times New Roman"/>
          <w:color w:val="000000"/>
          <w:sz w:val="24"/>
          <w:szCs w:val="24"/>
        </w:rPr>
        <w:t>rate physical locations, which would maintain the independence of their activities; provided, however, That such procedures may provide for the disclosure of information which is reasonably necessary for an eligible entity to maintain the level of control consistent with its fiduciary respo</w:t>
      </w:r>
      <w:r>
        <w:rPr>
          <w:rFonts w:ascii="Times New Roman" w:hAnsi="Times New Roman" w:cs="Times New Roman"/>
          <w:color w:val="000000"/>
          <w:sz w:val="24"/>
          <w:szCs w:val="24"/>
        </w:rPr>
        <w:t>n</w:t>
      </w:r>
      <w:r>
        <w:rPr>
          <w:rFonts w:ascii="Times New Roman" w:hAnsi="Times New Roman" w:cs="Times New Roman"/>
          <w:color w:val="000000"/>
          <w:sz w:val="24"/>
          <w:szCs w:val="24"/>
        </w:rPr>
        <w:t>sibilities and necessary to fulfill its duty to supervise diligently the tra</w:t>
      </w:r>
      <w:r>
        <w:rPr>
          <w:rFonts w:ascii="Times New Roman" w:hAnsi="Times New Roman" w:cs="Times New Roman"/>
          <w:color w:val="000000"/>
          <w:sz w:val="24"/>
          <w:szCs w:val="24"/>
        </w:rPr>
        <w:t>d</w:t>
      </w:r>
      <w:r>
        <w:rPr>
          <w:rFonts w:ascii="Times New Roman" w:hAnsi="Times New Roman" w:cs="Times New Roman"/>
          <w:color w:val="000000"/>
          <w:sz w:val="24"/>
          <w:szCs w:val="24"/>
        </w:rPr>
        <w:t>ing done on its behalf;</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(B) Trade such accounts pursuant to separately-developed and indepe</w:t>
      </w:r>
      <w:r>
        <w:rPr>
          <w:rFonts w:ascii="Times New Roman" w:hAnsi="Times New Roman" w:cs="Times New Roman"/>
          <w:color w:val="000000"/>
          <w:sz w:val="24"/>
          <w:szCs w:val="24"/>
        </w:rPr>
        <w:t>n</w:t>
      </w:r>
      <w:r>
        <w:rPr>
          <w:rFonts w:ascii="Times New Roman" w:hAnsi="Times New Roman" w:cs="Times New Roman"/>
          <w:color w:val="000000"/>
          <w:sz w:val="24"/>
          <w:szCs w:val="24"/>
        </w:rPr>
        <w:lastRenderedPageBreak/>
        <w:t>dent trading systems;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(C) Market such trading systems separately; and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Solicit funds for such trading by separate Disclosure Documents that meet the standards of </w:t>
      </w:r>
      <w:hyperlink r:id="rId180" w:history="1">
        <w:r>
          <w:rPr>
            <w:rFonts w:ascii="Times New Roman" w:hAnsi="Times New Roman" w:cs="Times New Roman"/>
            <w:color w:val="0000FF"/>
            <w:sz w:val="24"/>
            <w:szCs w:val="24"/>
            <w:u w:val="single"/>
          </w:rPr>
          <w:t>§ 4.24</w:t>
        </w:r>
      </w:hyperlink>
      <w:r>
        <w:rPr>
          <w:rFonts w:ascii="Times New Roman" w:hAnsi="Times New Roman" w:cs="Times New Roman"/>
          <w:color w:val="000000"/>
          <w:sz w:val="24"/>
          <w:szCs w:val="24"/>
        </w:rPr>
        <w:t xml:space="preserve"> or </w:t>
      </w:r>
      <w:hyperlink r:id="rId181" w:history="1">
        <w:r>
          <w:rPr>
            <w:rFonts w:ascii="Times New Roman" w:hAnsi="Times New Roman" w:cs="Times New Roman"/>
            <w:color w:val="0000FF"/>
            <w:sz w:val="24"/>
            <w:szCs w:val="24"/>
            <w:u w:val="single"/>
          </w:rPr>
          <w:t>§ 4.34</w:t>
        </w:r>
      </w:hyperlink>
      <w:r>
        <w:rPr>
          <w:rFonts w:ascii="Times New Roman" w:hAnsi="Times New Roman" w:cs="Times New Roman"/>
          <w:color w:val="000000"/>
          <w:sz w:val="24"/>
          <w:szCs w:val="24"/>
        </w:rPr>
        <w:t xml:space="preserve"> of this chapter, as applicable, where such Disclosure Documents are r</w:t>
      </w:r>
      <w:r>
        <w:rPr>
          <w:rFonts w:ascii="Times New Roman" w:hAnsi="Times New Roman" w:cs="Times New Roman"/>
          <w:color w:val="000000"/>
          <w:sz w:val="24"/>
          <w:szCs w:val="24"/>
        </w:rPr>
        <w:t>e</w:t>
      </w:r>
      <w:r>
        <w:rPr>
          <w:rFonts w:ascii="Times New Roman" w:hAnsi="Times New Roman" w:cs="Times New Roman"/>
          <w:color w:val="000000"/>
          <w:sz w:val="24"/>
          <w:szCs w:val="24"/>
        </w:rPr>
        <w:t>quired under part 4 of this chapter.</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(ii) [Reserved]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Call for information. Upon call by the Commission, the Director of the Division of Market Oversight or the Director's </w:t>
      </w:r>
      <w:proofErr w:type="spellStart"/>
      <w:r>
        <w:rPr>
          <w:rFonts w:ascii="Times New Roman" w:hAnsi="Times New Roman" w:cs="Times New Roman"/>
          <w:color w:val="000000"/>
          <w:sz w:val="24"/>
          <w:szCs w:val="24"/>
        </w:rPr>
        <w:t>delegee</w:t>
      </w:r>
      <w:proofErr w:type="spellEnd"/>
      <w:r>
        <w:rPr>
          <w:rFonts w:ascii="Times New Roman" w:hAnsi="Times New Roman" w:cs="Times New Roman"/>
          <w:color w:val="000000"/>
          <w:sz w:val="24"/>
          <w:szCs w:val="24"/>
        </w:rPr>
        <w:t>, any person claiming an exemption from speculative position limits under this section must provide to the Commission such i</w:t>
      </w:r>
      <w:r>
        <w:rPr>
          <w:rFonts w:ascii="Times New Roman" w:hAnsi="Times New Roman" w:cs="Times New Roman"/>
          <w:color w:val="000000"/>
          <w:sz w:val="24"/>
          <w:szCs w:val="24"/>
        </w:rPr>
        <w:t>n</w:t>
      </w:r>
      <w:r>
        <w:rPr>
          <w:rFonts w:ascii="Times New Roman" w:hAnsi="Times New Roman" w:cs="Times New Roman"/>
          <w:color w:val="000000"/>
          <w:sz w:val="24"/>
          <w:szCs w:val="24"/>
        </w:rPr>
        <w:t>formation as specified in the call relating to the positions owned or controlled by that person; trading done pursuant to the claimed exemption; the futures, options or cash market positions which support the claim of exemption; and the relevant business rel</w:t>
      </w:r>
      <w:r>
        <w:rPr>
          <w:rFonts w:ascii="Times New Roman" w:hAnsi="Times New Roman" w:cs="Times New Roman"/>
          <w:color w:val="000000"/>
          <w:sz w:val="24"/>
          <w:szCs w:val="24"/>
        </w:rPr>
        <w:t>a</w:t>
      </w:r>
      <w:r>
        <w:rPr>
          <w:rFonts w:ascii="Times New Roman" w:hAnsi="Times New Roman" w:cs="Times New Roman"/>
          <w:color w:val="000000"/>
          <w:sz w:val="24"/>
          <w:szCs w:val="24"/>
        </w:rPr>
        <w:t>tionships supporting a claim of exemption.</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hyperlink r:id="rId182" w:history="1">
        <w:r>
          <w:rPr>
            <w:rFonts w:ascii="Times New Roman" w:hAnsi="Times New Roman" w:cs="Times New Roman"/>
            <w:color w:val="0000FF"/>
            <w:sz w:val="24"/>
            <w:szCs w:val="24"/>
            <w:u w:val="single"/>
          </w:rPr>
          <w:t>53 FR 41571</w:t>
        </w:r>
      </w:hyperlink>
      <w:r>
        <w:rPr>
          <w:rFonts w:ascii="Times New Roman" w:hAnsi="Times New Roman" w:cs="Times New Roman"/>
          <w:color w:val="000000"/>
          <w:sz w:val="24"/>
          <w:szCs w:val="24"/>
        </w:rPr>
        <w:t xml:space="preserve">, Oct. 24, 1988; </w:t>
      </w:r>
      <w:hyperlink r:id="rId183" w:history="1">
        <w:r>
          <w:rPr>
            <w:rFonts w:ascii="Times New Roman" w:hAnsi="Times New Roman" w:cs="Times New Roman"/>
            <w:color w:val="0000FF"/>
            <w:sz w:val="24"/>
            <w:szCs w:val="24"/>
            <w:u w:val="single"/>
          </w:rPr>
          <w:t>56 FR 14315</w:t>
        </w:r>
      </w:hyperlink>
      <w:r>
        <w:rPr>
          <w:rFonts w:ascii="Times New Roman" w:hAnsi="Times New Roman" w:cs="Times New Roman"/>
          <w:color w:val="000000"/>
          <w:sz w:val="24"/>
          <w:szCs w:val="24"/>
        </w:rPr>
        <w:t xml:space="preserve">, April 9, 1991; </w:t>
      </w:r>
      <w:hyperlink r:id="rId184" w:history="1">
        <w:r>
          <w:rPr>
            <w:rFonts w:ascii="Times New Roman" w:hAnsi="Times New Roman" w:cs="Times New Roman"/>
            <w:color w:val="0000FF"/>
            <w:sz w:val="24"/>
            <w:szCs w:val="24"/>
            <w:u w:val="single"/>
          </w:rPr>
          <w:t>57 FR 44492</w:t>
        </w:r>
      </w:hyperlink>
      <w:r>
        <w:rPr>
          <w:rFonts w:ascii="Times New Roman" w:hAnsi="Times New Roman" w:cs="Times New Roman"/>
          <w:color w:val="000000"/>
          <w:sz w:val="24"/>
          <w:szCs w:val="24"/>
        </w:rPr>
        <w:t xml:space="preserve">, Sept. 28, 1991; </w:t>
      </w:r>
      <w:hyperlink r:id="rId185" w:history="1">
        <w:r>
          <w:rPr>
            <w:rFonts w:ascii="Times New Roman" w:hAnsi="Times New Roman" w:cs="Times New Roman"/>
            <w:color w:val="0000FF"/>
            <w:sz w:val="24"/>
            <w:szCs w:val="24"/>
            <w:u w:val="single"/>
          </w:rPr>
          <w:t>58 FR 17982</w:t>
        </w:r>
      </w:hyperlink>
      <w:r>
        <w:rPr>
          <w:rFonts w:ascii="Times New Roman" w:hAnsi="Times New Roman" w:cs="Times New Roman"/>
          <w:color w:val="000000"/>
          <w:sz w:val="24"/>
          <w:szCs w:val="24"/>
        </w:rPr>
        <w:t xml:space="preserve">, April 7, 1993; </w:t>
      </w:r>
      <w:hyperlink r:id="rId186" w:history="1">
        <w:r>
          <w:rPr>
            <w:rFonts w:ascii="Times New Roman" w:hAnsi="Times New Roman" w:cs="Times New Roman"/>
            <w:color w:val="0000FF"/>
            <w:sz w:val="24"/>
            <w:szCs w:val="24"/>
            <w:u w:val="single"/>
          </w:rPr>
          <w:t>60 FR 38193</w:t>
        </w:r>
      </w:hyperlink>
      <w:r>
        <w:rPr>
          <w:rFonts w:ascii="Times New Roman" w:hAnsi="Times New Roman" w:cs="Times New Roman"/>
          <w:color w:val="000000"/>
          <w:sz w:val="24"/>
          <w:szCs w:val="24"/>
        </w:rPr>
        <w:t>, July 25, 1995; 67 FR 62353, Oct. 7, 2002]</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w:t>
      </w:r>
      <w:hyperlink r:id="rId187" w:history="1">
        <w:r>
          <w:rPr>
            <w:rFonts w:ascii="Times New Roman" w:hAnsi="Times New Roman" w:cs="Times New Roman"/>
            <w:color w:val="0000FF"/>
            <w:sz w:val="24"/>
            <w:szCs w:val="24"/>
            <w:u w:val="single"/>
          </w:rPr>
          <w:t>52 FR 38923</w:t>
        </w:r>
      </w:hyperlink>
      <w:r>
        <w:rPr>
          <w:rFonts w:ascii="Times New Roman" w:hAnsi="Times New Roman" w:cs="Times New Roman"/>
          <w:color w:val="000000"/>
          <w:sz w:val="24"/>
          <w:szCs w:val="24"/>
        </w:rPr>
        <w:t xml:space="preserve">, Oct. 20, 1987; </w:t>
      </w:r>
      <w:hyperlink r:id="rId188" w:history="1">
        <w:r>
          <w:rPr>
            <w:rFonts w:ascii="Times New Roman" w:hAnsi="Times New Roman" w:cs="Times New Roman"/>
            <w:color w:val="0000FF"/>
            <w:sz w:val="24"/>
            <w:szCs w:val="24"/>
            <w:u w:val="single"/>
          </w:rPr>
          <w:t>57 FR 44492</w:t>
        </w:r>
      </w:hyperlink>
      <w:r>
        <w:rPr>
          <w:rFonts w:ascii="Times New Roman" w:hAnsi="Times New Roman" w:cs="Times New Roman"/>
          <w:color w:val="000000"/>
          <w:sz w:val="24"/>
          <w:szCs w:val="24"/>
        </w:rPr>
        <w:t>, Sept. 28, 1992; 58 FR 17981, April 7, 1993; 70 FR 24706, May 11, 2005, unless otherwise noted.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AUTHORITY: </w:t>
      </w:r>
      <w:hyperlink r:id="rId189" w:history="1">
        <w:r>
          <w:rPr>
            <w:rFonts w:ascii="Times New Roman" w:hAnsi="Times New Roman" w:cs="Times New Roman"/>
            <w:color w:val="0000FF"/>
            <w:sz w:val="24"/>
            <w:szCs w:val="24"/>
            <w:u w:val="single"/>
          </w:rPr>
          <w:t>7 U.S.C. 6a</w:t>
        </w:r>
      </w:hyperlink>
      <w:r>
        <w:rPr>
          <w:rFonts w:ascii="Times New Roman" w:hAnsi="Times New Roman" w:cs="Times New Roman"/>
          <w:color w:val="000000"/>
          <w:sz w:val="24"/>
          <w:szCs w:val="24"/>
        </w:rPr>
        <w:t xml:space="preserve">, </w:t>
      </w:r>
      <w:hyperlink r:id="rId190" w:history="1">
        <w:r>
          <w:rPr>
            <w:rFonts w:ascii="Times New Roman" w:hAnsi="Times New Roman" w:cs="Times New Roman"/>
            <w:color w:val="0000FF"/>
            <w:sz w:val="24"/>
            <w:szCs w:val="24"/>
            <w:u w:val="single"/>
          </w:rPr>
          <w:t>6c</w:t>
        </w:r>
      </w:hyperlink>
      <w:r>
        <w:rPr>
          <w:rFonts w:ascii="Times New Roman" w:hAnsi="Times New Roman" w:cs="Times New Roman"/>
          <w:color w:val="000000"/>
          <w:sz w:val="24"/>
          <w:szCs w:val="24"/>
        </w:rPr>
        <w:t xml:space="preserve">, and </w:t>
      </w:r>
      <w:hyperlink r:id="rId191" w:history="1">
        <w:r>
          <w:rPr>
            <w:rFonts w:ascii="Times New Roman" w:hAnsi="Times New Roman" w:cs="Times New Roman"/>
            <w:color w:val="0000FF"/>
            <w:sz w:val="24"/>
            <w:szCs w:val="24"/>
            <w:u w:val="single"/>
          </w:rPr>
          <w:t>12a(5)</w:t>
        </w:r>
      </w:hyperlink>
      <w:r>
        <w:rPr>
          <w:rFonts w:ascii="Times New Roman" w:hAnsi="Times New Roman" w:cs="Times New Roman"/>
          <w:color w:val="000000"/>
          <w:sz w:val="24"/>
          <w:szCs w:val="24"/>
        </w:rPr>
        <w:t xml:space="preserve">, as amended by the Commodity Futures Modernization Act of 2000, Appendix E of </w:t>
      </w:r>
      <w:hyperlink r:id="rId192"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xml:space="preserve">. </w:t>
        </w:r>
        <w:proofErr w:type="gramStart"/>
        <w:r>
          <w:rPr>
            <w:rFonts w:ascii="Times New Roman" w:hAnsi="Times New Roman" w:cs="Times New Roman"/>
            <w:color w:val="0000FF"/>
            <w:sz w:val="24"/>
            <w:szCs w:val="24"/>
            <w:u w:val="single"/>
          </w:rPr>
          <w:t>106-554, 114 Stat. 2763 (2000).</w:t>
        </w:r>
        <w:proofErr w:type="gramEnd"/>
      </w:hyperlink>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 C. F. R. § 150.3, 17 CFR § 150.3</w:t>
      </w: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15" w:name="Document5zzIB6644910334111DEA168E6BA6939"/>
      <w:bookmarkEnd w:id="15"/>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Current through July 17, 2009; 74 FR 35074</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2009 Thomson Reuters </w:t>
      </w: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END OF DOCUMENT</w:t>
      </w: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headerReference w:type="default" r:id="rId193"/>
          <w:footerReference w:type="default" r:id="rId194"/>
          <w:type w:val="continuous"/>
          <w:pgSz w:w="12240" w:h="15840"/>
          <w:pgMar w:top="2520" w:right="1440" w:bottom="1800" w:left="1440" w:header="720" w:footer="720" w:gutter="0"/>
          <w:cols w:num="2" w:space="720"/>
          <w:noEndnote/>
        </w:sectPr>
      </w:pP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headerReference w:type="default" r:id="rId195"/>
          <w:footerReference w:type="default" r:id="rId196"/>
          <w:pgSz w:w="12240" w:h="15840"/>
          <w:pgMar w:top="3024" w:right="1440" w:bottom="1800" w:left="1440" w:header="720" w:footer="720" w:gutter="0"/>
          <w:pgNumType w:start="1"/>
          <w:cols w:space="720"/>
          <w:noEndnote/>
        </w:sectPr>
      </w:pP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bookmarkStart w:id="16" w:name="Document6zzSDUNumber1"/>
      <w:bookmarkEnd w:id="16"/>
    </w:p>
    <w:p w:rsidR="00F509CF" w:rsidRDefault="00246A03">
      <w:pPr>
        <w:widowControl w:val="0"/>
        <w:autoSpaceDE w:val="0"/>
        <w:autoSpaceDN w:val="0"/>
        <w:adjustRightInd w:val="0"/>
        <w:spacing w:after="0" w:line="240" w:lineRule="auto"/>
        <w:rPr>
          <w:rFonts w:ascii="Times New Roman" w:hAnsi="Times New Roman" w:cs="Times New Roman"/>
          <w:color w:val="000000"/>
          <w:sz w:val="24"/>
          <w:szCs w:val="24"/>
        </w:rPr>
      </w:pPr>
      <w:r w:rsidRPr="008234A1">
        <w:rPr>
          <w:rFonts w:ascii="Times New Roman" w:hAnsi="Times New Roman" w:cs="Times New Roman"/>
          <w:color w:val="000000"/>
          <w:sz w:val="24"/>
          <w:szCs w:val="24"/>
        </w:rPr>
        <w:pict>
          <v:shape id="_x0000_i1040" type="#_x0000_t75" style="width:9.75pt;height:9.75pt">
            <v:imagedata r:id="rId130" o:title=""/>
          </v:shape>
        </w:pict>
      </w:r>
    </w:p>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Effective</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 xml:space="preserve">See Text Amendments] </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Code of Federal Regulations </w:t>
      </w:r>
      <w:bookmarkStart w:id="17" w:name="Document7zzCurrentness"/>
      <w:bookmarkEnd w:id="17"/>
      <w:r w:rsidR="008234A1">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\l "Document7zzI24115F70334211DEA168E6BA6939"</w:instrText>
      </w:r>
      <w:r w:rsidR="008234A1">
        <w:rPr>
          <w:rFonts w:ascii="Times New Roman" w:hAnsi="Times New Roman" w:cs="Times New Roman"/>
          <w:color w:val="000000"/>
          <w:sz w:val="24"/>
          <w:szCs w:val="24"/>
        </w:rPr>
        <w:fldChar w:fldCharType="separate"/>
      </w:r>
      <w:proofErr w:type="spellStart"/>
      <w:r>
        <w:rPr>
          <w:rFonts w:ascii="Times New Roman" w:hAnsi="Times New Roman" w:cs="Times New Roman"/>
          <w:color w:val="0000FF"/>
          <w:sz w:val="24"/>
          <w:szCs w:val="24"/>
          <w:u w:val="single"/>
        </w:rPr>
        <w:t>Currentness</w:t>
      </w:r>
      <w:proofErr w:type="spellEnd"/>
      <w:r w:rsidR="008234A1">
        <w:rPr>
          <w:rFonts w:ascii="Times New Roman" w:hAnsi="Times New Roman" w:cs="Times New Roman"/>
          <w:color w:val="000000"/>
          <w:sz w:val="24"/>
          <w:szCs w:val="24"/>
        </w:rPr>
        <w:fldChar w:fldCharType="end"/>
      </w:r>
    </w:p>
    <w:p w:rsidR="00F509CF" w:rsidRDefault="00F509C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Title 17.</w:t>
      </w:r>
      <w:proofErr w:type="gramEnd"/>
      <w:r>
        <w:rPr>
          <w:rFonts w:ascii="Times New Roman" w:hAnsi="Times New Roman" w:cs="Times New Roman"/>
          <w:color w:val="000000"/>
          <w:sz w:val="24"/>
          <w:szCs w:val="24"/>
        </w:rPr>
        <w:t xml:space="preserve"> Commodity and Securities E</w:t>
      </w:r>
      <w:r>
        <w:rPr>
          <w:rFonts w:ascii="Times New Roman" w:hAnsi="Times New Roman" w:cs="Times New Roman"/>
          <w:color w:val="000000"/>
          <w:sz w:val="24"/>
          <w:szCs w:val="24"/>
        </w:rPr>
        <w:t>x</w:t>
      </w:r>
      <w:r>
        <w:rPr>
          <w:rFonts w:ascii="Times New Roman" w:hAnsi="Times New Roman" w:cs="Times New Roman"/>
          <w:color w:val="000000"/>
          <w:sz w:val="24"/>
          <w:szCs w:val="24"/>
        </w:rPr>
        <w:t>changes</w:t>
      </w:r>
    </w:p>
    <w:p w:rsidR="00F509CF" w:rsidRDefault="008234A1">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hyperlink r:id="rId197" w:history="1">
        <w:r w:rsidR="00246A03" w:rsidRPr="008234A1">
          <w:rPr>
            <w:rFonts w:ascii="Times New Roman" w:hAnsi="Times New Roman" w:cs="Times New Roman"/>
            <w:color w:val="0000FF"/>
            <w:sz w:val="24"/>
            <w:szCs w:val="24"/>
            <w:u w:val="single"/>
          </w:rPr>
          <w:pict>
            <v:shape id="_x0000_i1041" type="#_x0000_t75" style="width:9.75pt;height:9.75pt">
              <v:imagedata r:id="rId132" o:title=""/>
            </v:shape>
          </w:pict>
        </w:r>
        <w:r w:rsidR="00F509CF">
          <w:rPr>
            <w:rFonts w:ascii="Times New Roman" w:hAnsi="Times New Roman" w:cs="Times New Roman"/>
            <w:color w:val="0000FF"/>
            <w:sz w:val="24"/>
            <w:szCs w:val="24"/>
            <w:u w:val="single"/>
          </w:rPr>
          <w:t xml:space="preserve"> </w:t>
        </w:r>
        <w:proofErr w:type="gramStart"/>
        <w:r w:rsidR="00F509CF">
          <w:rPr>
            <w:rFonts w:ascii="Times New Roman" w:hAnsi="Times New Roman" w:cs="Times New Roman"/>
            <w:color w:val="0000FF"/>
            <w:sz w:val="24"/>
            <w:szCs w:val="24"/>
            <w:u w:val="single"/>
          </w:rPr>
          <w:t>Chapter I</w:t>
        </w:r>
      </w:hyperlink>
      <w:r w:rsidR="00F509CF">
        <w:rPr>
          <w:rFonts w:ascii="Times New Roman" w:hAnsi="Times New Roman" w:cs="Times New Roman"/>
          <w:color w:val="000000"/>
          <w:sz w:val="24"/>
          <w:szCs w:val="24"/>
        </w:rPr>
        <w:t>.</w:t>
      </w:r>
      <w:proofErr w:type="gramEnd"/>
      <w:r w:rsidR="00F509CF">
        <w:rPr>
          <w:rFonts w:ascii="Times New Roman" w:hAnsi="Times New Roman" w:cs="Times New Roman"/>
          <w:color w:val="000000"/>
          <w:sz w:val="24"/>
          <w:szCs w:val="24"/>
        </w:rPr>
        <w:t xml:space="preserve"> Commodity Futures Tra</w:t>
      </w:r>
      <w:r w:rsidR="00F509CF">
        <w:rPr>
          <w:rFonts w:ascii="Times New Roman" w:hAnsi="Times New Roman" w:cs="Times New Roman"/>
          <w:color w:val="000000"/>
          <w:sz w:val="24"/>
          <w:szCs w:val="24"/>
        </w:rPr>
        <w:t>d</w:t>
      </w:r>
      <w:r w:rsidR="00F509CF">
        <w:rPr>
          <w:rFonts w:ascii="Times New Roman" w:hAnsi="Times New Roman" w:cs="Times New Roman"/>
          <w:color w:val="000000"/>
          <w:sz w:val="24"/>
          <w:szCs w:val="24"/>
        </w:rPr>
        <w:t>ing Commission</w:t>
      </w:r>
    </w:p>
    <w:p w:rsidR="00F509CF" w:rsidRDefault="008234A1">
      <w:pPr>
        <w:widowControl w:val="0"/>
        <w:autoSpaceDE w:val="0"/>
        <w:autoSpaceDN w:val="0"/>
        <w:adjustRightInd w:val="0"/>
        <w:spacing w:after="0" w:line="240" w:lineRule="auto"/>
        <w:ind w:left="540"/>
        <w:jc w:val="both"/>
        <w:rPr>
          <w:rFonts w:ascii="Times New Roman" w:hAnsi="Times New Roman" w:cs="Times New Roman"/>
          <w:color w:val="000000"/>
          <w:sz w:val="24"/>
          <w:szCs w:val="24"/>
        </w:rPr>
      </w:pPr>
      <w:hyperlink r:id="rId198" w:history="1">
        <w:r w:rsidR="00246A03" w:rsidRPr="008234A1">
          <w:rPr>
            <w:rFonts w:ascii="Times New Roman" w:hAnsi="Times New Roman" w:cs="Times New Roman"/>
            <w:color w:val="0000FF"/>
            <w:sz w:val="24"/>
            <w:szCs w:val="24"/>
            <w:u w:val="single"/>
          </w:rPr>
          <w:pict>
            <v:shape id="_x0000_i1042" type="#_x0000_t75" style="width:9.75pt;height:9.75pt">
              <v:imagedata r:id="rId132" o:title=""/>
            </v:shape>
          </w:pict>
        </w:r>
        <w:r w:rsidR="00F509CF">
          <w:rPr>
            <w:rFonts w:ascii="Times New Roman" w:hAnsi="Times New Roman" w:cs="Times New Roman"/>
            <w:color w:val="0000FF"/>
            <w:sz w:val="24"/>
            <w:szCs w:val="24"/>
            <w:u w:val="single"/>
          </w:rPr>
          <w:t xml:space="preserve"> </w:t>
        </w:r>
        <w:proofErr w:type="gramStart"/>
        <w:r w:rsidR="00F509CF">
          <w:rPr>
            <w:rFonts w:ascii="Times New Roman" w:hAnsi="Times New Roman" w:cs="Times New Roman"/>
            <w:color w:val="0000FF"/>
            <w:sz w:val="24"/>
            <w:szCs w:val="24"/>
            <w:u w:val="single"/>
          </w:rPr>
          <w:t>Part 150</w:t>
        </w:r>
      </w:hyperlink>
      <w:r w:rsidR="00F509CF">
        <w:rPr>
          <w:rFonts w:ascii="Times New Roman" w:hAnsi="Times New Roman" w:cs="Times New Roman"/>
          <w:color w:val="000000"/>
          <w:sz w:val="24"/>
          <w:szCs w:val="24"/>
        </w:rPr>
        <w:t>.</w:t>
      </w:r>
      <w:proofErr w:type="gramEnd"/>
      <w:r w:rsidR="00F509CF">
        <w:rPr>
          <w:rFonts w:ascii="Times New Roman" w:hAnsi="Times New Roman" w:cs="Times New Roman"/>
          <w:color w:val="000000"/>
          <w:sz w:val="24"/>
          <w:szCs w:val="24"/>
        </w:rPr>
        <w:t xml:space="preserve"> Limits on Positions </w:t>
      </w:r>
      <w:hyperlink r:id="rId199" w:history="1">
        <w:r w:rsidR="00F509CF">
          <w:rPr>
            <w:rFonts w:ascii="Times New Roman" w:hAnsi="Times New Roman" w:cs="Times New Roman"/>
            <w:color w:val="0000FF"/>
            <w:sz w:val="24"/>
            <w:szCs w:val="24"/>
            <w:u w:val="single"/>
          </w:rPr>
          <w:t xml:space="preserve">(Refs &amp; </w:t>
        </w:r>
        <w:proofErr w:type="spellStart"/>
        <w:r w:rsidR="00F509CF">
          <w:rPr>
            <w:rFonts w:ascii="Times New Roman" w:hAnsi="Times New Roman" w:cs="Times New Roman"/>
            <w:color w:val="0000FF"/>
            <w:sz w:val="24"/>
            <w:szCs w:val="24"/>
            <w:u w:val="single"/>
          </w:rPr>
          <w:t>Annos</w:t>
        </w:r>
        <w:proofErr w:type="spellEnd"/>
        <w:r w:rsidR="00F509CF">
          <w:rPr>
            <w:rFonts w:ascii="Times New Roman" w:hAnsi="Times New Roman" w:cs="Times New Roman"/>
            <w:color w:val="0000FF"/>
            <w:sz w:val="24"/>
            <w:szCs w:val="24"/>
            <w:u w:val="single"/>
          </w:rPr>
          <w:t>)</w:t>
        </w:r>
      </w:hyperlink>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246A03">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8234A1">
        <w:rPr>
          <w:rFonts w:ascii="Times New Roman" w:hAnsi="Times New Roman" w:cs="Times New Roman"/>
          <w:b/>
          <w:bCs/>
          <w:color w:val="000000"/>
          <w:sz w:val="24"/>
          <w:szCs w:val="24"/>
        </w:rPr>
        <w:pict>
          <v:shape id="_x0000_i1043" type="#_x0000_t75" style="width:9.75pt;height:9.75pt">
            <v:imagedata r:id="rId135" o:title=""/>
          </v:shape>
        </w:pict>
      </w:r>
      <w:r w:rsidR="00F509CF">
        <w:rPr>
          <w:rFonts w:ascii="Times New Roman" w:hAnsi="Times New Roman" w:cs="Times New Roman"/>
          <w:b/>
          <w:bCs/>
          <w:color w:val="000000"/>
          <w:sz w:val="24"/>
          <w:szCs w:val="24"/>
        </w:rPr>
        <w:t xml:space="preserve"> § 150.4 Aggregation of positions.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Positions to be aggregated. The position limits set forth in § 510.2 of this part shall apply to all positions in accounts for which any person by power of attorney or otherwise directly or indirectly holds positions or co</w:t>
      </w:r>
      <w:r>
        <w:rPr>
          <w:rFonts w:ascii="Times New Roman" w:hAnsi="Times New Roman" w:cs="Times New Roman"/>
          <w:color w:val="000000"/>
          <w:sz w:val="24"/>
          <w:szCs w:val="24"/>
        </w:rPr>
        <w:t>n</w:t>
      </w:r>
      <w:r>
        <w:rPr>
          <w:rFonts w:ascii="Times New Roman" w:hAnsi="Times New Roman" w:cs="Times New Roman"/>
          <w:color w:val="000000"/>
          <w:sz w:val="24"/>
          <w:szCs w:val="24"/>
        </w:rPr>
        <w:t>trols trading or to positions held by two or more persons acting pursuant to an expressed or implied agreement or understanding the same as if the positions were held by, or the trading of the position were done by, a single individual.</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Ownership of accounts. For the purpose of applying the position limits set forth in § 510.2, except for the ownership interest of limited partners, shareholders, members of a limited liability company, beneficiaries of a trust or similar type of pool participant in a commodity pool subject to the provisos set forth in paragraph (c) of this section, any trader holding positions in more than one account, or holding accounts or positions in which the trader by power of attorney or otherwise directly or indirectly has a 10% or </w:t>
      </w:r>
      <w:r>
        <w:rPr>
          <w:rFonts w:ascii="Times New Roman" w:hAnsi="Times New Roman" w:cs="Times New Roman"/>
          <w:color w:val="000000"/>
          <w:sz w:val="24"/>
          <w:szCs w:val="24"/>
        </w:rPr>
        <w:lastRenderedPageBreak/>
        <w:t>greater ownership or equity interest, must aggregate all such accounts or positions.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Ownership by limited partners, shar</w:t>
      </w:r>
      <w:r>
        <w:rPr>
          <w:rFonts w:ascii="Times New Roman" w:hAnsi="Times New Roman" w:cs="Times New Roman"/>
          <w:color w:val="000000"/>
          <w:sz w:val="24"/>
          <w:szCs w:val="24"/>
        </w:rPr>
        <w:t>e</w:t>
      </w:r>
      <w:r>
        <w:rPr>
          <w:rFonts w:ascii="Times New Roman" w:hAnsi="Times New Roman" w:cs="Times New Roman"/>
          <w:color w:val="000000"/>
          <w:sz w:val="24"/>
          <w:szCs w:val="24"/>
        </w:rPr>
        <w:t xml:space="preserve">holders or other pool participants. For the purpose of applying the position limits set forth in </w:t>
      </w:r>
      <w:hyperlink r:id="rId200" w:history="1">
        <w:r>
          <w:rPr>
            <w:rFonts w:ascii="Times New Roman" w:hAnsi="Times New Roman" w:cs="Times New Roman"/>
            <w:color w:val="0000FF"/>
            <w:sz w:val="24"/>
            <w:szCs w:val="24"/>
            <w:u w:val="single"/>
          </w:rPr>
          <w:t>§ 150.2</w:t>
        </w:r>
      </w:hyperlink>
      <w:r>
        <w:rPr>
          <w:rFonts w:ascii="Times New Roman" w:hAnsi="Times New Roman" w:cs="Times New Roman"/>
          <w:color w:val="000000"/>
          <w:sz w:val="24"/>
          <w:szCs w:val="24"/>
        </w:rPr>
        <w:t>:</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(1) A commodity pool operator having ownership or equity interest of 10% or greater in an account or positions as a limited partner, shareholder or other similar type of pool participant must a</w:t>
      </w:r>
      <w:r>
        <w:rPr>
          <w:rFonts w:ascii="Times New Roman" w:hAnsi="Times New Roman" w:cs="Times New Roman"/>
          <w:color w:val="000000"/>
          <w:sz w:val="24"/>
          <w:szCs w:val="24"/>
        </w:rPr>
        <w:t>g</w:t>
      </w:r>
      <w:r>
        <w:rPr>
          <w:rFonts w:ascii="Times New Roman" w:hAnsi="Times New Roman" w:cs="Times New Roman"/>
          <w:color w:val="000000"/>
          <w:sz w:val="24"/>
          <w:szCs w:val="24"/>
        </w:rPr>
        <w:t>gregate those accounts or positions with all other accounts or positions owned or controlled by the commodity pool ope</w:t>
      </w:r>
      <w:r>
        <w:rPr>
          <w:rFonts w:ascii="Times New Roman" w:hAnsi="Times New Roman" w:cs="Times New Roman"/>
          <w:color w:val="000000"/>
          <w:sz w:val="24"/>
          <w:szCs w:val="24"/>
        </w:rPr>
        <w:t>r</w:t>
      </w:r>
      <w:r>
        <w:rPr>
          <w:rFonts w:ascii="Times New Roman" w:hAnsi="Times New Roman" w:cs="Times New Roman"/>
          <w:color w:val="000000"/>
          <w:sz w:val="24"/>
          <w:szCs w:val="24"/>
        </w:rPr>
        <w:t>ator;</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(2) A trader that is a limited partner, shareholder or other similar type of pool participant with an ownership or equity interest of 10% or greater in a pooled account or positions who is also a pri</w:t>
      </w:r>
      <w:r>
        <w:rPr>
          <w:rFonts w:ascii="Times New Roman" w:hAnsi="Times New Roman" w:cs="Times New Roman"/>
          <w:color w:val="000000"/>
          <w:sz w:val="24"/>
          <w:szCs w:val="24"/>
        </w:rPr>
        <w:t>n</w:t>
      </w:r>
      <w:r>
        <w:rPr>
          <w:rFonts w:ascii="Times New Roman" w:hAnsi="Times New Roman" w:cs="Times New Roman"/>
          <w:color w:val="000000"/>
          <w:sz w:val="24"/>
          <w:szCs w:val="24"/>
        </w:rPr>
        <w:t>cipal or affiliate of the operator of the pooled account must aggregate the pooled account or positions with all other accounts or positions owned or controlled by that trader, provided, however, that the trader need not aggregate such pooled positions or accounts if:</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The pool operator has, and </w:t>
      </w:r>
      <w:proofErr w:type="gramStart"/>
      <w:r>
        <w:rPr>
          <w:rFonts w:ascii="Times New Roman" w:hAnsi="Times New Roman" w:cs="Times New Roman"/>
          <w:color w:val="000000"/>
          <w:sz w:val="24"/>
          <w:szCs w:val="24"/>
        </w:rPr>
        <w:t>enforces,</w:t>
      </w:r>
      <w:proofErr w:type="gramEnd"/>
      <w:r>
        <w:rPr>
          <w:rFonts w:ascii="Times New Roman" w:hAnsi="Times New Roman" w:cs="Times New Roman"/>
          <w:color w:val="000000"/>
          <w:sz w:val="24"/>
          <w:szCs w:val="24"/>
        </w:rPr>
        <w:t xml:space="preserve"> written procedures to preclude the trader from having knowledge of, gaining access to, or receiving data about the trading or positions of the pool;</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 The trader does not have direct, </w:t>
      </w:r>
      <w:r>
        <w:rPr>
          <w:rFonts w:ascii="Times New Roman" w:hAnsi="Times New Roman" w:cs="Times New Roman"/>
          <w:color w:val="000000"/>
          <w:sz w:val="24"/>
          <w:szCs w:val="24"/>
        </w:rPr>
        <w:lastRenderedPageBreak/>
        <w:t>day-to-day supervisory authority or co</w:t>
      </w:r>
      <w:r>
        <w:rPr>
          <w:rFonts w:ascii="Times New Roman" w:hAnsi="Times New Roman" w:cs="Times New Roman"/>
          <w:color w:val="000000"/>
          <w:sz w:val="24"/>
          <w:szCs w:val="24"/>
        </w:rPr>
        <w:t>n</w:t>
      </w:r>
      <w:r>
        <w:rPr>
          <w:rFonts w:ascii="Times New Roman" w:hAnsi="Times New Roman" w:cs="Times New Roman"/>
          <w:color w:val="000000"/>
          <w:sz w:val="24"/>
          <w:szCs w:val="24"/>
        </w:rPr>
        <w:t>trol over the pool's trading decisions; and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(iii) The trader, if a principal of the commodity pool operator, maintains only such minimum control over the co</w:t>
      </w:r>
      <w:r>
        <w:rPr>
          <w:rFonts w:ascii="Times New Roman" w:hAnsi="Times New Roman" w:cs="Times New Roman"/>
          <w:color w:val="000000"/>
          <w:sz w:val="24"/>
          <w:szCs w:val="24"/>
        </w:rPr>
        <w:t>m</w:t>
      </w:r>
      <w:r>
        <w:rPr>
          <w:rFonts w:ascii="Times New Roman" w:hAnsi="Times New Roman" w:cs="Times New Roman"/>
          <w:color w:val="000000"/>
          <w:sz w:val="24"/>
          <w:szCs w:val="24"/>
        </w:rPr>
        <w:t>modity pool operator as is consistent with its responsibilities as a principal and n</w:t>
      </w:r>
      <w:r>
        <w:rPr>
          <w:rFonts w:ascii="Times New Roman" w:hAnsi="Times New Roman" w:cs="Times New Roman"/>
          <w:color w:val="000000"/>
          <w:sz w:val="24"/>
          <w:szCs w:val="24"/>
        </w:rPr>
        <w:t>e</w:t>
      </w:r>
      <w:r>
        <w:rPr>
          <w:rFonts w:ascii="Times New Roman" w:hAnsi="Times New Roman" w:cs="Times New Roman"/>
          <w:color w:val="000000"/>
          <w:sz w:val="24"/>
          <w:szCs w:val="24"/>
        </w:rPr>
        <w:t>cessary to fulfill its duty to supervise the trading activities of the commodity pool;</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(3) Each limited partner, shareholder, or other similar type of pool participant having an ownership or equity interest of 25% or greater in a commodity pool the operator of which is exempt from regi</w:t>
      </w:r>
      <w:r>
        <w:rPr>
          <w:rFonts w:ascii="Times New Roman" w:hAnsi="Times New Roman" w:cs="Times New Roman"/>
          <w:color w:val="000000"/>
          <w:sz w:val="24"/>
          <w:szCs w:val="24"/>
        </w:rPr>
        <w:t>s</w:t>
      </w:r>
      <w:r>
        <w:rPr>
          <w:rFonts w:ascii="Times New Roman" w:hAnsi="Times New Roman" w:cs="Times New Roman"/>
          <w:color w:val="000000"/>
          <w:sz w:val="24"/>
          <w:szCs w:val="24"/>
        </w:rPr>
        <w:t xml:space="preserve">tration under </w:t>
      </w:r>
      <w:hyperlink r:id="rId201" w:history="1">
        <w:r>
          <w:rPr>
            <w:rFonts w:ascii="Times New Roman" w:hAnsi="Times New Roman" w:cs="Times New Roman"/>
            <w:color w:val="0000FF"/>
            <w:sz w:val="24"/>
            <w:szCs w:val="24"/>
            <w:u w:val="single"/>
          </w:rPr>
          <w:t>§ 4.13</w:t>
        </w:r>
      </w:hyperlink>
      <w:r>
        <w:rPr>
          <w:rFonts w:ascii="Times New Roman" w:hAnsi="Times New Roman" w:cs="Times New Roman"/>
          <w:color w:val="000000"/>
          <w:sz w:val="24"/>
          <w:szCs w:val="24"/>
        </w:rPr>
        <w:t xml:space="preserve"> of this chapter must aggregate the pooled account or positions with all other accounts or positions owned or controlled by that trader.</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Trading control by futures commission merchants. The position limits set forth in </w:t>
      </w:r>
      <w:hyperlink r:id="rId202" w:history="1">
        <w:r>
          <w:rPr>
            <w:rFonts w:ascii="Times New Roman" w:hAnsi="Times New Roman" w:cs="Times New Roman"/>
            <w:color w:val="0000FF"/>
            <w:sz w:val="24"/>
            <w:szCs w:val="24"/>
            <w:u w:val="single"/>
          </w:rPr>
          <w:t>§ 150.2</w:t>
        </w:r>
      </w:hyperlink>
      <w:r>
        <w:rPr>
          <w:rFonts w:ascii="Times New Roman" w:hAnsi="Times New Roman" w:cs="Times New Roman"/>
          <w:color w:val="000000"/>
          <w:sz w:val="24"/>
          <w:szCs w:val="24"/>
        </w:rPr>
        <w:t xml:space="preserve"> of this part shall be construed to apply to all positions held by a futures commission merchant or its separately organized affiliates in a discretionary account, or in an account which is part of, or participates in, or receives trading advice from a customer trading pr</w:t>
      </w:r>
      <w:r>
        <w:rPr>
          <w:rFonts w:ascii="Times New Roman" w:hAnsi="Times New Roman" w:cs="Times New Roman"/>
          <w:color w:val="000000"/>
          <w:sz w:val="24"/>
          <w:szCs w:val="24"/>
        </w:rPr>
        <w:t>o</w:t>
      </w:r>
      <w:r>
        <w:rPr>
          <w:rFonts w:ascii="Times New Roman" w:hAnsi="Times New Roman" w:cs="Times New Roman"/>
          <w:color w:val="000000"/>
          <w:sz w:val="24"/>
          <w:szCs w:val="24"/>
        </w:rPr>
        <w:t>gram of a futures commission merchant or any of the officers, partners, or employees of such futures commission merchant or its separately organized affiliates, unless: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(1) A trader other than the futures co</w:t>
      </w:r>
      <w:r>
        <w:rPr>
          <w:rFonts w:ascii="Times New Roman" w:hAnsi="Times New Roman" w:cs="Times New Roman"/>
          <w:color w:val="000000"/>
          <w:sz w:val="24"/>
          <w:szCs w:val="24"/>
        </w:rPr>
        <w:t>m</w:t>
      </w:r>
      <w:r>
        <w:rPr>
          <w:rFonts w:ascii="Times New Roman" w:hAnsi="Times New Roman" w:cs="Times New Roman"/>
          <w:color w:val="000000"/>
          <w:sz w:val="24"/>
          <w:szCs w:val="24"/>
        </w:rPr>
        <w:t xml:space="preserve">mission merchant or the </w:t>
      </w:r>
      <w:proofErr w:type="spellStart"/>
      <w:r>
        <w:rPr>
          <w:rFonts w:ascii="Times New Roman" w:hAnsi="Times New Roman" w:cs="Times New Roman"/>
          <w:color w:val="000000"/>
          <w:sz w:val="24"/>
          <w:szCs w:val="24"/>
        </w:rPr>
        <w:t>affilate</w:t>
      </w:r>
      <w:proofErr w:type="spellEnd"/>
      <w:r>
        <w:rPr>
          <w:rFonts w:ascii="Times New Roman" w:hAnsi="Times New Roman" w:cs="Times New Roman"/>
          <w:color w:val="000000"/>
          <w:sz w:val="24"/>
          <w:szCs w:val="24"/>
        </w:rPr>
        <w:t xml:space="preserve"> directs trading in such an account;</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(2) The futures commission merchant or the affiliate maintains only such min</w:t>
      </w:r>
      <w:r>
        <w:rPr>
          <w:rFonts w:ascii="Times New Roman" w:hAnsi="Times New Roman" w:cs="Times New Roman"/>
          <w:color w:val="000000"/>
          <w:sz w:val="24"/>
          <w:szCs w:val="24"/>
        </w:rPr>
        <w:t>i</w:t>
      </w:r>
      <w:r>
        <w:rPr>
          <w:rFonts w:ascii="Times New Roman" w:hAnsi="Times New Roman" w:cs="Times New Roman"/>
          <w:color w:val="000000"/>
          <w:sz w:val="24"/>
          <w:szCs w:val="24"/>
        </w:rPr>
        <w:t xml:space="preserve">mum control over the trading in such an </w:t>
      </w:r>
      <w:r>
        <w:rPr>
          <w:rFonts w:ascii="Times New Roman" w:hAnsi="Times New Roman" w:cs="Times New Roman"/>
          <w:color w:val="000000"/>
          <w:sz w:val="24"/>
          <w:szCs w:val="24"/>
        </w:rPr>
        <w:lastRenderedPageBreak/>
        <w:t>account as is necessary to fulfill its duty to supervise diligently trading in the a</w:t>
      </w:r>
      <w:r>
        <w:rPr>
          <w:rFonts w:ascii="Times New Roman" w:hAnsi="Times New Roman" w:cs="Times New Roman"/>
          <w:color w:val="000000"/>
          <w:sz w:val="24"/>
          <w:szCs w:val="24"/>
        </w:rPr>
        <w:t>c</w:t>
      </w:r>
      <w:r>
        <w:rPr>
          <w:rFonts w:ascii="Times New Roman" w:hAnsi="Times New Roman" w:cs="Times New Roman"/>
          <w:color w:val="000000"/>
          <w:sz w:val="24"/>
          <w:szCs w:val="24"/>
        </w:rPr>
        <w:t>count; and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(3) Each trading decision of the discr</w:t>
      </w:r>
      <w:r>
        <w:rPr>
          <w:rFonts w:ascii="Times New Roman" w:hAnsi="Times New Roman" w:cs="Times New Roman"/>
          <w:color w:val="000000"/>
          <w:sz w:val="24"/>
          <w:szCs w:val="24"/>
        </w:rPr>
        <w:t>e</w:t>
      </w:r>
      <w:r>
        <w:rPr>
          <w:rFonts w:ascii="Times New Roman" w:hAnsi="Times New Roman" w:cs="Times New Roman"/>
          <w:color w:val="000000"/>
          <w:sz w:val="24"/>
          <w:szCs w:val="24"/>
        </w:rPr>
        <w:t>tionary account or the customer trading program is determined independently of all trading decisions in other accounts which the futures commission merchant or the affiliate holds, has a financial i</w:t>
      </w:r>
      <w:r>
        <w:rPr>
          <w:rFonts w:ascii="Times New Roman" w:hAnsi="Times New Roman" w:cs="Times New Roman"/>
          <w:color w:val="000000"/>
          <w:sz w:val="24"/>
          <w:szCs w:val="24"/>
        </w:rPr>
        <w:t>n</w:t>
      </w:r>
      <w:r>
        <w:rPr>
          <w:rFonts w:ascii="Times New Roman" w:hAnsi="Times New Roman" w:cs="Times New Roman"/>
          <w:color w:val="000000"/>
          <w:sz w:val="24"/>
          <w:szCs w:val="24"/>
        </w:rPr>
        <w:t>terest of 10% or more in, or controls.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 Call for information. Upon call by the Commission, the Director of the Division of Market Oversight or the Director's </w:t>
      </w:r>
      <w:proofErr w:type="spellStart"/>
      <w:r>
        <w:rPr>
          <w:rFonts w:ascii="Times New Roman" w:hAnsi="Times New Roman" w:cs="Times New Roman"/>
          <w:color w:val="000000"/>
          <w:sz w:val="24"/>
          <w:szCs w:val="24"/>
        </w:rPr>
        <w:t>delegatee</w:t>
      </w:r>
      <w:proofErr w:type="spellEnd"/>
      <w:r>
        <w:rPr>
          <w:rFonts w:ascii="Times New Roman" w:hAnsi="Times New Roman" w:cs="Times New Roman"/>
          <w:color w:val="000000"/>
          <w:sz w:val="24"/>
          <w:szCs w:val="24"/>
        </w:rPr>
        <w:t>, any person claiming an exemption under paragraphs (c) or (d) of this section must provide to the Commission such information as specified in the call relating to the pos</w:t>
      </w:r>
      <w:r>
        <w:rPr>
          <w:rFonts w:ascii="Times New Roman" w:hAnsi="Times New Roman" w:cs="Times New Roman"/>
          <w:color w:val="000000"/>
          <w:sz w:val="24"/>
          <w:szCs w:val="24"/>
        </w:rPr>
        <w:t>i</w:t>
      </w:r>
      <w:r>
        <w:rPr>
          <w:rFonts w:ascii="Times New Roman" w:hAnsi="Times New Roman" w:cs="Times New Roman"/>
          <w:color w:val="000000"/>
          <w:sz w:val="24"/>
          <w:szCs w:val="24"/>
        </w:rPr>
        <w:t>tions owned or controlled by that person, trading done pursuant to the claimed exem</w:t>
      </w:r>
      <w:r>
        <w:rPr>
          <w:rFonts w:ascii="Times New Roman" w:hAnsi="Times New Roman" w:cs="Times New Roman"/>
          <w:color w:val="000000"/>
          <w:sz w:val="24"/>
          <w:szCs w:val="24"/>
        </w:rPr>
        <w:t>p</w:t>
      </w:r>
      <w:r>
        <w:rPr>
          <w:rFonts w:ascii="Times New Roman" w:hAnsi="Times New Roman" w:cs="Times New Roman"/>
          <w:color w:val="000000"/>
          <w:sz w:val="24"/>
          <w:szCs w:val="24"/>
        </w:rPr>
        <w:t>tion, or the relevant business relationships supporting a claim of exemption.</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hyperlink r:id="rId203" w:history="1">
        <w:r>
          <w:rPr>
            <w:rFonts w:ascii="Times New Roman" w:hAnsi="Times New Roman" w:cs="Times New Roman"/>
            <w:color w:val="0000FF"/>
            <w:sz w:val="24"/>
            <w:szCs w:val="24"/>
            <w:u w:val="single"/>
          </w:rPr>
          <w:t>64 FR 24047</w:t>
        </w:r>
      </w:hyperlink>
      <w:r>
        <w:rPr>
          <w:rFonts w:ascii="Times New Roman" w:hAnsi="Times New Roman" w:cs="Times New Roman"/>
          <w:color w:val="000000"/>
          <w:sz w:val="24"/>
          <w:szCs w:val="24"/>
        </w:rPr>
        <w:t>, May 5, 1999; 67 FR 62353, Oct. 7, 2002]</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w:t>
      </w:r>
      <w:hyperlink r:id="rId204" w:history="1">
        <w:r>
          <w:rPr>
            <w:rFonts w:ascii="Times New Roman" w:hAnsi="Times New Roman" w:cs="Times New Roman"/>
            <w:color w:val="0000FF"/>
            <w:sz w:val="24"/>
            <w:szCs w:val="24"/>
            <w:u w:val="single"/>
          </w:rPr>
          <w:t>52 FR 38923</w:t>
        </w:r>
      </w:hyperlink>
      <w:r>
        <w:rPr>
          <w:rFonts w:ascii="Times New Roman" w:hAnsi="Times New Roman" w:cs="Times New Roman"/>
          <w:color w:val="000000"/>
          <w:sz w:val="24"/>
          <w:szCs w:val="24"/>
        </w:rPr>
        <w:t>, Oct. 20, 1987; 57 FR 44492, Sept. 28, 1992; 58 FR 17981, April 7, 1993; 70 FR 24706, May 11, 2005, unless otherwise noted.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AUTHORITY: </w:t>
      </w:r>
      <w:hyperlink r:id="rId205" w:history="1">
        <w:r>
          <w:rPr>
            <w:rFonts w:ascii="Times New Roman" w:hAnsi="Times New Roman" w:cs="Times New Roman"/>
            <w:color w:val="0000FF"/>
            <w:sz w:val="24"/>
            <w:szCs w:val="24"/>
            <w:u w:val="single"/>
          </w:rPr>
          <w:t>7 U.S.C. 6a</w:t>
        </w:r>
      </w:hyperlink>
      <w:r>
        <w:rPr>
          <w:rFonts w:ascii="Times New Roman" w:hAnsi="Times New Roman" w:cs="Times New Roman"/>
          <w:color w:val="000000"/>
          <w:sz w:val="24"/>
          <w:szCs w:val="24"/>
        </w:rPr>
        <w:t xml:space="preserve">, </w:t>
      </w:r>
      <w:hyperlink r:id="rId206" w:history="1">
        <w:r>
          <w:rPr>
            <w:rFonts w:ascii="Times New Roman" w:hAnsi="Times New Roman" w:cs="Times New Roman"/>
            <w:color w:val="0000FF"/>
            <w:sz w:val="24"/>
            <w:szCs w:val="24"/>
            <w:u w:val="single"/>
          </w:rPr>
          <w:t>6c</w:t>
        </w:r>
      </w:hyperlink>
      <w:r>
        <w:rPr>
          <w:rFonts w:ascii="Times New Roman" w:hAnsi="Times New Roman" w:cs="Times New Roman"/>
          <w:color w:val="000000"/>
          <w:sz w:val="24"/>
          <w:szCs w:val="24"/>
        </w:rPr>
        <w:t xml:space="preserve">, and </w:t>
      </w:r>
      <w:hyperlink r:id="rId207" w:history="1">
        <w:r>
          <w:rPr>
            <w:rFonts w:ascii="Times New Roman" w:hAnsi="Times New Roman" w:cs="Times New Roman"/>
            <w:color w:val="0000FF"/>
            <w:sz w:val="24"/>
            <w:szCs w:val="24"/>
            <w:u w:val="single"/>
          </w:rPr>
          <w:t>12a(5)</w:t>
        </w:r>
      </w:hyperlink>
      <w:r>
        <w:rPr>
          <w:rFonts w:ascii="Times New Roman" w:hAnsi="Times New Roman" w:cs="Times New Roman"/>
          <w:color w:val="000000"/>
          <w:sz w:val="24"/>
          <w:szCs w:val="24"/>
        </w:rPr>
        <w:t xml:space="preserve">, as amended by the Commodity Futures Modernization Act of 2000, Appendix E of </w:t>
      </w:r>
      <w:hyperlink r:id="rId208"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xml:space="preserve">. </w:t>
        </w:r>
        <w:proofErr w:type="gramStart"/>
        <w:r>
          <w:rPr>
            <w:rFonts w:ascii="Times New Roman" w:hAnsi="Times New Roman" w:cs="Times New Roman"/>
            <w:color w:val="0000FF"/>
            <w:sz w:val="24"/>
            <w:szCs w:val="24"/>
            <w:u w:val="single"/>
          </w:rPr>
          <w:t>106-554, 114 Stat. 2763 (2000).</w:t>
        </w:r>
        <w:proofErr w:type="gramEnd"/>
      </w:hyperlink>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 C. F. R. § 150.4, 17 CFR § 150.4</w:t>
      </w: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18" w:name="Document7zzI24115F70334211DEA168E6BA6939"/>
      <w:bookmarkEnd w:id="18"/>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Current through July 17, 2009; 74 FR 35074</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2009 Thomson Reuters </w:t>
      </w: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END OF DOCUMENT</w:t>
      </w: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headerReference w:type="default" r:id="rId209"/>
          <w:footerReference w:type="default" r:id="rId210"/>
          <w:type w:val="continuous"/>
          <w:pgSz w:w="12240" w:h="15840"/>
          <w:pgMar w:top="2520" w:right="1440" w:bottom="1800" w:left="1440" w:header="720" w:footer="720" w:gutter="0"/>
          <w:cols w:num="2" w:space="720"/>
          <w:noEndnote/>
        </w:sectPr>
      </w:pP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headerReference w:type="default" r:id="rId211"/>
          <w:footerReference w:type="default" r:id="rId212"/>
          <w:pgSz w:w="12240" w:h="15840"/>
          <w:pgMar w:top="3024" w:right="1440" w:bottom="1800" w:left="1440" w:header="720" w:footer="720" w:gutter="0"/>
          <w:pgNumType w:start="1"/>
          <w:cols w:space="720"/>
          <w:noEndnote/>
        </w:sectPr>
      </w:pP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bookmarkStart w:id="19" w:name="Document8zzSDUNumber1"/>
      <w:bookmarkEnd w:id="19"/>
    </w:p>
    <w:p w:rsidR="00F509CF" w:rsidRDefault="00246A03">
      <w:pPr>
        <w:widowControl w:val="0"/>
        <w:autoSpaceDE w:val="0"/>
        <w:autoSpaceDN w:val="0"/>
        <w:adjustRightInd w:val="0"/>
        <w:spacing w:after="0" w:line="240" w:lineRule="auto"/>
        <w:rPr>
          <w:rFonts w:ascii="Times New Roman" w:hAnsi="Times New Roman" w:cs="Times New Roman"/>
          <w:color w:val="000000"/>
          <w:sz w:val="24"/>
          <w:szCs w:val="24"/>
        </w:rPr>
      </w:pPr>
      <w:r w:rsidRPr="008234A1">
        <w:rPr>
          <w:rFonts w:ascii="Times New Roman" w:hAnsi="Times New Roman" w:cs="Times New Roman"/>
          <w:color w:val="000000"/>
          <w:sz w:val="24"/>
          <w:szCs w:val="24"/>
        </w:rPr>
        <w:pict>
          <v:shape id="_x0000_i1045" type="#_x0000_t75" style="width:9.75pt;height:9.75pt">
            <v:imagedata r:id="rId130" o:title=""/>
          </v:shape>
        </w:pict>
      </w:r>
    </w:p>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Effective</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 xml:space="preserve">See Text Amendments] </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Code of Federal Regulations </w:t>
      </w:r>
      <w:bookmarkStart w:id="20" w:name="Document9zzCurrentness"/>
      <w:bookmarkEnd w:id="20"/>
      <w:r w:rsidR="008234A1">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\l "Document9zzIC8906290334111DEA168E6BA6939"</w:instrText>
      </w:r>
      <w:r w:rsidR="008234A1">
        <w:rPr>
          <w:rFonts w:ascii="Times New Roman" w:hAnsi="Times New Roman" w:cs="Times New Roman"/>
          <w:color w:val="000000"/>
          <w:sz w:val="24"/>
          <w:szCs w:val="24"/>
        </w:rPr>
        <w:fldChar w:fldCharType="separate"/>
      </w:r>
      <w:proofErr w:type="spellStart"/>
      <w:r>
        <w:rPr>
          <w:rFonts w:ascii="Times New Roman" w:hAnsi="Times New Roman" w:cs="Times New Roman"/>
          <w:color w:val="0000FF"/>
          <w:sz w:val="24"/>
          <w:szCs w:val="24"/>
          <w:u w:val="single"/>
        </w:rPr>
        <w:t>Currentness</w:t>
      </w:r>
      <w:proofErr w:type="spellEnd"/>
      <w:r w:rsidR="008234A1">
        <w:rPr>
          <w:rFonts w:ascii="Times New Roman" w:hAnsi="Times New Roman" w:cs="Times New Roman"/>
          <w:color w:val="000000"/>
          <w:sz w:val="24"/>
          <w:szCs w:val="24"/>
        </w:rPr>
        <w:fldChar w:fldCharType="end"/>
      </w:r>
    </w:p>
    <w:p w:rsidR="00F509CF" w:rsidRDefault="00F509C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Title 17.</w:t>
      </w:r>
      <w:proofErr w:type="gramEnd"/>
      <w:r>
        <w:rPr>
          <w:rFonts w:ascii="Times New Roman" w:hAnsi="Times New Roman" w:cs="Times New Roman"/>
          <w:color w:val="000000"/>
          <w:sz w:val="24"/>
          <w:szCs w:val="24"/>
        </w:rPr>
        <w:t xml:space="preserve"> Commodity and Securities E</w:t>
      </w:r>
      <w:r>
        <w:rPr>
          <w:rFonts w:ascii="Times New Roman" w:hAnsi="Times New Roman" w:cs="Times New Roman"/>
          <w:color w:val="000000"/>
          <w:sz w:val="24"/>
          <w:szCs w:val="24"/>
        </w:rPr>
        <w:t>x</w:t>
      </w:r>
      <w:r>
        <w:rPr>
          <w:rFonts w:ascii="Times New Roman" w:hAnsi="Times New Roman" w:cs="Times New Roman"/>
          <w:color w:val="000000"/>
          <w:sz w:val="24"/>
          <w:szCs w:val="24"/>
        </w:rPr>
        <w:t>changes</w:t>
      </w:r>
    </w:p>
    <w:p w:rsidR="00F509CF" w:rsidRDefault="008234A1">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hyperlink r:id="rId213" w:history="1">
        <w:r w:rsidR="00246A03" w:rsidRPr="008234A1">
          <w:rPr>
            <w:rFonts w:ascii="Times New Roman" w:hAnsi="Times New Roman" w:cs="Times New Roman"/>
            <w:color w:val="0000FF"/>
            <w:sz w:val="24"/>
            <w:szCs w:val="24"/>
            <w:u w:val="single"/>
          </w:rPr>
          <w:pict>
            <v:shape id="_x0000_i1046" type="#_x0000_t75" style="width:9.75pt;height:9.75pt">
              <v:imagedata r:id="rId132" o:title=""/>
            </v:shape>
          </w:pict>
        </w:r>
        <w:r w:rsidR="00F509CF">
          <w:rPr>
            <w:rFonts w:ascii="Times New Roman" w:hAnsi="Times New Roman" w:cs="Times New Roman"/>
            <w:color w:val="0000FF"/>
            <w:sz w:val="24"/>
            <w:szCs w:val="24"/>
            <w:u w:val="single"/>
          </w:rPr>
          <w:t xml:space="preserve"> </w:t>
        </w:r>
        <w:proofErr w:type="gramStart"/>
        <w:r w:rsidR="00F509CF">
          <w:rPr>
            <w:rFonts w:ascii="Times New Roman" w:hAnsi="Times New Roman" w:cs="Times New Roman"/>
            <w:color w:val="0000FF"/>
            <w:sz w:val="24"/>
            <w:szCs w:val="24"/>
            <w:u w:val="single"/>
          </w:rPr>
          <w:t>Chapter I</w:t>
        </w:r>
      </w:hyperlink>
      <w:r w:rsidR="00F509CF">
        <w:rPr>
          <w:rFonts w:ascii="Times New Roman" w:hAnsi="Times New Roman" w:cs="Times New Roman"/>
          <w:color w:val="000000"/>
          <w:sz w:val="24"/>
          <w:szCs w:val="24"/>
        </w:rPr>
        <w:t>.</w:t>
      </w:r>
      <w:proofErr w:type="gramEnd"/>
      <w:r w:rsidR="00F509CF">
        <w:rPr>
          <w:rFonts w:ascii="Times New Roman" w:hAnsi="Times New Roman" w:cs="Times New Roman"/>
          <w:color w:val="000000"/>
          <w:sz w:val="24"/>
          <w:szCs w:val="24"/>
        </w:rPr>
        <w:t xml:space="preserve"> Commodity Futures Tra</w:t>
      </w:r>
      <w:r w:rsidR="00F509CF">
        <w:rPr>
          <w:rFonts w:ascii="Times New Roman" w:hAnsi="Times New Roman" w:cs="Times New Roman"/>
          <w:color w:val="000000"/>
          <w:sz w:val="24"/>
          <w:szCs w:val="24"/>
        </w:rPr>
        <w:t>d</w:t>
      </w:r>
      <w:r w:rsidR="00F509CF">
        <w:rPr>
          <w:rFonts w:ascii="Times New Roman" w:hAnsi="Times New Roman" w:cs="Times New Roman"/>
          <w:color w:val="000000"/>
          <w:sz w:val="24"/>
          <w:szCs w:val="24"/>
        </w:rPr>
        <w:t>ing Commission</w:t>
      </w:r>
    </w:p>
    <w:p w:rsidR="00F509CF" w:rsidRDefault="008234A1">
      <w:pPr>
        <w:widowControl w:val="0"/>
        <w:autoSpaceDE w:val="0"/>
        <w:autoSpaceDN w:val="0"/>
        <w:adjustRightInd w:val="0"/>
        <w:spacing w:after="0" w:line="240" w:lineRule="auto"/>
        <w:ind w:left="540"/>
        <w:jc w:val="both"/>
        <w:rPr>
          <w:rFonts w:ascii="Times New Roman" w:hAnsi="Times New Roman" w:cs="Times New Roman"/>
          <w:color w:val="000000"/>
          <w:sz w:val="24"/>
          <w:szCs w:val="24"/>
        </w:rPr>
      </w:pPr>
      <w:hyperlink r:id="rId214" w:history="1">
        <w:r w:rsidR="00246A03" w:rsidRPr="008234A1">
          <w:rPr>
            <w:rFonts w:ascii="Times New Roman" w:hAnsi="Times New Roman" w:cs="Times New Roman"/>
            <w:color w:val="0000FF"/>
            <w:sz w:val="24"/>
            <w:szCs w:val="24"/>
            <w:u w:val="single"/>
          </w:rPr>
          <w:pict>
            <v:shape id="_x0000_i1047" type="#_x0000_t75" style="width:9.75pt;height:9.75pt">
              <v:imagedata r:id="rId132" o:title=""/>
            </v:shape>
          </w:pict>
        </w:r>
        <w:r w:rsidR="00F509CF">
          <w:rPr>
            <w:rFonts w:ascii="Times New Roman" w:hAnsi="Times New Roman" w:cs="Times New Roman"/>
            <w:color w:val="0000FF"/>
            <w:sz w:val="24"/>
            <w:szCs w:val="24"/>
            <w:u w:val="single"/>
          </w:rPr>
          <w:t xml:space="preserve"> </w:t>
        </w:r>
        <w:proofErr w:type="gramStart"/>
        <w:r w:rsidR="00F509CF">
          <w:rPr>
            <w:rFonts w:ascii="Times New Roman" w:hAnsi="Times New Roman" w:cs="Times New Roman"/>
            <w:color w:val="0000FF"/>
            <w:sz w:val="24"/>
            <w:szCs w:val="24"/>
            <w:u w:val="single"/>
          </w:rPr>
          <w:t>Part 150</w:t>
        </w:r>
      </w:hyperlink>
      <w:r w:rsidR="00F509CF">
        <w:rPr>
          <w:rFonts w:ascii="Times New Roman" w:hAnsi="Times New Roman" w:cs="Times New Roman"/>
          <w:color w:val="000000"/>
          <w:sz w:val="24"/>
          <w:szCs w:val="24"/>
        </w:rPr>
        <w:t>.</w:t>
      </w:r>
      <w:proofErr w:type="gramEnd"/>
      <w:r w:rsidR="00F509CF">
        <w:rPr>
          <w:rFonts w:ascii="Times New Roman" w:hAnsi="Times New Roman" w:cs="Times New Roman"/>
          <w:color w:val="000000"/>
          <w:sz w:val="24"/>
          <w:szCs w:val="24"/>
        </w:rPr>
        <w:t xml:space="preserve"> Limits on Positions </w:t>
      </w:r>
      <w:hyperlink r:id="rId215" w:history="1">
        <w:r w:rsidR="00F509CF">
          <w:rPr>
            <w:rFonts w:ascii="Times New Roman" w:hAnsi="Times New Roman" w:cs="Times New Roman"/>
            <w:color w:val="0000FF"/>
            <w:sz w:val="24"/>
            <w:szCs w:val="24"/>
            <w:u w:val="single"/>
          </w:rPr>
          <w:t xml:space="preserve">(Refs &amp; </w:t>
        </w:r>
        <w:proofErr w:type="spellStart"/>
        <w:r w:rsidR="00F509CF">
          <w:rPr>
            <w:rFonts w:ascii="Times New Roman" w:hAnsi="Times New Roman" w:cs="Times New Roman"/>
            <w:color w:val="0000FF"/>
            <w:sz w:val="24"/>
            <w:szCs w:val="24"/>
            <w:u w:val="single"/>
          </w:rPr>
          <w:t>Annos</w:t>
        </w:r>
        <w:proofErr w:type="spellEnd"/>
        <w:r w:rsidR="00F509CF">
          <w:rPr>
            <w:rFonts w:ascii="Times New Roman" w:hAnsi="Times New Roman" w:cs="Times New Roman"/>
            <w:color w:val="0000FF"/>
            <w:sz w:val="24"/>
            <w:szCs w:val="24"/>
            <w:u w:val="single"/>
          </w:rPr>
          <w:t>)</w:t>
        </w:r>
      </w:hyperlink>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246A03">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8234A1">
        <w:rPr>
          <w:rFonts w:ascii="Times New Roman" w:hAnsi="Times New Roman" w:cs="Times New Roman"/>
          <w:b/>
          <w:bCs/>
          <w:color w:val="000000"/>
          <w:sz w:val="24"/>
          <w:szCs w:val="24"/>
        </w:rPr>
        <w:pict>
          <v:shape id="_x0000_i1048" type="#_x0000_t75" style="width:9.75pt;height:9.75pt">
            <v:imagedata r:id="rId135" o:title=""/>
          </v:shape>
        </w:pict>
      </w:r>
      <w:r w:rsidR="00F509CF">
        <w:rPr>
          <w:rFonts w:ascii="Times New Roman" w:hAnsi="Times New Roman" w:cs="Times New Roman"/>
          <w:b/>
          <w:bCs/>
          <w:color w:val="000000"/>
          <w:sz w:val="24"/>
          <w:szCs w:val="24"/>
        </w:rPr>
        <w:t xml:space="preserve"> § 150.5 Exchange-set speculative position limits.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Exchange limits. Each contract market as a condition of designation under part 5, a</w:t>
      </w:r>
      <w:r>
        <w:rPr>
          <w:rFonts w:ascii="Times New Roman" w:hAnsi="Times New Roman" w:cs="Times New Roman"/>
          <w:color w:val="000000"/>
          <w:sz w:val="24"/>
          <w:szCs w:val="24"/>
        </w:rPr>
        <w:t>p</w:t>
      </w:r>
      <w:r>
        <w:rPr>
          <w:rFonts w:ascii="Times New Roman" w:hAnsi="Times New Roman" w:cs="Times New Roman"/>
          <w:color w:val="000000"/>
          <w:sz w:val="24"/>
          <w:szCs w:val="24"/>
        </w:rPr>
        <w:t>pendix A, of this chapter shall be bylaw, rule, regulation, or resolution limit the maximum number of contracts a person may hold or control, separately or in combination, net long or net short, for the purchase or sale of a commodity for future delivery or, on a f</w:t>
      </w:r>
      <w:r>
        <w:rPr>
          <w:rFonts w:ascii="Times New Roman" w:hAnsi="Times New Roman" w:cs="Times New Roman"/>
          <w:color w:val="000000"/>
          <w:sz w:val="24"/>
          <w:szCs w:val="24"/>
        </w:rPr>
        <w:t>u</w:t>
      </w:r>
      <w:r>
        <w:rPr>
          <w:rFonts w:ascii="Times New Roman" w:hAnsi="Times New Roman" w:cs="Times New Roman"/>
          <w:color w:val="000000"/>
          <w:sz w:val="24"/>
          <w:szCs w:val="24"/>
        </w:rPr>
        <w:t xml:space="preserve">tures-equivalent basis, options thereon. This section shall not apply to a contract market for which position limits are set forth in </w:t>
      </w:r>
      <w:hyperlink r:id="rId216" w:history="1">
        <w:r>
          <w:rPr>
            <w:rFonts w:ascii="Times New Roman" w:hAnsi="Times New Roman" w:cs="Times New Roman"/>
            <w:color w:val="0000FF"/>
            <w:sz w:val="24"/>
            <w:szCs w:val="24"/>
            <w:u w:val="single"/>
          </w:rPr>
          <w:t>§ 150.2</w:t>
        </w:r>
      </w:hyperlink>
      <w:r>
        <w:rPr>
          <w:rFonts w:ascii="Times New Roman" w:hAnsi="Times New Roman" w:cs="Times New Roman"/>
          <w:color w:val="000000"/>
          <w:sz w:val="24"/>
          <w:szCs w:val="24"/>
        </w:rPr>
        <w:t xml:space="preserve"> of this part or for a futures or option contract market on a major foreign currency, for which there is no legal impediment to delivery and for which there exists a highly liquid cash market. Nothing in this section shall be construed to prohibit a contract market from fixing different and separate position limits for different types of futures contracts based on the same commodity, or from fixing different position limits for di</w:t>
      </w:r>
      <w:r>
        <w:rPr>
          <w:rFonts w:ascii="Times New Roman" w:hAnsi="Times New Roman" w:cs="Times New Roman"/>
          <w:color w:val="000000"/>
          <w:sz w:val="24"/>
          <w:szCs w:val="24"/>
        </w:rPr>
        <w:t>f</w:t>
      </w:r>
      <w:r>
        <w:rPr>
          <w:rFonts w:ascii="Times New Roman" w:hAnsi="Times New Roman" w:cs="Times New Roman"/>
          <w:color w:val="000000"/>
          <w:sz w:val="24"/>
          <w:szCs w:val="24"/>
        </w:rPr>
        <w:t xml:space="preserve">ferent futures or for different delivery months, or from exempting positions which </w:t>
      </w:r>
      <w:r>
        <w:rPr>
          <w:rFonts w:ascii="Times New Roman" w:hAnsi="Times New Roman" w:cs="Times New Roman"/>
          <w:color w:val="000000"/>
          <w:sz w:val="24"/>
          <w:szCs w:val="24"/>
        </w:rPr>
        <w:lastRenderedPageBreak/>
        <w:t>are normally known in the trade as “spreads, straddles, or arbitrage,” of from fixing limits which apply to such positions which are different from limits fixed for other pos</w:t>
      </w:r>
      <w:r>
        <w:rPr>
          <w:rFonts w:ascii="Times New Roman" w:hAnsi="Times New Roman" w:cs="Times New Roman"/>
          <w:color w:val="000000"/>
          <w:sz w:val="24"/>
          <w:szCs w:val="24"/>
        </w:rPr>
        <w:t>i</w:t>
      </w:r>
      <w:r>
        <w:rPr>
          <w:rFonts w:ascii="Times New Roman" w:hAnsi="Times New Roman" w:cs="Times New Roman"/>
          <w:color w:val="000000"/>
          <w:sz w:val="24"/>
          <w:szCs w:val="24"/>
        </w:rPr>
        <w:t>tions.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Levels at designation. At the time of its initial designation, a contract market must provide for speculative position limit levels as follows: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(1) For physical delivery contracts, the spot month limit level must be no greater than one-quarter of the estimated spot month deliverable supply, calculated separately for each month to be listed, and for cash settled contracts, the spot month limit level must be no greater than necessary to minimize the potential for manipulation or distortion of the co</w:t>
      </w:r>
      <w:r>
        <w:rPr>
          <w:rFonts w:ascii="Times New Roman" w:hAnsi="Times New Roman" w:cs="Times New Roman"/>
          <w:color w:val="000000"/>
          <w:sz w:val="24"/>
          <w:szCs w:val="24"/>
        </w:rPr>
        <w:t>n</w:t>
      </w:r>
      <w:r>
        <w:rPr>
          <w:rFonts w:ascii="Times New Roman" w:hAnsi="Times New Roman" w:cs="Times New Roman"/>
          <w:color w:val="000000"/>
          <w:sz w:val="24"/>
          <w:szCs w:val="24"/>
        </w:rPr>
        <w:t>tract's or the underlying commodity's price;</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Individual </w:t>
      </w:r>
      <w:proofErr w:type="spellStart"/>
      <w:r>
        <w:rPr>
          <w:rFonts w:ascii="Times New Roman" w:hAnsi="Times New Roman" w:cs="Times New Roman"/>
          <w:color w:val="000000"/>
          <w:sz w:val="24"/>
          <w:szCs w:val="24"/>
        </w:rPr>
        <w:t>nonspot</w:t>
      </w:r>
      <w:proofErr w:type="spellEnd"/>
      <w:r>
        <w:rPr>
          <w:rFonts w:ascii="Times New Roman" w:hAnsi="Times New Roman" w:cs="Times New Roman"/>
          <w:color w:val="000000"/>
          <w:sz w:val="24"/>
          <w:szCs w:val="24"/>
        </w:rPr>
        <w:t xml:space="preserve"> or all-months-combined levels must be no greater than 1,000 contracts for tangible commodities other than energy products;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Individual </w:t>
      </w:r>
      <w:proofErr w:type="spellStart"/>
      <w:r>
        <w:rPr>
          <w:rFonts w:ascii="Times New Roman" w:hAnsi="Times New Roman" w:cs="Times New Roman"/>
          <w:color w:val="000000"/>
          <w:sz w:val="24"/>
          <w:szCs w:val="24"/>
        </w:rPr>
        <w:t>nonspot</w:t>
      </w:r>
      <w:proofErr w:type="spellEnd"/>
      <w:r>
        <w:rPr>
          <w:rFonts w:ascii="Times New Roman" w:hAnsi="Times New Roman" w:cs="Times New Roman"/>
          <w:color w:val="000000"/>
          <w:sz w:val="24"/>
          <w:szCs w:val="24"/>
        </w:rPr>
        <w:t xml:space="preserve"> or all-months-combined levels must be no greater than 5,000 contracts for energy products and </w:t>
      </w:r>
      <w:proofErr w:type="spellStart"/>
      <w:r>
        <w:rPr>
          <w:rFonts w:ascii="Times New Roman" w:hAnsi="Times New Roman" w:cs="Times New Roman"/>
          <w:color w:val="000000"/>
          <w:sz w:val="24"/>
          <w:szCs w:val="24"/>
        </w:rPr>
        <w:t>nontangible</w:t>
      </w:r>
      <w:proofErr w:type="spellEnd"/>
      <w:r>
        <w:rPr>
          <w:rFonts w:ascii="Times New Roman" w:hAnsi="Times New Roman" w:cs="Times New Roman"/>
          <w:color w:val="000000"/>
          <w:sz w:val="24"/>
          <w:szCs w:val="24"/>
        </w:rPr>
        <w:t xml:space="preserve"> commodities, including contracts on financial products.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Adjustments to levels. Contract markets may adjust their speculative limit levels as follows: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For physical delivery contracts, the spot month limit level must be no greater than one-quarter of the estimated spot month deliverable supply, calculated separately for each month to be listed, and for cash settled contracts, the spot month limit level must be no greater than necessary to minimize the potential for manipulation or distortion of the co</w:t>
      </w:r>
      <w:r>
        <w:rPr>
          <w:rFonts w:ascii="Times New Roman" w:hAnsi="Times New Roman" w:cs="Times New Roman"/>
          <w:color w:val="000000"/>
          <w:sz w:val="24"/>
          <w:szCs w:val="24"/>
        </w:rPr>
        <w:t>n</w:t>
      </w:r>
      <w:r>
        <w:rPr>
          <w:rFonts w:ascii="Times New Roman" w:hAnsi="Times New Roman" w:cs="Times New Roman"/>
          <w:color w:val="000000"/>
          <w:sz w:val="24"/>
          <w:szCs w:val="24"/>
        </w:rPr>
        <w:t>tract's or the underlying commodity's price; and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Individual </w:t>
      </w:r>
      <w:proofErr w:type="spellStart"/>
      <w:r>
        <w:rPr>
          <w:rFonts w:ascii="Times New Roman" w:hAnsi="Times New Roman" w:cs="Times New Roman"/>
          <w:color w:val="000000"/>
          <w:sz w:val="24"/>
          <w:szCs w:val="24"/>
        </w:rPr>
        <w:t>nonspot</w:t>
      </w:r>
      <w:proofErr w:type="spellEnd"/>
      <w:r>
        <w:rPr>
          <w:rFonts w:ascii="Times New Roman" w:hAnsi="Times New Roman" w:cs="Times New Roman"/>
          <w:color w:val="000000"/>
          <w:sz w:val="24"/>
          <w:szCs w:val="24"/>
        </w:rPr>
        <w:t xml:space="preserve"> or all-months-combined levels must be no greater than 10% of the average co</w:t>
      </w:r>
      <w:r>
        <w:rPr>
          <w:rFonts w:ascii="Times New Roman" w:hAnsi="Times New Roman" w:cs="Times New Roman"/>
          <w:color w:val="000000"/>
          <w:sz w:val="24"/>
          <w:szCs w:val="24"/>
        </w:rPr>
        <w:t>m</w:t>
      </w:r>
      <w:r>
        <w:rPr>
          <w:rFonts w:ascii="Times New Roman" w:hAnsi="Times New Roman" w:cs="Times New Roman"/>
          <w:color w:val="000000"/>
          <w:sz w:val="24"/>
          <w:szCs w:val="24"/>
        </w:rPr>
        <w:t>bined futures and delta-adjusted option month-end open interest for the most r</w:t>
      </w:r>
      <w:r>
        <w:rPr>
          <w:rFonts w:ascii="Times New Roman" w:hAnsi="Times New Roman" w:cs="Times New Roman"/>
          <w:color w:val="000000"/>
          <w:sz w:val="24"/>
          <w:szCs w:val="24"/>
        </w:rPr>
        <w:t>e</w:t>
      </w:r>
      <w:r>
        <w:rPr>
          <w:rFonts w:ascii="Times New Roman" w:hAnsi="Times New Roman" w:cs="Times New Roman"/>
          <w:color w:val="000000"/>
          <w:sz w:val="24"/>
          <w:szCs w:val="24"/>
        </w:rPr>
        <w:t>cent calendar year up to 25,000 contracts with a marginal increase of 2.5% th</w:t>
      </w:r>
      <w:r>
        <w:rPr>
          <w:rFonts w:ascii="Times New Roman" w:hAnsi="Times New Roman" w:cs="Times New Roman"/>
          <w:color w:val="000000"/>
          <w:sz w:val="24"/>
          <w:szCs w:val="24"/>
        </w:rPr>
        <w:t>e</w:t>
      </w:r>
      <w:r>
        <w:rPr>
          <w:rFonts w:ascii="Times New Roman" w:hAnsi="Times New Roman" w:cs="Times New Roman"/>
          <w:color w:val="000000"/>
          <w:sz w:val="24"/>
          <w:szCs w:val="24"/>
        </w:rPr>
        <w:t>reafter or be based on position sizes customarily held by speculative traders on the contract market, which shall not be extraordinarily large relative to total open positions in the contract, the breadth and liquidity of the cash market underlying each delivery month and the opportunity for arbitrage between the futures market and the cash market in the commodity underlying the futures contract.</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Hedge exemption.</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No exchange bylaw, rule, regulation, or resolution adopted pursuant to this section shall apply to bona fide hedging positions as defined by a contract market in accordance with </w:t>
      </w:r>
      <w:hyperlink r:id="rId217" w:history="1">
        <w:r>
          <w:rPr>
            <w:rFonts w:ascii="Times New Roman" w:hAnsi="Times New Roman" w:cs="Times New Roman"/>
            <w:color w:val="0000FF"/>
            <w:sz w:val="24"/>
            <w:szCs w:val="24"/>
            <w:u w:val="single"/>
          </w:rPr>
          <w:t>§ 1.3(z)(1)</w:t>
        </w:r>
      </w:hyperlink>
      <w:r>
        <w:rPr>
          <w:rFonts w:ascii="Times New Roman" w:hAnsi="Times New Roman" w:cs="Times New Roman"/>
          <w:color w:val="000000"/>
          <w:sz w:val="24"/>
          <w:szCs w:val="24"/>
        </w:rPr>
        <w:t xml:space="preserve"> of this chapter. Provided, however, that the contract market may limit bona fide hedging positions or any other positions which have been exempted pursuant to </w:t>
      </w:r>
      <w:r>
        <w:rPr>
          <w:rFonts w:ascii="Times New Roman" w:hAnsi="Times New Roman" w:cs="Times New Roman"/>
          <w:color w:val="000000"/>
          <w:sz w:val="24"/>
          <w:szCs w:val="24"/>
        </w:rPr>
        <w:lastRenderedPageBreak/>
        <w:t>paragraph (e) of this section which it d</w:t>
      </w:r>
      <w:r>
        <w:rPr>
          <w:rFonts w:ascii="Times New Roman" w:hAnsi="Times New Roman" w:cs="Times New Roman"/>
          <w:color w:val="000000"/>
          <w:sz w:val="24"/>
          <w:szCs w:val="24"/>
        </w:rPr>
        <w:t>e</w:t>
      </w:r>
      <w:r>
        <w:rPr>
          <w:rFonts w:ascii="Times New Roman" w:hAnsi="Times New Roman" w:cs="Times New Roman"/>
          <w:color w:val="000000"/>
          <w:sz w:val="24"/>
          <w:szCs w:val="24"/>
        </w:rPr>
        <w:t>termines are not in accord with sound commercial practices or exceed an amount which may be established and liquidated in an orderly fashion.</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(2) Traders must apply to the contract market for exemption from its specul</w:t>
      </w:r>
      <w:r>
        <w:rPr>
          <w:rFonts w:ascii="Times New Roman" w:hAnsi="Times New Roman" w:cs="Times New Roman"/>
          <w:color w:val="000000"/>
          <w:sz w:val="24"/>
          <w:szCs w:val="24"/>
        </w:rPr>
        <w:t>a</w:t>
      </w:r>
      <w:r>
        <w:rPr>
          <w:rFonts w:ascii="Times New Roman" w:hAnsi="Times New Roman" w:cs="Times New Roman"/>
          <w:color w:val="000000"/>
          <w:sz w:val="24"/>
          <w:szCs w:val="24"/>
        </w:rPr>
        <w:t>tive position limit rules. In considering whether to grant such an application for exemption, contract markets must take into account the factors contained in p</w:t>
      </w:r>
      <w:r>
        <w:rPr>
          <w:rFonts w:ascii="Times New Roman" w:hAnsi="Times New Roman" w:cs="Times New Roman"/>
          <w:color w:val="000000"/>
          <w:sz w:val="24"/>
          <w:szCs w:val="24"/>
        </w:rPr>
        <w:t>a</w:t>
      </w:r>
      <w:r>
        <w:rPr>
          <w:rFonts w:ascii="Times New Roman" w:hAnsi="Times New Roman" w:cs="Times New Roman"/>
          <w:color w:val="000000"/>
          <w:sz w:val="24"/>
          <w:szCs w:val="24"/>
        </w:rPr>
        <w:t>ragraph (d)(1) of this section.</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 Trader accountability exemption. Twelve months after a contract market's initial listing for trading or at any time thereafter, contract markets may submit for Commission a</w:t>
      </w:r>
      <w:r>
        <w:rPr>
          <w:rFonts w:ascii="Times New Roman" w:hAnsi="Times New Roman" w:cs="Times New Roman"/>
          <w:color w:val="000000"/>
          <w:sz w:val="24"/>
          <w:szCs w:val="24"/>
        </w:rPr>
        <w:t>p</w:t>
      </w:r>
      <w:r>
        <w:rPr>
          <w:rFonts w:ascii="Times New Roman" w:hAnsi="Times New Roman" w:cs="Times New Roman"/>
          <w:color w:val="000000"/>
          <w:sz w:val="24"/>
          <w:szCs w:val="24"/>
        </w:rPr>
        <w:t xml:space="preserve">proval under section 5a(a)(12) of the Act and </w:t>
      </w:r>
      <w:hyperlink r:id="rId218" w:history="1">
        <w:r>
          <w:rPr>
            <w:rFonts w:ascii="Times New Roman" w:hAnsi="Times New Roman" w:cs="Times New Roman"/>
            <w:color w:val="0000FF"/>
            <w:sz w:val="24"/>
            <w:szCs w:val="24"/>
            <w:u w:val="single"/>
          </w:rPr>
          <w:t>§ 1.41</w:t>
        </w:r>
      </w:hyperlink>
      <w:r>
        <w:rPr>
          <w:rFonts w:ascii="Times New Roman" w:hAnsi="Times New Roman" w:cs="Times New Roman"/>
          <w:color w:val="000000"/>
          <w:sz w:val="24"/>
          <w:szCs w:val="24"/>
        </w:rPr>
        <w:t>(b) of this chapter a bylaw, rule, reg</w:t>
      </w:r>
      <w:r>
        <w:rPr>
          <w:rFonts w:ascii="Times New Roman" w:hAnsi="Times New Roman" w:cs="Times New Roman"/>
          <w:color w:val="000000"/>
          <w:sz w:val="24"/>
          <w:szCs w:val="24"/>
        </w:rPr>
        <w:t>u</w:t>
      </w:r>
      <w:r>
        <w:rPr>
          <w:rFonts w:ascii="Times New Roman" w:hAnsi="Times New Roman" w:cs="Times New Roman"/>
          <w:color w:val="000000"/>
          <w:sz w:val="24"/>
          <w:szCs w:val="24"/>
        </w:rPr>
        <w:t>lation, or resolution, substituting for the p</w:t>
      </w:r>
      <w:r>
        <w:rPr>
          <w:rFonts w:ascii="Times New Roman" w:hAnsi="Times New Roman" w:cs="Times New Roman"/>
          <w:color w:val="000000"/>
          <w:sz w:val="24"/>
          <w:szCs w:val="24"/>
        </w:rPr>
        <w:t>o</w:t>
      </w:r>
      <w:r>
        <w:rPr>
          <w:rFonts w:ascii="Times New Roman" w:hAnsi="Times New Roman" w:cs="Times New Roman"/>
          <w:color w:val="000000"/>
          <w:sz w:val="24"/>
          <w:szCs w:val="24"/>
        </w:rPr>
        <w:t>sition limits required under paragraphs (a), (b) and (c) of this section an exchange rule requiring traders to be accountable for large positions as follows: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(1) For futures and option contracts on a financial instrument or product having an average open interest of 50,000 contracts and an average daily trading volume of 100,000 contracts and a very highly li</w:t>
      </w:r>
      <w:r>
        <w:rPr>
          <w:rFonts w:ascii="Times New Roman" w:hAnsi="Times New Roman" w:cs="Times New Roman"/>
          <w:color w:val="000000"/>
          <w:sz w:val="24"/>
          <w:szCs w:val="24"/>
        </w:rPr>
        <w:t>q</w:t>
      </w:r>
      <w:r>
        <w:rPr>
          <w:rFonts w:ascii="Times New Roman" w:hAnsi="Times New Roman" w:cs="Times New Roman"/>
          <w:color w:val="000000"/>
          <w:sz w:val="24"/>
          <w:szCs w:val="24"/>
        </w:rPr>
        <w:t>uid cash market, an exchange bylaw, regulation or resolution requiring traders to provide information about their pos</w:t>
      </w:r>
      <w:r>
        <w:rPr>
          <w:rFonts w:ascii="Times New Roman" w:hAnsi="Times New Roman" w:cs="Times New Roman"/>
          <w:color w:val="000000"/>
          <w:sz w:val="24"/>
          <w:szCs w:val="24"/>
        </w:rPr>
        <w:t>i</w:t>
      </w:r>
      <w:r>
        <w:rPr>
          <w:rFonts w:ascii="Times New Roman" w:hAnsi="Times New Roman" w:cs="Times New Roman"/>
          <w:color w:val="000000"/>
          <w:sz w:val="24"/>
          <w:szCs w:val="24"/>
        </w:rPr>
        <w:t>tion upon request by the exchange;</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For futures and option contracts on a financial instrument or product or on an intangible commodity having an average </w:t>
      </w:r>
      <w:proofErr w:type="spellStart"/>
      <w:r>
        <w:rPr>
          <w:rFonts w:ascii="Times New Roman" w:hAnsi="Times New Roman" w:cs="Times New Roman"/>
          <w:color w:val="000000"/>
          <w:sz w:val="24"/>
          <w:szCs w:val="24"/>
        </w:rPr>
        <w:t>moth</w:t>
      </w:r>
      <w:proofErr w:type="spellEnd"/>
      <w:r>
        <w:rPr>
          <w:rFonts w:ascii="Times New Roman" w:hAnsi="Times New Roman" w:cs="Times New Roman"/>
          <w:color w:val="000000"/>
          <w:sz w:val="24"/>
          <w:szCs w:val="24"/>
        </w:rPr>
        <w:t xml:space="preserve">-end open interest of 50,000 and an average daily volume of 25,000 contracts </w:t>
      </w:r>
      <w:r>
        <w:rPr>
          <w:rFonts w:ascii="Times New Roman" w:hAnsi="Times New Roman" w:cs="Times New Roman"/>
          <w:color w:val="000000"/>
          <w:sz w:val="24"/>
          <w:szCs w:val="24"/>
        </w:rPr>
        <w:lastRenderedPageBreak/>
        <w:t>and a highly liquid cash market, an e</w:t>
      </w:r>
      <w:r>
        <w:rPr>
          <w:rFonts w:ascii="Times New Roman" w:hAnsi="Times New Roman" w:cs="Times New Roman"/>
          <w:color w:val="000000"/>
          <w:sz w:val="24"/>
          <w:szCs w:val="24"/>
        </w:rPr>
        <w:t>x</w:t>
      </w:r>
      <w:r>
        <w:rPr>
          <w:rFonts w:ascii="Times New Roman" w:hAnsi="Times New Roman" w:cs="Times New Roman"/>
          <w:color w:val="000000"/>
          <w:sz w:val="24"/>
          <w:szCs w:val="24"/>
        </w:rPr>
        <w:t>change bylaw, regulation or resolution requiring traders to provide information about their position upon request by the exchange and to consent to halt increa</w:t>
      </w:r>
      <w:r>
        <w:rPr>
          <w:rFonts w:ascii="Times New Roman" w:hAnsi="Times New Roman" w:cs="Times New Roman"/>
          <w:color w:val="000000"/>
          <w:sz w:val="24"/>
          <w:szCs w:val="24"/>
        </w:rPr>
        <w:t>s</w:t>
      </w:r>
      <w:r>
        <w:rPr>
          <w:rFonts w:ascii="Times New Roman" w:hAnsi="Times New Roman" w:cs="Times New Roman"/>
          <w:color w:val="000000"/>
          <w:sz w:val="24"/>
          <w:szCs w:val="24"/>
        </w:rPr>
        <w:t>ing further a trader's positions if so o</w:t>
      </w:r>
      <w:r>
        <w:rPr>
          <w:rFonts w:ascii="Times New Roman" w:hAnsi="Times New Roman" w:cs="Times New Roman"/>
          <w:color w:val="000000"/>
          <w:sz w:val="24"/>
          <w:szCs w:val="24"/>
        </w:rPr>
        <w:t>r</w:t>
      </w:r>
      <w:r>
        <w:rPr>
          <w:rFonts w:ascii="Times New Roman" w:hAnsi="Times New Roman" w:cs="Times New Roman"/>
          <w:color w:val="000000"/>
          <w:sz w:val="24"/>
          <w:szCs w:val="24"/>
        </w:rPr>
        <w:t>dered by the exchange;</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(3) For futures and option contracts on a tangible commodity, including but not limited to metals, energy products, or international soft agricultural products, having an average month-end open i</w:t>
      </w:r>
      <w:r>
        <w:rPr>
          <w:rFonts w:ascii="Times New Roman" w:hAnsi="Times New Roman" w:cs="Times New Roman"/>
          <w:color w:val="000000"/>
          <w:sz w:val="24"/>
          <w:szCs w:val="24"/>
        </w:rPr>
        <w:t>n</w:t>
      </w:r>
      <w:r>
        <w:rPr>
          <w:rFonts w:ascii="Times New Roman" w:hAnsi="Times New Roman" w:cs="Times New Roman"/>
          <w:color w:val="000000"/>
          <w:sz w:val="24"/>
          <w:szCs w:val="24"/>
        </w:rPr>
        <w:t>terest of 50,000 contracts and an average daily volume of 5,000 contracts and a liquid cash market, an exchange bylaw, regulation or resolution requiring traders to provide information about their pos</w:t>
      </w:r>
      <w:r>
        <w:rPr>
          <w:rFonts w:ascii="Times New Roman" w:hAnsi="Times New Roman" w:cs="Times New Roman"/>
          <w:color w:val="000000"/>
          <w:sz w:val="24"/>
          <w:szCs w:val="24"/>
        </w:rPr>
        <w:t>i</w:t>
      </w:r>
      <w:r>
        <w:rPr>
          <w:rFonts w:ascii="Times New Roman" w:hAnsi="Times New Roman" w:cs="Times New Roman"/>
          <w:color w:val="000000"/>
          <w:sz w:val="24"/>
          <w:szCs w:val="24"/>
        </w:rPr>
        <w:t>tion upon request by the exchange and to consent to halt increasing further a tra</w:t>
      </w:r>
      <w:r>
        <w:rPr>
          <w:rFonts w:ascii="Times New Roman" w:hAnsi="Times New Roman" w:cs="Times New Roman"/>
          <w:color w:val="000000"/>
          <w:sz w:val="24"/>
          <w:szCs w:val="24"/>
        </w:rPr>
        <w:t>d</w:t>
      </w:r>
      <w:r>
        <w:rPr>
          <w:rFonts w:ascii="Times New Roman" w:hAnsi="Times New Roman" w:cs="Times New Roman"/>
          <w:color w:val="000000"/>
          <w:sz w:val="24"/>
          <w:szCs w:val="24"/>
        </w:rPr>
        <w:t>er's positions if so ordered by the e</w:t>
      </w:r>
      <w:r>
        <w:rPr>
          <w:rFonts w:ascii="Times New Roman" w:hAnsi="Times New Roman" w:cs="Times New Roman"/>
          <w:color w:val="000000"/>
          <w:sz w:val="24"/>
          <w:szCs w:val="24"/>
        </w:rPr>
        <w:t>x</w:t>
      </w:r>
      <w:r>
        <w:rPr>
          <w:rFonts w:ascii="Times New Roman" w:hAnsi="Times New Roman" w:cs="Times New Roman"/>
          <w:color w:val="000000"/>
          <w:sz w:val="24"/>
          <w:szCs w:val="24"/>
        </w:rPr>
        <w:t>change, provided, however, such contract markets are not exempt from the r</w:t>
      </w:r>
      <w:r>
        <w:rPr>
          <w:rFonts w:ascii="Times New Roman" w:hAnsi="Times New Roman" w:cs="Times New Roman"/>
          <w:color w:val="000000"/>
          <w:sz w:val="24"/>
          <w:szCs w:val="24"/>
        </w:rPr>
        <w:t>e</w:t>
      </w:r>
      <w:r>
        <w:rPr>
          <w:rFonts w:ascii="Times New Roman" w:hAnsi="Times New Roman" w:cs="Times New Roman"/>
          <w:color w:val="000000"/>
          <w:sz w:val="24"/>
          <w:szCs w:val="24"/>
        </w:rPr>
        <w:t>quirement of paragraphs (b) or (c) that they adopt an exchange bylaw, regulation or resolution setting a spot month sp</w:t>
      </w:r>
      <w:r>
        <w:rPr>
          <w:rFonts w:ascii="Times New Roman" w:hAnsi="Times New Roman" w:cs="Times New Roman"/>
          <w:color w:val="000000"/>
          <w:sz w:val="24"/>
          <w:szCs w:val="24"/>
        </w:rPr>
        <w:t>e</w:t>
      </w:r>
      <w:r>
        <w:rPr>
          <w:rFonts w:ascii="Times New Roman" w:hAnsi="Times New Roman" w:cs="Times New Roman"/>
          <w:color w:val="000000"/>
          <w:sz w:val="24"/>
          <w:szCs w:val="24"/>
        </w:rPr>
        <w:t xml:space="preserve">culative position limit with a level no </w:t>
      </w:r>
      <w:proofErr w:type="spellStart"/>
      <w:r>
        <w:rPr>
          <w:rFonts w:ascii="Times New Roman" w:hAnsi="Times New Roman" w:cs="Times New Roman"/>
          <w:color w:val="000000"/>
          <w:sz w:val="24"/>
          <w:szCs w:val="24"/>
        </w:rPr>
        <w:t>grater</w:t>
      </w:r>
      <w:proofErr w:type="spellEnd"/>
      <w:r>
        <w:rPr>
          <w:rFonts w:ascii="Times New Roman" w:hAnsi="Times New Roman" w:cs="Times New Roman"/>
          <w:color w:val="000000"/>
          <w:sz w:val="24"/>
          <w:szCs w:val="24"/>
        </w:rPr>
        <w:t xml:space="preserve"> than one quarter of the estimated spot month deliverable supply;</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(4) For purposes of this paragraph, tra</w:t>
      </w:r>
      <w:r>
        <w:rPr>
          <w:rFonts w:ascii="Times New Roman" w:hAnsi="Times New Roman" w:cs="Times New Roman"/>
          <w:color w:val="000000"/>
          <w:sz w:val="24"/>
          <w:szCs w:val="24"/>
        </w:rPr>
        <w:t>d</w:t>
      </w:r>
      <w:r>
        <w:rPr>
          <w:rFonts w:ascii="Times New Roman" w:hAnsi="Times New Roman" w:cs="Times New Roman"/>
          <w:color w:val="000000"/>
          <w:sz w:val="24"/>
          <w:szCs w:val="24"/>
        </w:rPr>
        <w:t>ing volume and open interest shall be calculated by combining the month-end futures and its related option contract, on a delta-adjusted basis, for all months listed during the most recent calendar year.</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 Other exemptions. Exchange speculative position limits adopted pursuant to this se</w:t>
      </w:r>
      <w:r>
        <w:rPr>
          <w:rFonts w:ascii="Times New Roman" w:hAnsi="Times New Roman" w:cs="Times New Roman"/>
          <w:color w:val="000000"/>
          <w:sz w:val="24"/>
          <w:szCs w:val="24"/>
        </w:rPr>
        <w:t>c</w:t>
      </w:r>
      <w:r>
        <w:rPr>
          <w:rFonts w:ascii="Times New Roman" w:hAnsi="Times New Roman" w:cs="Times New Roman"/>
          <w:color w:val="000000"/>
          <w:sz w:val="24"/>
          <w:szCs w:val="24"/>
        </w:rPr>
        <w:t xml:space="preserve">tion shall not apply to any position acquired </w:t>
      </w:r>
      <w:r>
        <w:rPr>
          <w:rFonts w:ascii="Times New Roman" w:hAnsi="Times New Roman" w:cs="Times New Roman"/>
          <w:color w:val="000000"/>
          <w:sz w:val="24"/>
          <w:szCs w:val="24"/>
        </w:rPr>
        <w:lastRenderedPageBreak/>
        <w:t xml:space="preserve">in good faith prior to the effective date of any bylaw, rule, regulation, or resolution which specifies such limit or to a person that is registered as a futures commission merchant or as a floor broker under authority of the Act except to the extent that transactions made by such person are made on behalf of or for the account or benefit of such person. In addition to the express exemptions specified in this section, a contract market may propose such other exemptions from the requirements of this section consistent with the purposes of this section and shall submit such rules Commission review under section 5a(1)(12) of the Act and </w:t>
      </w:r>
      <w:hyperlink r:id="rId219" w:history="1">
        <w:r>
          <w:rPr>
            <w:rFonts w:ascii="Times New Roman" w:hAnsi="Times New Roman" w:cs="Times New Roman"/>
            <w:color w:val="0000FF"/>
            <w:sz w:val="24"/>
            <w:szCs w:val="24"/>
            <w:u w:val="single"/>
          </w:rPr>
          <w:t>§ 1.41</w:t>
        </w:r>
      </w:hyperlink>
      <w:r>
        <w:rPr>
          <w:rFonts w:ascii="Times New Roman" w:hAnsi="Times New Roman" w:cs="Times New Roman"/>
          <w:color w:val="000000"/>
          <w:sz w:val="24"/>
          <w:szCs w:val="24"/>
        </w:rPr>
        <w:t>(b) of this chapter.</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 Aggregation. In determining whether any person has exceeded the limits established under this section, all positions in accounts for which such person by power of attorney or otherwise directly or indirectly controls trading shall be included with the positions held by such person; such limits upon pos</w:t>
      </w:r>
      <w:r>
        <w:rPr>
          <w:rFonts w:ascii="Times New Roman" w:hAnsi="Times New Roman" w:cs="Times New Roman"/>
          <w:color w:val="000000"/>
          <w:sz w:val="24"/>
          <w:szCs w:val="24"/>
        </w:rPr>
        <w:t>i</w:t>
      </w:r>
      <w:r>
        <w:rPr>
          <w:rFonts w:ascii="Times New Roman" w:hAnsi="Times New Roman" w:cs="Times New Roman"/>
          <w:color w:val="000000"/>
          <w:sz w:val="24"/>
          <w:szCs w:val="24"/>
        </w:rPr>
        <w:t>tions shall apply to positions held by two or more person acting pursuant to an express or implied agreement or understanding, the same as if the positions were held by a single person.</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hyperlink r:id="rId220" w:history="1">
        <w:r>
          <w:rPr>
            <w:rFonts w:ascii="Times New Roman" w:hAnsi="Times New Roman" w:cs="Times New Roman"/>
            <w:color w:val="0000FF"/>
            <w:sz w:val="24"/>
            <w:szCs w:val="24"/>
            <w:u w:val="single"/>
          </w:rPr>
          <w:t>64 FR 24048</w:t>
        </w:r>
      </w:hyperlink>
      <w:r>
        <w:rPr>
          <w:rFonts w:ascii="Times New Roman" w:hAnsi="Times New Roman" w:cs="Times New Roman"/>
          <w:color w:val="000000"/>
          <w:sz w:val="24"/>
          <w:szCs w:val="24"/>
        </w:rPr>
        <w:t>, May 5, 1999]</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 52 FR 38923, Oct. 20, 1987; 57 FR 44492, Sept. 28, 1992; 58 FR 17981, April 7, 1993; 70 FR 24706, May 11, 2005, unless otherwise noted.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AUTHORITY: </w:t>
      </w:r>
      <w:hyperlink r:id="rId221" w:history="1">
        <w:r>
          <w:rPr>
            <w:rFonts w:ascii="Times New Roman" w:hAnsi="Times New Roman" w:cs="Times New Roman"/>
            <w:color w:val="0000FF"/>
            <w:sz w:val="24"/>
            <w:szCs w:val="24"/>
            <w:u w:val="single"/>
          </w:rPr>
          <w:t>7 U.S.C. 6a</w:t>
        </w:r>
      </w:hyperlink>
      <w:r>
        <w:rPr>
          <w:rFonts w:ascii="Times New Roman" w:hAnsi="Times New Roman" w:cs="Times New Roman"/>
          <w:color w:val="000000"/>
          <w:sz w:val="24"/>
          <w:szCs w:val="24"/>
        </w:rPr>
        <w:t xml:space="preserve">, </w:t>
      </w:r>
      <w:hyperlink r:id="rId222" w:history="1">
        <w:r>
          <w:rPr>
            <w:rFonts w:ascii="Times New Roman" w:hAnsi="Times New Roman" w:cs="Times New Roman"/>
            <w:color w:val="0000FF"/>
            <w:sz w:val="24"/>
            <w:szCs w:val="24"/>
            <w:u w:val="single"/>
          </w:rPr>
          <w:t>6c</w:t>
        </w:r>
      </w:hyperlink>
      <w:r>
        <w:rPr>
          <w:rFonts w:ascii="Times New Roman" w:hAnsi="Times New Roman" w:cs="Times New Roman"/>
          <w:color w:val="000000"/>
          <w:sz w:val="24"/>
          <w:szCs w:val="24"/>
        </w:rPr>
        <w:t xml:space="preserve">, and </w:t>
      </w:r>
      <w:hyperlink r:id="rId223" w:history="1">
        <w:r>
          <w:rPr>
            <w:rFonts w:ascii="Times New Roman" w:hAnsi="Times New Roman" w:cs="Times New Roman"/>
            <w:color w:val="0000FF"/>
            <w:sz w:val="24"/>
            <w:szCs w:val="24"/>
            <w:u w:val="single"/>
          </w:rPr>
          <w:t>12a(5)</w:t>
        </w:r>
      </w:hyperlink>
      <w:r>
        <w:rPr>
          <w:rFonts w:ascii="Times New Roman" w:hAnsi="Times New Roman" w:cs="Times New Roman"/>
          <w:color w:val="000000"/>
          <w:sz w:val="24"/>
          <w:szCs w:val="24"/>
        </w:rPr>
        <w:t xml:space="preserve">, as amended by the Commodity Futures Modernization Act of 2000, Appendix E of </w:t>
      </w:r>
      <w:hyperlink r:id="rId224"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xml:space="preserve">. </w:t>
        </w:r>
        <w:proofErr w:type="gramStart"/>
        <w:r>
          <w:rPr>
            <w:rFonts w:ascii="Times New Roman" w:hAnsi="Times New Roman" w:cs="Times New Roman"/>
            <w:color w:val="0000FF"/>
            <w:sz w:val="24"/>
            <w:szCs w:val="24"/>
            <w:u w:val="single"/>
          </w:rPr>
          <w:t>106-554, 114 Stat. 2763 (2000).</w:t>
        </w:r>
        <w:proofErr w:type="gramEnd"/>
      </w:hyperlink>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17 C. F. R. § 150.5, 17 CFR § 150.5</w:t>
      </w: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21" w:name="Document9zzIC8906290334111DEA168E6BA6939"/>
      <w:bookmarkEnd w:id="21"/>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Current through July 17, 2009; 74 FR 35074</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2009 Thomson Reuters </w:t>
      </w: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END OF DOCUMENT</w:t>
      </w: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headerReference w:type="default" r:id="rId225"/>
          <w:footerReference w:type="default" r:id="rId226"/>
          <w:type w:val="continuous"/>
          <w:pgSz w:w="12240" w:h="15840"/>
          <w:pgMar w:top="2520" w:right="1440" w:bottom="1800" w:left="1440" w:header="720" w:footer="720" w:gutter="0"/>
          <w:cols w:num="2" w:space="720"/>
          <w:noEndnote/>
        </w:sectPr>
      </w:pPr>
    </w:p>
    <w:p w:rsidR="00F509CF" w:rsidRDefault="00F509CF">
      <w:pPr>
        <w:widowControl w:val="0"/>
        <w:autoSpaceDE w:val="0"/>
        <w:autoSpaceDN w:val="0"/>
        <w:adjustRightInd w:val="0"/>
        <w:spacing w:after="0" w:line="240" w:lineRule="auto"/>
        <w:jc w:val="both"/>
        <w:rPr>
          <w:rFonts w:ascii="Times New Roman" w:hAnsi="Times New Roman" w:cs="Times New Roman"/>
          <w:sz w:val="24"/>
          <w:szCs w:val="24"/>
        </w:rPr>
        <w:sectPr w:rsidR="00F509CF">
          <w:headerReference w:type="default" r:id="rId227"/>
          <w:footerReference w:type="default" r:id="rId228"/>
          <w:pgSz w:w="12240" w:h="15840"/>
          <w:pgMar w:top="3024" w:right="1440" w:bottom="1800" w:left="1440" w:header="720" w:footer="720" w:gutter="0"/>
          <w:pgNumType w:start="1"/>
          <w:cols w:space="720"/>
          <w:noEndnote/>
        </w:sectPr>
      </w:pP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bookmarkStart w:id="22" w:name="Document10zzSDUNumber1"/>
      <w:bookmarkEnd w:id="22"/>
    </w:p>
    <w:p w:rsidR="00F509CF" w:rsidRDefault="00246A03">
      <w:pPr>
        <w:widowControl w:val="0"/>
        <w:autoSpaceDE w:val="0"/>
        <w:autoSpaceDN w:val="0"/>
        <w:adjustRightInd w:val="0"/>
        <w:spacing w:after="0" w:line="240" w:lineRule="auto"/>
        <w:rPr>
          <w:rFonts w:ascii="Times New Roman" w:hAnsi="Times New Roman" w:cs="Times New Roman"/>
          <w:color w:val="000000"/>
          <w:sz w:val="24"/>
          <w:szCs w:val="24"/>
        </w:rPr>
      </w:pPr>
      <w:r w:rsidRPr="008234A1">
        <w:rPr>
          <w:rFonts w:ascii="Times New Roman" w:hAnsi="Times New Roman" w:cs="Times New Roman"/>
          <w:color w:val="000000"/>
          <w:sz w:val="24"/>
          <w:szCs w:val="24"/>
        </w:rPr>
        <w:pict>
          <v:shape id="_x0000_i1050" type="#_x0000_t75" style="width:9.75pt;height:9.75pt">
            <v:imagedata r:id="rId130" o:title=""/>
          </v:shape>
        </w:pict>
      </w:r>
    </w:p>
    <w:p w:rsidR="00F509CF" w:rsidRDefault="00F509CF">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Effective</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 xml:space="preserve">See Text Amendments] </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Code of Federal Regulations </w:t>
      </w:r>
      <w:bookmarkStart w:id="23" w:name="Document11zzCurrentness"/>
      <w:bookmarkEnd w:id="23"/>
      <w:r w:rsidR="008234A1">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\l "Document11zzIF62B3E50334611DEA168E6BA6939"</w:instrText>
      </w:r>
      <w:r w:rsidR="008234A1">
        <w:rPr>
          <w:rFonts w:ascii="Times New Roman" w:hAnsi="Times New Roman" w:cs="Times New Roman"/>
          <w:color w:val="000000"/>
          <w:sz w:val="24"/>
          <w:szCs w:val="24"/>
        </w:rPr>
        <w:fldChar w:fldCharType="separate"/>
      </w:r>
      <w:proofErr w:type="spellStart"/>
      <w:r>
        <w:rPr>
          <w:rFonts w:ascii="Times New Roman" w:hAnsi="Times New Roman" w:cs="Times New Roman"/>
          <w:color w:val="0000FF"/>
          <w:sz w:val="24"/>
          <w:szCs w:val="24"/>
          <w:u w:val="single"/>
        </w:rPr>
        <w:t>Currentness</w:t>
      </w:r>
      <w:proofErr w:type="spellEnd"/>
      <w:r w:rsidR="008234A1">
        <w:rPr>
          <w:rFonts w:ascii="Times New Roman" w:hAnsi="Times New Roman" w:cs="Times New Roman"/>
          <w:color w:val="000000"/>
          <w:sz w:val="24"/>
          <w:szCs w:val="24"/>
        </w:rPr>
        <w:fldChar w:fldCharType="end"/>
      </w:r>
    </w:p>
    <w:p w:rsidR="00F509CF" w:rsidRDefault="00F509CF">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Title 17.</w:t>
      </w:r>
      <w:proofErr w:type="gramEnd"/>
      <w:r>
        <w:rPr>
          <w:rFonts w:ascii="Times New Roman" w:hAnsi="Times New Roman" w:cs="Times New Roman"/>
          <w:color w:val="000000"/>
          <w:sz w:val="24"/>
          <w:szCs w:val="24"/>
        </w:rPr>
        <w:t xml:space="preserve"> Commodity and Securities Exchanges</w:t>
      </w:r>
    </w:p>
    <w:p w:rsidR="00F509CF" w:rsidRDefault="008234A1">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hyperlink r:id="rId229" w:history="1">
        <w:r w:rsidR="00246A03" w:rsidRPr="008234A1">
          <w:rPr>
            <w:rFonts w:ascii="Times New Roman" w:hAnsi="Times New Roman" w:cs="Times New Roman"/>
            <w:color w:val="0000FF"/>
            <w:sz w:val="24"/>
            <w:szCs w:val="24"/>
            <w:u w:val="single"/>
          </w:rPr>
          <w:pict>
            <v:shape id="_x0000_i1051" type="#_x0000_t75" style="width:9.75pt;height:9.75pt">
              <v:imagedata r:id="rId132" o:title=""/>
            </v:shape>
          </w:pict>
        </w:r>
        <w:r w:rsidR="00F509CF">
          <w:rPr>
            <w:rFonts w:ascii="Times New Roman" w:hAnsi="Times New Roman" w:cs="Times New Roman"/>
            <w:color w:val="0000FF"/>
            <w:sz w:val="24"/>
            <w:szCs w:val="24"/>
            <w:u w:val="single"/>
          </w:rPr>
          <w:t xml:space="preserve"> </w:t>
        </w:r>
        <w:proofErr w:type="gramStart"/>
        <w:r w:rsidR="00F509CF">
          <w:rPr>
            <w:rFonts w:ascii="Times New Roman" w:hAnsi="Times New Roman" w:cs="Times New Roman"/>
            <w:color w:val="0000FF"/>
            <w:sz w:val="24"/>
            <w:szCs w:val="24"/>
            <w:u w:val="single"/>
          </w:rPr>
          <w:t>Chapter I</w:t>
        </w:r>
      </w:hyperlink>
      <w:r w:rsidR="00F509CF">
        <w:rPr>
          <w:rFonts w:ascii="Times New Roman" w:hAnsi="Times New Roman" w:cs="Times New Roman"/>
          <w:color w:val="000000"/>
          <w:sz w:val="24"/>
          <w:szCs w:val="24"/>
        </w:rPr>
        <w:t>.</w:t>
      </w:r>
      <w:proofErr w:type="gramEnd"/>
      <w:r w:rsidR="00F509CF">
        <w:rPr>
          <w:rFonts w:ascii="Times New Roman" w:hAnsi="Times New Roman" w:cs="Times New Roman"/>
          <w:color w:val="000000"/>
          <w:sz w:val="24"/>
          <w:szCs w:val="24"/>
        </w:rPr>
        <w:t xml:space="preserve"> Commodity Futures Trading Commission</w:t>
      </w:r>
    </w:p>
    <w:p w:rsidR="00F509CF" w:rsidRDefault="008234A1">
      <w:pPr>
        <w:widowControl w:val="0"/>
        <w:autoSpaceDE w:val="0"/>
        <w:autoSpaceDN w:val="0"/>
        <w:adjustRightInd w:val="0"/>
        <w:spacing w:after="0" w:line="240" w:lineRule="auto"/>
        <w:ind w:left="540"/>
        <w:jc w:val="both"/>
        <w:rPr>
          <w:rFonts w:ascii="Times New Roman" w:hAnsi="Times New Roman" w:cs="Times New Roman"/>
          <w:color w:val="000000"/>
          <w:sz w:val="24"/>
          <w:szCs w:val="24"/>
        </w:rPr>
      </w:pPr>
      <w:hyperlink r:id="rId230" w:history="1">
        <w:r w:rsidR="00246A03" w:rsidRPr="008234A1">
          <w:rPr>
            <w:rFonts w:ascii="Times New Roman" w:hAnsi="Times New Roman" w:cs="Times New Roman"/>
            <w:color w:val="0000FF"/>
            <w:sz w:val="24"/>
            <w:szCs w:val="24"/>
            <w:u w:val="single"/>
          </w:rPr>
          <w:pict>
            <v:shape id="_x0000_i1052" type="#_x0000_t75" style="width:9.75pt;height:9.75pt">
              <v:imagedata r:id="rId132" o:title=""/>
            </v:shape>
          </w:pict>
        </w:r>
        <w:r w:rsidR="00F509CF">
          <w:rPr>
            <w:rFonts w:ascii="Times New Roman" w:hAnsi="Times New Roman" w:cs="Times New Roman"/>
            <w:color w:val="0000FF"/>
            <w:sz w:val="24"/>
            <w:szCs w:val="24"/>
            <w:u w:val="single"/>
          </w:rPr>
          <w:t xml:space="preserve"> </w:t>
        </w:r>
        <w:proofErr w:type="gramStart"/>
        <w:r w:rsidR="00F509CF">
          <w:rPr>
            <w:rFonts w:ascii="Times New Roman" w:hAnsi="Times New Roman" w:cs="Times New Roman"/>
            <w:color w:val="0000FF"/>
            <w:sz w:val="24"/>
            <w:szCs w:val="24"/>
            <w:u w:val="single"/>
          </w:rPr>
          <w:t>Part 150</w:t>
        </w:r>
      </w:hyperlink>
      <w:r w:rsidR="00F509CF">
        <w:rPr>
          <w:rFonts w:ascii="Times New Roman" w:hAnsi="Times New Roman" w:cs="Times New Roman"/>
          <w:color w:val="000000"/>
          <w:sz w:val="24"/>
          <w:szCs w:val="24"/>
        </w:rPr>
        <w:t>.</w:t>
      </w:r>
      <w:proofErr w:type="gramEnd"/>
      <w:r w:rsidR="00F509CF">
        <w:rPr>
          <w:rFonts w:ascii="Times New Roman" w:hAnsi="Times New Roman" w:cs="Times New Roman"/>
          <w:color w:val="000000"/>
          <w:sz w:val="24"/>
          <w:szCs w:val="24"/>
        </w:rPr>
        <w:t xml:space="preserve"> Limits on Positions </w:t>
      </w:r>
      <w:hyperlink r:id="rId231" w:history="1">
        <w:r w:rsidR="00F509CF">
          <w:rPr>
            <w:rFonts w:ascii="Times New Roman" w:hAnsi="Times New Roman" w:cs="Times New Roman"/>
            <w:color w:val="0000FF"/>
            <w:sz w:val="24"/>
            <w:szCs w:val="24"/>
            <w:u w:val="single"/>
          </w:rPr>
          <w:t xml:space="preserve">(Refs &amp; </w:t>
        </w:r>
        <w:proofErr w:type="spellStart"/>
        <w:r w:rsidR="00F509CF">
          <w:rPr>
            <w:rFonts w:ascii="Times New Roman" w:hAnsi="Times New Roman" w:cs="Times New Roman"/>
            <w:color w:val="0000FF"/>
            <w:sz w:val="24"/>
            <w:szCs w:val="24"/>
            <w:u w:val="single"/>
          </w:rPr>
          <w:t>Annos</w:t>
        </w:r>
        <w:proofErr w:type="spellEnd"/>
        <w:r w:rsidR="00F509CF">
          <w:rPr>
            <w:rFonts w:ascii="Times New Roman" w:hAnsi="Times New Roman" w:cs="Times New Roman"/>
            <w:color w:val="0000FF"/>
            <w:sz w:val="24"/>
            <w:szCs w:val="24"/>
            <w:u w:val="single"/>
          </w:rPr>
          <w:t>)</w:t>
        </w:r>
      </w:hyperlink>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246A03">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sidRPr="008234A1">
        <w:rPr>
          <w:rFonts w:ascii="Times New Roman" w:hAnsi="Times New Roman" w:cs="Times New Roman"/>
          <w:b/>
          <w:bCs/>
          <w:color w:val="000000"/>
          <w:sz w:val="24"/>
          <w:szCs w:val="24"/>
        </w:rPr>
        <w:pict>
          <v:shape id="_x0000_i1053" type="#_x0000_t75" style="width:9.75pt;height:9.75pt">
            <v:imagedata r:id="rId135" o:title=""/>
          </v:shape>
        </w:pict>
      </w:r>
      <w:r w:rsidR="00F509CF">
        <w:rPr>
          <w:rFonts w:ascii="Times New Roman" w:hAnsi="Times New Roman" w:cs="Times New Roman"/>
          <w:b/>
          <w:bCs/>
          <w:color w:val="000000"/>
          <w:sz w:val="24"/>
          <w:szCs w:val="24"/>
        </w:rPr>
        <w:t xml:space="preserve"> § 150.6 Responsibility of contract markets.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Nothing in this part shall be construed to affect any provisions of the Act relating to manipulation or corners </w:t>
      </w:r>
      <w:proofErr w:type="gramStart"/>
      <w:r>
        <w:rPr>
          <w:rFonts w:ascii="Times New Roman" w:hAnsi="Times New Roman" w:cs="Times New Roman"/>
          <w:color w:val="000000"/>
          <w:sz w:val="24"/>
          <w:szCs w:val="24"/>
        </w:rPr>
        <w:t>nor</w:t>
      </w:r>
      <w:proofErr w:type="gramEnd"/>
      <w:r>
        <w:rPr>
          <w:rFonts w:ascii="Times New Roman" w:hAnsi="Times New Roman" w:cs="Times New Roman"/>
          <w:color w:val="000000"/>
          <w:sz w:val="24"/>
          <w:szCs w:val="24"/>
        </w:rPr>
        <w:t xml:space="preserve"> to relieve any contract market or its governing board from responsibility under section 5(4) of the Act to prevent manipulation and corners.</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hyperlink r:id="rId232" w:history="1">
        <w:r>
          <w:rPr>
            <w:rFonts w:ascii="Times New Roman" w:hAnsi="Times New Roman" w:cs="Times New Roman"/>
            <w:color w:val="0000FF"/>
            <w:sz w:val="24"/>
            <w:szCs w:val="24"/>
            <w:u w:val="single"/>
          </w:rPr>
          <w:t>59 FR 5528</w:t>
        </w:r>
      </w:hyperlink>
      <w:r>
        <w:rPr>
          <w:rFonts w:ascii="Times New Roman" w:hAnsi="Times New Roman" w:cs="Times New Roman"/>
          <w:color w:val="000000"/>
          <w:sz w:val="24"/>
          <w:szCs w:val="24"/>
        </w:rPr>
        <w:t>, Feb. 7, 1994]</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w:t>
      </w:r>
      <w:hyperlink r:id="rId233" w:history="1">
        <w:r>
          <w:rPr>
            <w:rFonts w:ascii="Times New Roman" w:hAnsi="Times New Roman" w:cs="Times New Roman"/>
            <w:color w:val="0000FF"/>
            <w:sz w:val="24"/>
            <w:szCs w:val="24"/>
            <w:u w:val="single"/>
          </w:rPr>
          <w:t>52 FR 38923</w:t>
        </w:r>
      </w:hyperlink>
      <w:r>
        <w:rPr>
          <w:rFonts w:ascii="Times New Roman" w:hAnsi="Times New Roman" w:cs="Times New Roman"/>
          <w:color w:val="000000"/>
          <w:sz w:val="24"/>
          <w:szCs w:val="24"/>
        </w:rPr>
        <w:t>, Oct. 20, 1987; 57 FR 44492, Sept. 28, 1992; 58 FR 17981, April 7, 1993; 70 FR 24706, May 11, 2005, unless otherwise noted.</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AUTHORITY: </w:t>
      </w:r>
      <w:hyperlink r:id="rId234" w:history="1">
        <w:r>
          <w:rPr>
            <w:rFonts w:ascii="Times New Roman" w:hAnsi="Times New Roman" w:cs="Times New Roman"/>
            <w:color w:val="0000FF"/>
            <w:sz w:val="24"/>
            <w:szCs w:val="24"/>
            <w:u w:val="single"/>
          </w:rPr>
          <w:t>7 U.S.C. 6a</w:t>
        </w:r>
      </w:hyperlink>
      <w:r>
        <w:rPr>
          <w:rFonts w:ascii="Times New Roman" w:hAnsi="Times New Roman" w:cs="Times New Roman"/>
          <w:color w:val="000000"/>
          <w:sz w:val="24"/>
          <w:szCs w:val="24"/>
        </w:rPr>
        <w:t xml:space="preserve">, </w:t>
      </w:r>
      <w:hyperlink r:id="rId235" w:history="1">
        <w:r>
          <w:rPr>
            <w:rFonts w:ascii="Times New Roman" w:hAnsi="Times New Roman" w:cs="Times New Roman"/>
            <w:color w:val="0000FF"/>
            <w:sz w:val="24"/>
            <w:szCs w:val="24"/>
            <w:u w:val="single"/>
          </w:rPr>
          <w:t>6c</w:t>
        </w:r>
      </w:hyperlink>
      <w:r>
        <w:rPr>
          <w:rFonts w:ascii="Times New Roman" w:hAnsi="Times New Roman" w:cs="Times New Roman"/>
          <w:color w:val="000000"/>
          <w:sz w:val="24"/>
          <w:szCs w:val="24"/>
        </w:rPr>
        <w:t xml:space="preserve">, and </w:t>
      </w:r>
      <w:hyperlink r:id="rId236" w:history="1">
        <w:r>
          <w:rPr>
            <w:rFonts w:ascii="Times New Roman" w:hAnsi="Times New Roman" w:cs="Times New Roman"/>
            <w:color w:val="0000FF"/>
            <w:sz w:val="24"/>
            <w:szCs w:val="24"/>
            <w:u w:val="single"/>
          </w:rPr>
          <w:t>12a(5)</w:t>
        </w:r>
      </w:hyperlink>
      <w:r>
        <w:rPr>
          <w:rFonts w:ascii="Times New Roman" w:hAnsi="Times New Roman" w:cs="Times New Roman"/>
          <w:color w:val="000000"/>
          <w:sz w:val="24"/>
          <w:szCs w:val="24"/>
        </w:rPr>
        <w:t xml:space="preserve">, as amended by the Commodity Futures Modernization Act of 2000, Appendix E of </w:t>
      </w:r>
      <w:hyperlink r:id="rId237" w:history="1">
        <w:proofErr w:type="spellStart"/>
        <w:r>
          <w:rPr>
            <w:rFonts w:ascii="Times New Roman" w:hAnsi="Times New Roman" w:cs="Times New Roman"/>
            <w:color w:val="0000FF"/>
            <w:sz w:val="24"/>
            <w:szCs w:val="24"/>
            <w:u w:val="single"/>
          </w:rPr>
          <w:t>Pub.L</w:t>
        </w:r>
        <w:proofErr w:type="spellEnd"/>
        <w:r>
          <w:rPr>
            <w:rFonts w:ascii="Times New Roman" w:hAnsi="Times New Roman" w:cs="Times New Roman"/>
            <w:color w:val="0000FF"/>
            <w:sz w:val="24"/>
            <w:szCs w:val="24"/>
            <w:u w:val="single"/>
          </w:rPr>
          <w:t xml:space="preserve">. </w:t>
        </w:r>
        <w:proofErr w:type="gramStart"/>
        <w:r>
          <w:rPr>
            <w:rFonts w:ascii="Times New Roman" w:hAnsi="Times New Roman" w:cs="Times New Roman"/>
            <w:color w:val="0000FF"/>
            <w:sz w:val="24"/>
            <w:szCs w:val="24"/>
            <w:u w:val="single"/>
          </w:rPr>
          <w:t>106-554, 114 Stat. 2763 (2000).</w:t>
        </w:r>
        <w:proofErr w:type="gramEnd"/>
      </w:hyperlink>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 C. F. R. § 150.6, 17 CFR § 150.6</w:t>
      </w: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24" w:name="Document11zzIF62B3E50334611DEA168E6BA693"/>
      <w:bookmarkEnd w:id="24"/>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Current through July 17, 2009; 74 FR 35074</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2009 Thomson Reuters </w:t>
      </w:r>
    </w:p>
    <w:p w:rsidR="00F509CF" w:rsidRDefault="00F509C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END OF DOCUMENT</w:t>
      </w:r>
    </w:p>
    <w:p w:rsidR="00F509CF" w:rsidRDefault="00F509CF">
      <w:pPr>
        <w:widowControl w:val="0"/>
        <w:autoSpaceDE w:val="0"/>
        <w:autoSpaceDN w:val="0"/>
        <w:adjustRightInd w:val="0"/>
        <w:spacing w:after="0" w:line="240" w:lineRule="auto"/>
        <w:rPr>
          <w:rFonts w:ascii="Times New Roman" w:hAnsi="Times New Roman" w:cs="Times New Roman"/>
          <w:color w:val="000000"/>
          <w:sz w:val="24"/>
          <w:szCs w:val="24"/>
        </w:rPr>
      </w:pPr>
    </w:p>
    <w:p w:rsidR="00F509CF" w:rsidRDefault="00F509CF">
      <w:pPr>
        <w:widowControl w:val="0"/>
        <w:autoSpaceDE w:val="0"/>
        <w:autoSpaceDN w:val="0"/>
        <w:adjustRightInd w:val="0"/>
        <w:spacing w:after="0" w:line="240" w:lineRule="auto"/>
        <w:rPr>
          <w:rFonts w:ascii="Times New Roman" w:hAnsi="Times New Roman" w:cs="Times New Roman"/>
          <w:sz w:val="24"/>
          <w:szCs w:val="24"/>
        </w:rPr>
      </w:pPr>
    </w:p>
    <w:p w:rsidR="00AF381C" w:rsidRDefault="00AF381C">
      <w:pPr>
        <w:rPr>
          <w:rFonts w:ascii="Times New Roman" w:hAnsi="Times New Roman" w:cs="Times New Roman"/>
          <w:sz w:val="24"/>
          <w:szCs w:val="24"/>
        </w:rPr>
      </w:pPr>
      <w:r>
        <w:rPr>
          <w:rFonts w:ascii="Times New Roman" w:hAnsi="Times New Roman" w:cs="Times New Roman"/>
          <w:sz w:val="24"/>
          <w:szCs w:val="24"/>
        </w:rPr>
        <w:br w:type="page"/>
      </w:r>
    </w:p>
    <w:p w:rsidR="005E3FD2" w:rsidRDefault="005E3FD2">
      <w:pPr>
        <w:widowControl w:val="0"/>
        <w:autoSpaceDE w:val="0"/>
        <w:autoSpaceDN w:val="0"/>
        <w:adjustRightInd w:val="0"/>
        <w:spacing w:after="0" w:line="240" w:lineRule="auto"/>
        <w:rPr>
          <w:rFonts w:ascii="Times New Roman" w:hAnsi="Times New Roman" w:cs="Times New Roman"/>
          <w:sz w:val="24"/>
          <w:szCs w:val="24"/>
        </w:rPr>
      </w:pPr>
    </w:p>
    <w:p w:rsidR="005E3FD2" w:rsidRDefault="005E3FD2">
      <w:pPr>
        <w:widowControl w:val="0"/>
        <w:autoSpaceDE w:val="0"/>
        <w:autoSpaceDN w:val="0"/>
        <w:adjustRightInd w:val="0"/>
        <w:spacing w:after="0" w:line="240" w:lineRule="auto"/>
        <w:rPr>
          <w:rFonts w:ascii="Times New Roman" w:hAnsi="Times New Roman" w:cs="Times New Roman"/>
          <w:sz w:val="24"/>
          <w:szCs w:val="24"/>
        </w:rPr>
      </w:pPr>
    </w:p>
    <w:p w:rsidR="005E3FD2" w:rsidRDefault="005E3FD2">
      <w:pPr>
        <w:widowControl w:val="0"/>
        <w:autoSpaceDE w:val="0"/>
        <w:autoSpaceDN w:val="0"/>
        <w:adjustRightInd w:val="0"/>
        <w:spacing w:after="0" w:line="240" w:lineRule="auto"/>
        <w:rPr>
          <w:rFonts w:ascii="Times New Roman" w:hAnsi="Times New Roman" w:cs="Times New Roman"/>
          <w:sz w:val="24"/>
          <w:szCs w:val="24"/>
        </w:rPr>
        <w:sectPr w:rsidR="005E3FD2" w:rsidSect="005E3FD2">
          <w:headerReference w:type="default" r:id="rId238"/>
          <w:footerReference w:type="default" r:id="rId239"/>
          <w:type w:val="continuous"/>
          <w:pgSz w:w="12240" w:h="15840"/>
          <w:pgMar w:top="2520" w:right="1440" w:bottom="1800" w:left="1440" w:header="720" w:footer="720" w:gutter="0"/>
          <w:cols w:space="720"/>
          <w:noEndnote/>
          <w:docGrid w:linePitch="360"/>
        </w:sectPr>
      </w:pPr>
    </w:p>
    <w:p w:rsidR="005E3FD2" w:rsidRDefault="005E3FD2">
      <w:pPr>
        <w:widowControl w:val="0"/>
        <w:autoSpaceDE w:val="0"/>
        <w:autoSpaceDN w:val="0"/>
        <w:adjustRightInd w:val="0"/>
        <w:spacing w:after="0" w:line="240" w:lineRule="auto"/>
        <w:rPr>
          <w:rFonts w:ascii="Times New Roman" w:hAnsi="Times New Roman" w:cs="Times New Roman"/>
          <w:sz w:val="24"/>
          <w:szCs w:val="24"/>
        </w:rPr>
        <w:sectPr w:rsidR="005E3FD2">
          <w:headerReference w:type="default" r:id="rId240"/>
          <w:footerReference w:type="default" r:id="rId241"/>
          <w:type w:val="continuous"/>
          <w:pgSz w:w="12240" w:h="15840"/>
          <w:pgMar w:top="2520" w:right="1440" w:bottom="1800" w:left="1440" w:header="720" w:footer="720" w:gutter="0"/>
          <w:cols w:space="720"/>
          <w:noEndnote/>
        </w:sectPr>
      </w:pP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123825" cy="123825"/>
            <wp:effectExtent l="19050" t="0" r="9525"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5E3FD2" w:rsidRDefault="005E3FD2">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Effective: December 21, 2000</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United States Code Annotated </w:t>
      </w:r>
      <w:hyperlink w:anchor="Document1zzIC28EEFB04CE611DEA981B3BB84F8" w:history="1">
        <w:proofErr w:type="spellStart"/>
        <w:r>
          <w:rPr>
            <w:rFonts w:ascii="Times New Roman" w:hAnsi="Times New Roman" w:cs="Times New Roman"/>
            <w:color w:val="0000FF"/>
            <w:sz w:val="24"/>
            <w:szCs w:val="24"/>
            <w:u w:val="single"/>
          </w:rPr>
          <w:t>Currentness</w:t>
        </w:r>
        <w:proofErr w:type="spellEnd"/>
      </w:hyperlink>
    </w:p>
    <w:p w:rsidR="005E3FD2" w:rsidRDefault="005E3FD2">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Title 7.</w:t>
      </w:r>
      <w:proofErr w:type="gramEnd"/>
      <w:r>
        <w:rPr>
          <w:rFonts w:ascii="Times New Roman" w:hAnsi="Times New Roman" w:cs="Times New Roman"/>
          <w:color w:val="000000"/>
          <w:sz w:val="24"/>
          <w:szCs w:val="24"/>
        </w:rPr>
        <w:t xml:space="preserve"> Agriculture</w:t>
      </w:r>
    </w:p>
    <w:p w:rsidR="005E3FD2" w:rsidRDefault="008234A1">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hyperlink r:id="rId242" w:history="1">
        <w:r w:rsidR="005E3FD2">
          <w:rPr>
            <w:rFonts w:ascii="Times New Roman" w:hAnsi="Times New Roman" w:cs="Times New Roman"/>
            <w:noProof/>
            <w:color w:val="0000FF"/>
            <w:sz w:val="24"/>
            <w:szCs w:val="24"/>
            <w:u w:val="single"/>
          </w:rPr>
          <w:drawing>
            <wp:inline distT="0" distB="0" distL="0" distR="0">
              <wp:extent cx="123825" cy="123825"/>
              <wp:effectExtent l="19050" t="0" r="9525"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5E3FD2">
          <w:rPr>
            <w:rFonts w:ascii="Times New Roman" w:hAnsi="Times New Roman" w:cs="Times New Roman"/>
            <w:color w:val="0000FF"/>
            <w:sz w:val="24"/>
            <w:szCs w:val="24"/>
            <w:u w:val="single"/>
          </w:rPr>
          <w:t xml:space="preserve"> </w:t>
        </w:r>
        <w:proofErr w:type="gramStart"/>
        <w:r w:rsidR="005E3FD2">
          <w:rPr>
            <w:rFonts w:ascii="Times New Roman" w:hAnsi="Times New Roman" w:cs="Times New Roman"/>
            <w:color w:val="0000FF"/>
            <w:sz w:val="24"/>
            <w:szCs w:val="24"/>
            <w:u w:val="single"/>
          </w:rPr>
          <w:t>Chapter 1</w:t>
        </w:r>
      </w:hyperlink>
      <w:r w:rsidR="005E3FD2">
        <w:rPr>
          <w:rFonts w:ascii="Times New Roman" w:hAnsi="Times New Roman" w:cs="Times New Roman"/>
          <w:color w:val="000000"/>
          <w:sz w:val="24"/>
          <w:szCs w:val="24"/>
        </w:rPr>
        <w:t>.</w:t>
      </w:r>
      <w:proofErr w:type="gramEnd"/>
      <w:r w:rsidR="005E3FD2">
        <w:rPr>
          <w:rFonts w:ascii="Times New Roman" w:hAnsi="Times New Roman" w:cs="Times New Roman"/>
          <w:color w:val="000000"/>
          <w:sz w:val="24"/>
          <w:szCs w:val="24"/>
        </w:rPr>
        <w:t xml:space="preserve"> Commodity Exchanges </w:t>
      </w:r>
      <w:hyperlink r:id="rId243" w:history="1">
        <w:r w:rsidR="005E3FD2">
          <w:rPr>
            <w:rFonts w:ascii="Times New Roman" w:hAnsi="Times New Roman" w:cs="Times New Roman"/>
            <w:color w:val="0000FF"/>
            <w:sz w:val="24"/>
            <w:szCs w:val="24"/>
            <w:u w:val="single"/>
          </w:rPr>
          <w:t xml:space="preserve">(Refs &amp; </w:t>
        </w:r>
        <w:proofErr w:type="spellStart"/>
        <w:r w:rsidR="005E3FD2">
          <w:rPr>
            <w:rFonts w:ascii="Times New Roman" w:hAnsi="Times New Roman" w:cs="Times New Roman"/>
            <w:color w:val="0000FF"/>
            <w:sz w:val="24"/>
            <w:szCs w:val="24"/>
            <w:u w:val="single"/>
          </w:rPr>
          <w:t>Annos</w:t>
        </w:r>
        <w:proofErr w:type="spellEnd"/>
        <w:r w:rsidR="005E3FD2">
          <w:rPr>
            <w:rFonts w:ascii="Times New Roman" w:hAnsi="Times New Roman" w:cs="Times New Roman"/>
            <w:color w:val="0000FF"/>
            <w:sz w:val="24"/>
            <w:szCs w:val="24"/>
            <w:u w:val="single"/>
          </w:rPr>
          <w:t>)</w:t>
        </w:r>
      </w:hyperlink>
    </w:p>
    <w:p w:rsidR="005E3FD2" w:rsidRDefault="005E3FD2">
      <w:pPr>
        <w:widowControl w:val="0"/>
        <w:autoSpaceDE w:val="0"/>
        <w:autoSpaceDN w:val="0"/>
        <w:adjustRightInd w:val="0"/>
        <w:spacing w:after="0" w:line="240" w:lineRule="auto"/>
        <w:ind w:left="540"/>
        <w:jc w:val="both"/>
        <w:rPr>
          <w:rFonts w:ascii="Times New Roman" w:hAnsi="Times New Roman" w:cs="Times New Roman"/>
          <w:color w:val="000000"/>
          <w:sz w:val="24"/>
          <w:szCs w:val="24"/>
        </w:rPr>
      </w:pPr>
      <w:r>
        <w:rPr>
          <w:rFonts w:ascii="Times New Roman" w:hAnsi="Times New Roman" w:cs="Times New Roman"/>
          <w:b/>
          <w:bCs/>
          <w:noProof/>
          <w:color w:val="000000"/>
          <w:sz w:val="24"/>
          <w:szCs w:val="24"/>
        </w:rPr>
        <w:drawing>
          <wp:inline distT="0" distB="0" distL="0" distR="0">
            <wp:extent cx="123825" cy="123825"/>
            <wp:effectExtent l="1905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Times New Roman" w:hAnsi="Times New Roman" w:cs="Times New Roman"/>
          <w:b/>
          <w:bCs/>
          <w:color w:val="000000"/>
          <w:sz w:val="24"/>
          <w:szCs w:val="24"/>
        </w:rPr>
        <w:t xml:space="preserve"> § 7. Designation of boards of trade as contract markets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 * * *</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rsidP="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Core principles for contract markets</w:t>
      </w:r>
    </w:p>
    <w:p w:rsidR="005E3FD2" w:rsidRDefault="005E3FD2" w:rsidP="005E3FD2">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Pr>
          <w:rFonts w:ascii="Times New Roman" w:hAnsi="Times New Roman" w:cs="Times New Roman"/>
          <w:color w:val="000000"/>
          <w:sz w:val="24"/>
          <w:szCs w:val="24"/>
        </w:rPr>
        <w:t>(5) Position limitations or accountability</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r>
        <w:rPr>
          <w:rFonts w:ascii="Times New Roman" w:hAnsi="Times New Roman" w:cs="Times New Roman"/>
          <w:color w:val="000000"/>
          <w:sz w:val="24"/>
          <w:szCs w:val="24"/>
        </w:rPr>
        <w:t>To reduce the potential threat of market manipulation or congestion, especially during trading in the delivery month, the board of trade shall adopt position limitations or position accountability for speculators, where necessary and appropriate.</w:t>
      </w:r>
    </w:p>
    <w:p w:rsidR="00AF381C" w:rsidRDefault="00AF381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rPr>
          <w:rFonts w:ascii="Times New Roman" w:hAnsi="Times New Roman" w:cs="Times New Roman"/>
          <w:sz w:val="24"/>
          <w:szCs w:val="24"/>
        </w:rPr>
      </w:pPr>
    </w:p>
    <w:p w:rsidR="005E3FD2" w:rsidRDefault="005E3FD2">
      <w:pPr>
        <w:widowControl w:val="0"/>
        <w:autoSpaceDE w:val="0"/>
        <w:autoSpaceDN w:val="0"/>
        <w:adjustRightInd w:val="0"/>
        <w:spacing w:after="0" w:line="240" w:lineRule="auto"/>
        <w:rPr>
          <w:rFonts w:ascii="Times New Roman" w:hAnsi="Times New Roman" w:cs="Times New Roman"/>
          <w:sz w:val="24"/>
          <w:szCs w:val="24"/>
        </w:rPr>
        <w:sectPr w:rsidR="005E3FD2" w:rsidSect="005E3FD2">
          <w:headerReference w:type="default" r:id="rId244"/>
          <w:footerReference w:type="default" r:id="rId245"/>
          <w:type w:val="continuous"/>
          <w:pgSz w:w="12240" w:h="15840"/>
          <w:pgMar w:top="2520" w:right="1440" w:bottom="1800" w:left="1440" w:header="720" w:footer="720" w:gutter="0"/>
          <w:cols w:space="720"/>
          <w:noEndnote/>
          <w:docGrid w:linePitch="360"/>
        </w:sectPr>
      </w:pP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123825" cy="123825"/>
            <wp:effectExtent l="19050" t="0" r="9525"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5E3FD2" w:rsidRDefault="005E3FD2">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Effective: May 27, 2009</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Code of Federal Regulations </w:t>
      </w:r>
      <w:hyperlink w:anchor="Document1zzIEA41C1F04D3F11DEBD11D6E745A2" w:history="1">
        <w:proofErr w:type="spellStart"/>
        <w:r>
          <w:rPr>
            <w:rFonts w:ascii="Times New Roman" w:hAnsi="Times New Roman" w:cs="Times New Roman"/>
            <w:color w:val="0000FF"/>
            <w:sz w:val="24"/>
            <w:szCs w:val="24"/>
            <w:u w:val="single"/>
          </w:rPr>
          <w:t>Currentness</w:t>
        </w:r>
        <w:proofErr w:type="spellEnd"/>
      </w:hyperlink>
    </w:p>
    <w:p w:rsidR="005E3FD2" w:rsidRDefault="005E3FD2">
      <w:pPr>
        <w:widowControl w:val="0"/>
        <w:autoSpaceDE w:val="0"/>
        <w:autoSpaceDN w:val="0"/>
        <w:adjustRightInd w:val="0"/>
        <w:spacing w:after="0" w:line="240"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Title 17.</w:t>
      </w:r>
      <w:proofErr w:type="gramEnd"/>
      <w:r>
        <w:rPr>
          <w:rFonts w:ascii="Times New Roman" w:hAnsi="Times New Roman" w:cs="Times New Roman"/>
          <w:color w:val="000000"/>
          <w:sz w:val="24"/>
          <w:szCs w:val="24"/>
        </w:rPr>
        <w:t xml:space="preserve"> Commodity and Securities Exchanges</w:t>
      </w:r>
    </w:p>
    <w:p w:rsidR="005E3FD2" w:rsidRDefault="008234A1">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hyperlink r:id="rId246" w:history="1">
        <w:r w:rsidR="005E3FD2">
          <w:rPr>
            <w:rFonts w:ascii="Times New Roman" w:hAnsi="Times New Roman" w:cs="Times New Roman"/>
            <w:noProof/>
            <w:color w:val="0000FF"/>
            <w:sz w:val="24"/>
            <w:szCs w:val="24"/>
            <w:u w:val="single"/>
          </w:rPr>
          <w:drawing>
            <wp:inline distT="0" distB="0" distL="0" distR="0">
              <wp:extent cx="123825" cy="123825"/>
              <wp:effectExtent l="19050" t="0" r="9525"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5E3FD2">
          <w:rPr>
            <w:rFonts w:ascii="Times New Roman" w:hAnsi="Times New Roman" w:cs="Times New Roman"/>
            <w:color w:val="0000FF"/>
            <w:sz w:val="24"/>
            <w:szCs w:val="24"/>
            <w:u w:val="single"/>
          </w:rPr>
          <w:t xml:space="preserve"> </w:t>
        </w:r>
        <w:proofErr w:type="gramStart"/>
        <w:r w:rsidR="005E3FD2">
          <w:rPr>
            <w:rFonts w:ascii="Times New Roman" w:hAnsi="Times New Roman" w:cs="Times New Roman"/>
            <w:color w:val="0000FF"/>
            <w:sz w:val="24"/>
            <w:szCs w:val="24"/>
            <w:u w:val="single"/>
          </w:rPr>
          <w:t>Chapter I</w:t>
        </w:r>
      </w:hyperlink>
      <w:r w:rsidR="005E3FD2">
        <w:rPr>
          <w:rFonts w:ascii="Times New Roman" w:hAnsi="Times New Roman" w:cs="Times New Roman"/>
          <w:color w:val="000000"/>
          <w:sz w:val="24"/>
          <w:szCs w:val="24"/>
        </w:rPr>
        <w:t>.</w:t>
      </w:r>
      <w:proofErr w:type="gramEnd"/>
      <w:r w:rsidR="005E3FD2">
        <w:rPr>
          <w:rFonts w:ascii="Times New Roman" w:hAnsi="Times New Roman" w:cs="Times New Roman"/>
          <w:color w:val="000000"/>
          <w:sz w:val="24"/>
          <w:szCs w:val="24"/>
        </w:rPr>
        <w:t xml:space="preserve"> Commodity Futures Trading Commission</w:t>
      </w:r>
    </w:p>
    <w:p w:rsidR="005E3FD2" w:rsidRDefault="008234A1">
      <w:pPr>
        <w:widowControl w:val="0"/>
        <w:autoSpaceDE w:val="0"/>
        <w:autoSpaceDN w:val="0"/>
        <w:adjustRightInd w:val="0"/>
        <w:spacing w:after="0" w:line="240" w:lineRule="auto"/>
        <w:ind w:left="540"/>
        <w:jc w:val="both"/>
        <w:rPr>
          <w:rFonts w:ascii="Times New Roman" w:hAnsi="Times New Roman" w:cs="Times New Roman"/>
          <w:color w:val="000000"/>
          <w:sz w:val="24"/>
          <w:szCs w:val="24"/>
        </w:rPr>
      </w:pPr>
      <w:hyperlink r:id="rId247" w:history="1">
        <w:r w:rsidR="005E3FD2">
          <w:rPr>
            <w:rFonts w:ascii="Times New Roman" w:hAnsi="Times New Roman" w:cs="Times New Roman"/>
            <w:noProof/>
            <w:color w:val="0000FF"/>
            <w:sz w:val="24"/>
            <w:szCs w:val="24"/>
            <w:u w:val="single"/>
          </w:rPr>
          <w:drawing>
            <wp:inline distT="0" distB="0" distL="0" distR="0">
              <wp:extent cx="123825" cy="123825"/>
              <wp:effectExtent l="19050" t="0" r="9525"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5E3FD2">
          <w:rPr>
            <w:rFonts w:ascii="Times New Roman" w:hAnsi="Times New Roman" w:cs="Times New Roman"/>
            <w:color w:val="0000FF"/>
            <w:sz w:val="24"/>
            <w:szCs w:val="24"/>
            <w:u w:val="single"/>
          </w:rPr>
          <w:t xml:space="preserve"> </w:t>
        </w:r>
        <w:proofErr w:type="gramStart"/>
        <w:r w:rsidR="005E3FD2">
          <w:rPr>
            <w:rFonts w:ascii="Times New Roman" w:hAnsi="Times New Roman" w:cs="Times New Roman"/>
            <w:color w:val="0000FF"/>
            <w:sz w:val="24"/>
            <w:szCs w:val="24"/>
            <w:u w:val="single"/>
          </w:rPr>
          <w:t>Part 38</w:t>
        </w:r>
      </w:hyperlink>
      <w:r w:rsidR="005E3FD2">
        <w:rPr>
          <w:rFonts w:ascii="Times New Roman" w:hAnsi="Times New Roman" w:cs="Times New Roman"/>
          <w:color w:val="000000"/>
          <w:sz w:val="24"/>
          <w:szCs w:val="24"/>
        </w:rPr>
        <w:t>.</w:t>
      </w:r>
      <w:proofErr w:type="gramEnd"/>
      <w:r w:rsidR="005E3FD2">
        <w:rPr>
          <w:rFonts w:ascii="Times New Roman" w:hAnsi="Times New Roman" w:cs="Times New Roman"/>
          <w:color w:val="000000"/>
          <w:sz w:val="24"/>
          <w:szCs w:val="24"/>
        </w:rPr>
        <w:t xml:space="preserve"> Designated Contract Markets </w:t>
      </w:r>
      <w:hyperlink r:id="rId248" w:history="1">
        <w:r w:rsidR="005E3FD2">
          <w:rPr>
            <w:rFonts w:ascii="Times New Roman" w:hAnsi="Times New Roman" w:cs="Times New Roman"/>
            <w:color w:val="0000FF"/>
            <w:sz w:val="24"/>
            <w:szCs w:val="24"/>
            <w:u w:val="single"/>
          </w:rPr>
          <w:t xml:space="preserve">(Refs &amp; </w:t>
        </w:r>
        <w:proofErr w:type="spellStart"/>
        <w:r w:rsidR="005E3FD2">
          <w:rPr>
            <w:rFonts w:ascii="Times New Roman" w:hAnsi="Times New Roman" w:cs="Times New Roman"/>
            <w:color w:val="0000FF"/>
            <w:sz w:val="24"/>
            <w:szCs w:val="24"/>
            <w:u w:val="single"/>
          </w:rPr>
          <w:t>Annos</w:t>
        </w:r>
        <w:proofErr w:type="spellEnd"/>
        <w:r w:rsidR="005E3FD2">
          <w:rPr>
            <w:rFonts w:ascii="Times New Roman" w:hAnsi="Times New Roman" w:cs="Times New Roman"/>
            <w:color w:val="0000FF"/>
            <w:sz w:val="24"/>
            <w:szCs w:val="24"/>
            <w:u w:val="single"/>
          </w:rPr>
          <w:t>)</w:t>
        </w:r>
      </w:hyperlink>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b/>
          <w:bCs/>
          <w:noProof/>
          <w:color w:val="000000"/>
          <w:sz w:val="24"/>
          <w:szCs w:val="24"/>
        </w:rPr>
        <w:drawing>
          <wp:inline distT="0" distB="0" distL="0" distR="0">
            <wp:extent cx="123825" cy="123825"/>
            <wp:effectExtent l="19050" t="0" r="0" b="0"/>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Times New Roman" w:hAnsi="Times New Roman" w:cs="Times New Roman"/>
          <w:b/>
          <w:bCs/>
          <w:color w:val="000000"/>
          <w:sz w:val="24"/>
          <w:szCs w:val="24"/>
        </w:rPr>
        <w:t xml:space="preserve"> Appendix B to Part 38--Guidance on, and Acceptable Practices in, Compliance with Core Principles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 * * *</w:t>
      </w: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Core Principle 5 of section 5(d) of the Act: POSITION LIMITATIONS OR ACCOUNTABI</w:t>
      </w:r>
      <w:r>
        <w:rPr>
          <w:rFonts w:ascii="Times New Roman" w:hAnsi="Times New Roman" w:cs="Times New Roman"/>
          <w:color w:val="000000"/>
          <w:sz w:val="24"/>
          <w:szCs w:val="24"/>
        </w:rPr>
        <w:t>L</w:t>
      </w:r>
      <w:r>
        <w:rPr>
          <w:rFonts w:ascii="Times New Roman" w:hAnsi="Times New Roman" w:cs="Times New Roman"/>
          <w:color w:val="000000"/>
          <w:sz w:val="24"/>
          <w:szCs w:val="24"/>
        </w:rPr>
        <w:t>ITY--To reduce the potential threat of market manipulation or congestion, especially during trading in the delivery month, the board of trade shall adopt position limitations or position a</w:t>
      </w:r>
      <w:r>
        <w:rPr>
          <w:rFonts w:ascii="Times New Roman" w:hAnsi="Times New Roman" w:cs="Times New Roman"/>
          <w:color w:val="000000"/>
          <w:sz w:val="24"/>
          <w:szCs w:val="24"/>
        </w:rPr>
        <w:t>c</w:t>
      </w:r>
      <w:r>
        <w:rPr>
          <w:rFonts w:ascii="Times New Roman" w:hAnsi="Times New Roman" w:cs="Times New Roman"/>
          <w:color w:val="000000"/>
          <w:sz w:val="24"/>
          <w:szCs w:val="24"/>
        </w:rPr>
        <w:t>countability for speculators, where necessary and appropriate.</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Application guidance. [Reserved]</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Acceptable practices.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In order to diminish potential problems arising from excessively large speculative positions, and to facilitate orderly liquidation of expiring futures contracts, markets may need to set limits on traders' positions for certain commodities. These position limits specifically may exempt bona fide hedging, permit other exemptions, or set limits differently by markets, by delivery months, or by time periods. For purposes of evaluating a contract market's speculative-limit program, the Commission considers the specified limit levels, aggregation policies, types of exemptions a</w:t>
      </w:r>
      <w:r>
        <w:rPr>
          <w:rFonts w:ascii="Times New Roman" w:hAnsi="Times New Roman" w:cs="Times New Roman"/>
          <w:color w:val="000000"/>
          <w:sz w:val="24"/>
          <w:szCs w:val="24"/>
        </w:rPr>
        <w:t>l</w:t>
      </w:r>
      <w:r>
        <w:rPr>
          <w:rFonts w:ascii="Times New Roman" w:hAnsi="Times New Roman" w:cs="Times New Roman"/>
          <w:color w:val="000000"/>
          <w:sz w:val="24"/>
          <w:szCs w:val="24"/>
        </w:rPr>
        <w:t>lowed, methods for monitoring compliance with the specified levels, and procedures for e</w:t>
      </w:r>
      <w:r>
        <w:rPr>
          <w:rFonts w:ascii="Times New Roman" w:hAnsi="Times New Roman" w:cs="Times New Roman"/>
          <w:color w:val="000000"/>
          <w:sz w:val="24"/>
          <w:szCs w:val="24"/>
        </w:rPr>
        <w:t>n</w:t>
      </w:r>
      <w:r>
        <w:rPr>
          <w:rFonts w:ascii="Times New Roman" w:hAnsi="Times New Roman" w:cs="Times New Roman"/>
          <w:color w:val="000000"/>
          <w:sz w:val="24"/>
          <w:szCs w:val="24"/>
        </w:rPr>
        <w:t>forcement to deal with violations.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Provisions concerning speculative position limits are set forth in part 150. In general, position limits are not necessary for markets where the threat of excessive speculation or manipulation is nonexistent or very low. Thus, contract markets do not need to adopt speculative position limits for futures markets on major foreign currencies, contracts based on certain financial instruments having very liquid and deep underlying cash markets, and contracts specifying cash settlement where the potential for distortion of such price is negligible. Where speculative position limits are necessary, acceptable speculative-limit levels typically should be set in terms of a trader's co</w:t>
      </w:r>
      <w:r>
        <w:rPr>
          <w:rFonts w:ascii="Times New Roman" w:hAnsi="Times New Roman" w:cs="Times New Roman"/>
          <w:color w:val="000000"/>
          <w:sz w:val="24"/>
          <w:szCs w:val="24"/>
        </w:rPr>
        <w:t>m</w:t>
      </w:r>
      <w:r>
        <w:rPr>
          <w:rFonts w:ascii="Times New Roman" w:hAnsi="Times New Roman" w:cs="Times New Roman"/>
          <w:color w:val="000000"/>
          <w:sz w:val="24"/>
          <w:szCs w:val="24"/>
        </w:rPr>
        <w:t>bined position in the futures contract plus its position in the related option contract (on a de</w:t>
      </w:r>
      <w:r>
        <w:rPr>
          <w:rFonts w:ascii="Times New Roman" w:hAnsi="Times New Roman" w:cs="Times New Roman"/>
          <w:color w:val="000000"/>
          <w:sz w:val="24"/>
          <w:szCs w:val="24"/>
        </w:rPr>
        <w:t>l</w:t>
      </w:r>
      <w:r>
        <w:rPr>
          <w:rFonts w:ascii="Times New Roman" w:hAnsi="Times New Roman" w:cs="Times New Roman"/>
          <w:color w:val="000000"/>
          <w:sz w:val="24"/>
          <w:szCs w:val="24"/>
        </w:rPr>
        <w:lastRenderedPageBreak/>
        <w:t>ta-adjusted basis).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A contract market may provide for position accountability provisions in lieu of position limits for contracts on financial instruments, intangible commodities, or certain tangible commodities. Markets appropriate for position accountability rules include those with large open-interest, high daily trading volumes and liquid cash markets.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Spot-month limits should be adopted for markets based on commodities having more limited deliverable supplies or where otherwise necessary to minimize the susceptibility of the market to manipulation or price distortions. The level of the spot limit for physical-delivery markets should be based upon an analysis of deliverable supplies and the history of spot-month liquidations. Spot-month limits for physical-delivery markets are appropriately set at no more than 25 percent of the estimated deliverable supply. For cash-settled markets, spot-month position limits may be necessary if the underlying cash market is small or illiquid such that traders can disrupt the cash market or otherwise influence the cash-settlement price to profit on a futures position. In these cases, the limit should be set at a level that minimizes the potential for manipulation or distortion of the futures </w:t>
      </w:r>
      <w:proofErr w:type="spellStart"/>
      <w:r>
        <w:rPr>
          <w:rFonts w:ascii="Times New Roman" w:hAnsi="Times New Roman" w:cs="Times New Roman"/>
          <w:color w:val="000000"/>
          <w:sz w:val="24"/>
          <w:szCs w:val="24"/>
        </w:rPr>
        <w:t>contract's</w:t>
      </w:r>
      <w:proofErr w:type="spellEnd"/>
      <w:r>
        <w:rPr>
          <w:rFonts w:ascii="Times New Roman" w:hAnsi="Times New Roman" w:cs="Times New Roman"/>
          <w:color w:val="000000"/>
          <w:sz w:val="24"/>
          <w:szCs w:val="24"/>
        </w:rPr>
        <w:t xml:space="preserve"> or the underlying commodity's price. Markets may elect not to provide all-months-combined and non-spot month limits.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Contract markets should have aggregation rules that apply to those accounts under common control, those with common ownership, i.e., where there is a ten percent or greater financial i</w:t>
      </w:r>
      <w:r>
        <w:rPr>
          <w:rFonts w:ascii="Times New Roman" w:hAnsi="Times New Roman" w:cs="Times New Roman"/>
          <w:color w:val="000000"/>
          <w:sz w:val="24"/>
          <w:szCs w:val="24"/>
        </w:rPr>
        <w:t>n</w:t>
      </w:r>
      <w:r>
        <w:rPr>
          <w:rFonts w:ascii="Times New Roman" w:hAnsi="Times New Roman" w:cs="Times New Roman"/>
          <w:color w:val="000000"/>
          <w:sz w:val="24"/>
          <w:szCs w:val="24"/>
        </w:rPr>
        <w:t>terest, and those traded according to an express or implied agreement. Contract markets will be permitted to set more stringent aggregation policies. For example, one major board of trade has adopted a policy of automatically aggregating the position of members of the same household, unless they were granted a specific waiver. Contract markets may grant exemptions to their pos</w:t>
      </w:r>
      <w:r>
        <w:rPr>
          <w:rFonts w:ascii="Times New Roman" w:hAnsi="Times New Roman" w:cs="Times New Roman"/>
          <w:color w:val="000000"/>
          <w:sz w:val="24"/>
          <w:szCs w:val="24"/>
        </w:rPr>
        <w:t>i</w:t>
      </w:r>
      <w:r>
        <w:rPr>
          <w:rFonts w:ascii="Times New Roman" w:hAnsi="Times New Roman" w:cs="Times New Roman"/>
          <w:color w:val="000000"/>
          <w:sz w:val="24"/>
          <w:szCs w:val="24"/>
        </w:rPr>
        <w:t xml:space="preserve">tion limits for bona fide hedging (as defined in </w:t>
      </w:r>
      <w:hyperlink r:id="rId249" w:history="1">
        <w:r>
          <w:rPr>
            <w:rFonts w:ascii="Times New Roman" w:hAnsi="Times New Roman" w:cs="Times New Roman"/>
            <w:color w:val="0000FF"/>
            <w:sz w:val="24"/>
            <w:szCs w:val="24"/>
            <w:u w:val="single"/>
          </w:rPr>
          <w:t>§ 1.3(z)</w:t>
        </w:r>
      </w:hyperlink>
      <w:r>
        <w:rPr>
          <w:rFonts w:ascii="Times New Roman" w:hAnsi="Times New Roman" w:cs="Times New Roman"/>
          <w:color w:val="000000"/>
          <w:sz w:val="24"/>
          <w:szCs w:val="24"/>
        </w:rPr>
        <w:t xml:space="preserve"> of this chapter) and may grant exemptions for reduced risk positions, such as spreads, straddles and arbitrage positions.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Contract markets with many products with large numbers of traders should have an automated means of detecting traders' violations of speculative limits or exemptions. Contract markets should monitor the continuing appropriateness of approved exemptions by periodically reviewing each trader's basis for exemption or requiring a reapplication.</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 Contract markets should establish a program for effective enforcement of these limits Contract markets should use their LTRS to monitor and enforce daily compliance with position limit rules. The Commission notes that a contract market may allow traders to periodically apply to the co</w:t>
      </w:r>
      <w:r>
        <w:rPr>
          <w:rFonts w:ascii="Times New Roman" w:hAnsi="Times New Roman" w:cs="Times New Roman"/>
          <w:color w:val="000000"/>
          <w:sz w:val="24"/>
          <w:szCs w:val="24"/>
        </w:rPr>
        <w:t>n</w:t>
      </w:r>
      <w:r>
        <w:rPr>
          <w:rFonts w:ascii="Times New Roman" w:hAnsi="Times New Roman" w:cs="Times New Roman"/>
          <w:color w:val="000000"/>
          <w:sz w:val="24"/>
          <w:szCs w:val="24"/>
        </w:rPr>
        <w:t xml:space="preserve">tract market for an exemption and, if appropriate, </w:t>
      </w:r>
      <w:proofErr w:type="gramStart"/>
      <w:r>
        <w:rPr>
          <w:rFonts w:ascii="Times New Roman" w:hAnsi="Times New Roman" w:cs="Times New Roman"/>
          <w:color w:val="000000"/>
          <w:sz w:val="24"/>
          <w:szCs w:val="24"/>
        </w:rPr>
        <w:t>be</w:t>
      </w:r>
      <w:proofErr w:type="gramEnd"/>
      <w:r>
        <w:rPr>
          <w:rFonts w:ascii="Times New Roman" w:hAnsi="Times New Roman" w:cs="Times New Roman"/>
          <w:color w:val="000000"/>
          <w:sz w:val="24"/>
          <w:szCs w:val="24"/>
        </w:rPr>
        <w:t xml:space="preserve"> granted a position level higher than the a</w:t>
      </w:r>
      <w:r>
        <w:rPr>
          <w:rFonts w:ascii="Times New Roman" w:hAnsi="Times New Roman" w:cs="Times New Roman"/>
          <w:color w:val="000000"/>
          <w:sz w:val="24"/>
          <w:szCs w:val="24"/>
        </w:rPr>
        <w:t>p</w:t>
      </w:r>
      <w:r>
        <w:rPr>
          <w:rFonts w:ascii="Times New Roman" w:hAnsi="Times New Roman" w:cs="Times New Roman"/>
          <w:color w:val="000000"/>
          <w:sz w:val="24"/>
          <w:szCs w:val="24"/>
        </w:rPr>
        <w:t>plicable speculative limit. The contract market should establish a program to monitor approved exemptions from the limits. The position levels granted under such hedge exemptions generally are based upon the trader's commercial activity in related markets. Contract markets may allow a brief grace period where a qualifying trader may exceed speculative limits or an existing exem</w:t>
      </w:r>
      <w:r>
        <w:rPr>
          <w:rFonts w:ascii="Times New Roman" w:hAnsi="Times New Roman" w:cs="Times New Roman"/>
          <w:color w:val="000000"/>
          <w:sz w:val="24"/>
          <w:szCs w:val="24"/>
        </w:rPr>
        <w:t>p</w:t>
      </w:r>
      <w:r>
        <w:rPr>
          <w:rFonts w:ascii="Times New Roman" w:hAnsi="Times New Roman" w:cs="Times New Roman"/>
          <w:color w:val="000000"/>
          <w:sz w:val="24"/>
          <w:szCs w:val="24"/>
        </w:rPr>
        <w:lastRenderedPageBreak/>
        <w:t>tion level pending the submission and approval of appropriate justification. A contract market should consider whether it wants to restrict exemptions during the last several days of trading in a delivery month. Acceptable procedures for obtaining and granting exemptions include a r</w:t>
      </w:r>
      <w:r>
        <w:rPr>
          <w:rFonts w:ascii="Times New Roman" w:hAnsi="Times New Roman" w:cs="Times New Roman"/>
          <w:color w:val="000000"/>
          <w:sz w:val="24"/>
          <w:szCs w:val="24"/>
        </w:rPr>
        <w:t>e</w:t>
      </w:r>
      <w:r>
        <w:rPr>
          <w:rFonts w:ascii="Times New Roman" w:hAnsi="Times New Roman" w:cs="Times New Roman"/>
          <w:color w:val="000000"/>
          <w:sz w:val="24"/>
          <w:szCs w:val="24"/>
        </w:rPr>
        <w:t>quirement that the contract market approve a specific maximum higher level.</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Finally, an acceptable speculative limit program should have specific policies for taking re</w:t>
      </w:r>
      <w:r>
        <w:rPr>
          <w:rFonts w:ascii="Times New Roman" w:hAnsi="Times New Roman" w:cs="Times New Roman"/>
          <w:color w:val="000000"/>
          <w:sz w:val="24"/>
          <w:szCs w:val="24"/>
        </w:rPr>
        <w:t>g</w:t>
      </w:r>
      <w:r>
        <w:rPr>
          <w:rFonts w:ascii="Times New Roman" w:hAnsi="Times New Roman" w:cs="Times New Roman"/>
          <w:color w:val="000000"/>
          <w:sz w:val="24"/>
          <w:szCs w:val="24"/>
        </w:rPr>
        <w:t>ulatory action once a violation of a position limit or exemption is detected. The contract market policy should consider appropriate actions, regardless of whether the violation is by a non-member or member, and should address traders carrying accounts through more than one intermediary.</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A violation of contract market position limits that have been approved by the Commission is also a violation of section </w:t>
      </w:r>
      <w:proofErr w:type="gramStart"/>
      <w:r>
        <w:rPr>
          <w:rFonts w:ascii="Times New Roman" w:hAnsi="Times New Roman" w:cs="Times New Roman"/>
          <w:color w:val="000000"/>
          <w:sz w:val="24"/>
          <w:szCs w:val="24"/>
        </w:rPr>
        <w:t>4a(</w:t>
      </w:r>
      <w:proofErr w:type="gramEnd"/>
      <w:r>
        <w:rPr>
          <w:rFonts w:ascii="Times New Roman" w:hAnsi="Times New Roman" w:cs="Times New Roman"/>
          <w:color w:val="000000"/>
          <w:sz w:val="24"/>
          <w:szCs w:val="24"/>
        </w:rPr>
        <w:t>e) of the Act. The Commission will consider for approval all contract market position limit rules.</w:t>
      </w:r>
    </w:p>
    <w:p w:rsidR="005E3FD2" w:rsidRDefault="005E3FD2">
      <w:pPr>
        <w:widowControl w:val="0"/>
        <w:autoSpaceDE w:val="0"/>
        <w:autoSpaceDN w:val="0"/>
        <w:adjustRightInd w:val="0"/>
        <w:spacing w:after="0" w:line="240" w:lineRule="auto"/>
        <w:rPr>
          <w:rFonts w:ascii="Times New Roman" w:hAnsi="Times New Roman" w:cs="Times New Roman"/>
          <w:color w:val="000000"/>
          <w:sz w:val="24"/>
          <w:szCs w:val="24"/>
        </w:rPr>
      </w:pPr>
    </w:p>
    <w:p w:rsidR="005E3FD2" w:rsidRDefault="005E3FD2">
      <w:pPr>
        <w:widowControl w:val="0"/>
        <w:autoSpaceDE w:val="0"/>
        <w:autoSpaceDN w:val="0"/>
        <w:adjustRightInd w:val="0"/>
        <w:spacing w:after="0" w:line="240" w:lineRule="auto"/>
        <w:rPr>
          <w:rFonts w:ascii="Times New Roman" w:hAnsi="Times New Roman" w:cs="Times New Roman"/>
          <w:sz w:val="24"/>
          <w:szCs w:val="24"/>
        </w:rPr>
      </w:pPr>
    </w:p>
    <w:p w:rsidR="007A66F4" w:rsidRDefault="007A66F4">
      <w:pPr>
        <w:widowControl w:val="0"/>
        <w:autoSpaceDE w:val="0"/>
        <w:autoSpaceDN w:val="0"/>
        <w:adjustRightInd w:val="0"/>
        <w:spacing w:after="0" w:line="240" w:lineRule="auto"/>
        <w:rPr>
          <w:rFonts w:ascii="Times New Roman" w:hAnsi="Times New Roman" w:cs="Times New Roman"/>
          <w:sz w:val="24"/>
          <w:szCs w:val="24"/>
        </w:rPr>
      </w:pPr>
    </w:p>
    <w:sectPr w:rsidR="007A66F4" w:rsidSect="007A66F4">
      <w:type w:val="continuous"/>
      <w:pgSz w:w="12240" w:h="15840"/>
      <w:pgMar w:top="2520" w:right="1440" w:bottom="180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9CF" w:rsidRDefault="00F509CF">
      <w:pPr>
        <w:spacing w:after="0" w:line="240" w:lineRule="auto"/>
      </w:pPr>
      <w:r>
        <w:separator/>
      </w:r>
    </w:p>
  </w:endnote>
  <w:endnote w:type="continuationSeparator" w:id="0">
    <w:p w:rsidR="00F509CF" w:rsidRDefault="00F50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CF" w:rsidRDefault="00F509CF">
    <w:pPr>
      <w:widowControl w:val="0"/>
      <w:autoSpaceDE w:val="0"/>
      <w:autoSpaceDN w:val="0"/>
      <w:adjustRightInd w:val="0"/>
      <w:spacing w:after="0" w:line="240" w:lineRule="auto"/>
      <w:jc w:val="center"/>
      <w:rPr>
        <w:rFonts w:ascii="Arial" w:hAnsi="Arial" w:cs="Arial"/>
        <w:color w:val="000000"/>
        <w:sz w:val="24"/>
        <w:szCs w:val="24"/>
      </w:rPr>
    </w:pPr>
    <w:r>
      <w:rPr>
        <w:rFonts w:ascii="Times New Roman" w:hAnsi="Times New Roman" w:cs="Times New Roman"/>
        <w:color w:val="000000"/>
        <w:sz w:val="24"/>
        <w:szCs w:val="24"/>
      </w:rPr>
      <w:t>© 2009 Thomson Reuters/West. No Claim to Orig. US Gov. Works.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9CF" w:rsidRDefault="00F509CF">
      <w:pPr>
        <w:spacing w:after="0" w:line="240" w:lineRule="auto"/>
      </w:pPr>
      <w:r>
        <w:separator/>
      </w:r>
    </w:p>
  </w:footnote>
  <w:footnote w:type="continuationSeparator" w:id="0">
    <w:p w:rsidR="00F509CF" w:rsidRDefault="00F50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noProof/>
              <w:color w:val="000000"/>
              <w:sz w:val="20"/>
              <w:szCs w:val="20"/>
            </w:rPr>
            <w:drawing>
              <wp:inline distT="0" distB="0" distL="0" distR="0">
                <wp:extent cx="685800" cy="342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5800" cy="342900"/>
                        </a:xfrm>
                        <a:prstGeom prst="rect">
                          <a:avLst/>
                        </a:prstGeom>
                        <a:noFill/>
                        <a:ln w="9525">
                          <a:noFill/>
                          <a:miter lim="800000"/>
                          <a:headEnd/>
                          <a:tailEnd/>
                        </a:ln>
                      </pic:spPr>
                    </pic:pic>
                  </a:graphicData>
                </a:graphic>
              </wp:inline>
            </w:drawing>
          </w: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p>
      </w:tc>
    </w:tr>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7 U.S.C.A. § 6a</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4"/>
              <w:szCs w:val="24"/>
            </w:rPr>
            <w:t>17 C.F.R. § 150.3</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00246A03" w:rsidRPr="008234A1">
            <w:rPr>
              <w:rFonts w:ascii="Times New Roman" w:hAnsi="Times New Roman" w:cs="Times New Roman"/>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4pt;height:27pt">
                <v:imagedata r:id="rId1" o:title=""/>
              </v:shape>
            </w:pict>
          </w: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p>
      </w:tc>
    </w:tr>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17 C.F.R. § 150.4</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4"/>
              <w:szCs w:val="24"/>
            </w:rPr>
            <w:t>17 C.F.R. § 150.4</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00246A03" w:rsidRPr="008234A1">
            <w:rPr>
              <w:rFonts w:ascii="Times New Roman" w:hAnsi="Times New Roman" w:cs="Times New Roman"/>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54pt;height:27pt">
                <v:imagedata r:id="rId1" o:title=""/>
              </v:shape>
            </w:pict>
          </w: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p>
      </w:tc>
    </w:tr>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17 C.F.R. § 150.5</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4"/>
              <w:szCs w:val="24"/>
            </w:rPr>
            <w:t>17 C.F.R. § 150.5</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00246A03" w:rsidRPr="008234A1">
            <w:rPr>
              <w:rFonts w:ascii="Times New Roman" w:hAnsi="Times New Roman" w:cs="Times New Roman"/>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4pt;height:27pt">
                <v:imagedata r:id="rId1" o:title=""/>
              </v:shape>
            </w:pict>
          </w: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p>
      </w:tc>
    </w:tr>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17 C.F.R. § 150.6</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noProof/>
              <w:color w:val="000000"/>
              <w:sz w:val="20"/>
              <w:szCs w:val="20"/>
            </w:rPr>
            <w:drawing>
              <wp:inline distT="0" distB="0" distL="0" distR="0">
                <wp:extent cx="685800" cy="342900"/>
                <wp:effectExtent l="1905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5800" cy="342900"/>
                        </a:xfrm>
                        <a:prstGeom prst="rect">
                          <a:avLst/>
                        </a:prstGeom>
                        <a:noFill/>
                        <a:ln w="9525">
                          <a:noFill/>
                          <a:miter lim="800000"/>
                          <a:headEnd/>
                          <a:tailEnd/>
                        </a:ln>
                      </pic:spPr>
                    </pic:pic>
                  </a:graphicData>
                </a:graphic>
              </wp:inline>
            </w:drawing>
          </w: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p>
      </w:tc>
    </w:tr>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7 U.S.C.A. § 7</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4"/>
              <w:szCs w:val="24"/>
            </w:rPr>
            <w:t>7 U.S.C.A. § 7</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noProof/>
              <w:color w:val="000000"/>
              <w:sz w:val="20"/>
              <w:szCs w:val="20"/>
            </w:rPr>
            <w:drawing>
              <wp:inline distT="0" distB="0" distL="0" distR="0">
                <wp:extent cx="685800" cy="3429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5800" cy="342900"/>
                        </a:xfrm>
                        <a:prstGeom prst="rect">
                          <a:avLst/>
                        </a:prstGeom>
                        <a:noFill/>
                        <a:ln w="9525">
                          <a:noFill/>
                          <a:miter lim="800000"/>
                          <a:headEnd/>
                          <a:tailEnd/>
                        </a:ln>
                      </pic:spPr>
                    </pic:pic>
                  </a:graphicData>
                </a:graphic>
              </wp:inline>
            </w:drawing>
          </w: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p>
      </w:tc>
    </w:tr>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17 C.F.R. Pt. 38, App. B</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4"/>
              <w:szCs w:val="24"/>
            </w:rPr>
            <w:t>7 U.S.C.A. § 6a</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noProof/>
              <w:color w:val="000000"/>
              <w:sz w:val="20"/>
              <w:szCs w:val="20"/>
            </w:rPr>
            <w:drawing>
              <wp:inline distT="0" distB="0" distL="0" distR="0">
                <wp:extent cx="685800" cy="34290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5800" cy="342900"/>
                        </a:xfrm>
                        <a:prstGeom prst="rect">
                          <a:avLst/>
                        </a:prstGeom>
                        <a:noFill/>
                        <a:ln w="9525">
                          <a:noFill/>
                          <a:miter lim="800000"/>
                          <a:headEnd/>
                          <a:tailEnd/>
                        </a:ln>
                      </pic:spPr>
                    </pic:pic>
                  </a:graphicData>
                </a:graphic>
              </wp:inline>
            </w:drawing>
          </w: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p>
      </w:tc>
    </w:tr>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17 C.F.R. § 1.3</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noProof/>
              <w:color w:val="000000"/>
              <w:sz w:val="20"/>
              <w:szCs w:val="20"/>
            </w:rPr>
            <w:drawing>
              <wp:inline distT="0" distB="0" distL="0" distR="0">
                <wp:extent cx="685800" cy="342900"/>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5800" cy="342900"/>
                        </a:xfrm>
                        <a:prstGeom prst="rect">
                          <a:avLst/>
                        </a:prstGeom>
                        <a:noFill/>
                        <a:ln w="9525">
                          <a:noFill/>
                          <a:miter lim="800000"/>
                          <a:headEnd/>
                          <a:tailEnd/>
                        </a:ln>
                      </pic:spPr>
                    </pic:pic>
                  </a:graphicData>
                </a:graphic>
              </wp:inline>
            </w:drawing>
          </w: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p>
      </w:tc>
    </w:tr>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17 C.F.R. § 1.47</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noProof/>
              <w:color w:val="000000"/>
              <w:sz w:val="20"/>
              <w:szCs w:val="20"/>
            </w:rPr>
            <w:drawing>
              <wp:inline distT="0" distB="0" distL="0" distR="0">
                <wp:extent cx="685800" cy="342900"/>
                <wp:effectExtent l="1905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5800" cy="342900"/>
                        </a:xfrm>
                        <a:prstGeom prst="rect">
                          <a:avLst/>
                        </a:prstGeom>
                        <a:noFill/>
                        <a:ln w="9525">
                          <a:noFill/>
                          <a:miter lim="800000"/>
                          <a:headEnd/>
                          <a:tailEnd/>
                        </a:ln>
                      </pic:spPr>
                    </pic:pic>
                  </a:graphicData>
                </a:graphic>
              </wp:inline>
            </w:drawing>
          </w: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p>
      </w:tc>
    </w:tr>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17 C.F.R. § 1.48</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4"/>
              <w:szCs w:val="24"/>
            </w:rPr>
            <w:t>17 C.F.R. § 150.1</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00246A03" w:rsidRPr="008234A1">
            <w:rPr>
              <w:rFonts w:ascii="Times New Roman" w:hAnsi="Times New Roman" w:cs="Times New Roman"/>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pt;height:27pt">
                <v:imagedata r:id="rId1" o:title=""/>
              </v:shape>
            </w:pict>
          </w: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p>
      </w:tc>
    </w:tr>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17 C.F.R. § 150.2</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4"/>
              <w:szCs w:val="24"/>
            </w:rPr>
            <w:t>17 C.F.R. § 150.2</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480"/>
      <w:gridCol w:w="2880"/>
    </w:tblGrid>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00246A03" w:rsidRPr="008234A1">
            <w:rPr>
              <w:rFonts w:ascii="Times New Roman" w:hAnsi="Times New Roman" w:cs="Times New Roman"/>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4pt;height:27pt">
                <v:imagedata r:id="rId1" o:title=""/>
              </v:shape>
            </w:pict>
          </w: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p>
      </w:tc>
    </w:tr>
    <w:tr w:rsidR="00F509CF">
      <w:tc>
        <w:tcPr>
          <w:tcW w:w="64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17 C.F.R. § 150.3</w:t>
          </w:r>
        </w:p>
        <w:p w:rsidR="00F509CF" w:rsidRDefault="00F509C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Times New Roman" w:hAnsi="Times New Roman" w:cs="Times New Roman"/>
              <w:color w:val="000000"/>
              <w:sz w:val="20"/>
              <w:szCs w:val="20"/>
            </w:rPr>
            <w:t> </w:t>
          </w:r>
        </w:p>
        <w:p w:rsidR="00F509CF" w:rsidRDefault="00F509CF">
          <w:pPr>
            <w:widowControl w:val="0"/>
            <w:autoSpaceDE w:val="0"/>
            <w:autoSpaceDN w:val="0"/>
            <w:adjustRightInd w:val="0"/>
            <w:spacing w:after="0" w:line="240"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rsidR="00F509CF" w:rsidRDefault="00F509CF">
          <w:pPr>
            <w:widowControl w:val="0"/>
            <w:autoSpaceDE w:val="0"/>
            <w:autoSpaceDN w:val="0"/>
            <w:adjustRightInd w:val="0"/>
            <w:spacing w:after="0" w:line="240" w:lineRule="auto"/>
            <w:jc w:val="right"/>
            <w:rPr>
              <w:rFonts w:ascii="Arial" w:hAnsi="Arial" w:cs="Arial"/>
              <w:color w:val="000000"/>
              <w:sz w:val="24"/>
              <w:szCs w:val="24"/>
            </w:rPr>
          </w:pPr>
          <w:r>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pgNum/>
          </w: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4"/>
  </w:hdrShapeDefaults>
  <w:footnotePr>
    <w:footnote w:id="-1"/>
    <w:footnote w:id="0"/>
  </w:footnotePr>
  <w:endnotePr>
    <w:endnote w:id="-1"/>
    <w:endnote w:id="0"/>
  </w:endnotePr>
  <w:compat>
    <w:spaceForUL/>
    <w:doNotLeaveBackslashAlone/>
    <w:ulTrailSpace/>
    <w:doNotExpandShiftReturn/>
    <w:adjustLineHeightInTable/>
    <w:useFELayout/>
  </w:compat>
  <w:rsids>
    <w:rsidRoot w:val="007D1E72"/>
    <w:rsid w:val="00246A03"/>
    <w:rsid w:val="003C3FAA"/>
    <w:rsid w:val="004674BB"/>
    <w:rsid w:val="005E3FD2"/>
    <w:rsid w:val="007A66F4"/>
    <w:rsid w:val="007D1E72"/>
    <w:rsid w:val="008234A1"/>
    <w:rsid w:val="00AF381C"/>
    <w:rsid w:val="00F50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4BB"/>
    <w:rPr>
      <w:rFonts w:ascii="Tahoma" w:hAnsi="Tahoma" w:cs="Tahoma"/>
      <w:sz w:val="16"/>
      <w:szCs w:val="16"/>
    </w:rPr>
  </w:style>
  <w:style w:type="table" w:styleId="TableGrid">
    <w:name w:val="Table Grid"/>
    <w:basedOn w:val="TableNormal"/>
    <w:rsid w:val="005E3F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E3F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3FD2"/>
  </w:style>
  <w:style w:type="paragraph" w:styleId="Footer">
    <w:name w:val="footer"/>
    <w:basedOn w:val="Normal"/>
    <w:link w:val="FooterChar"/>
    <w:uiPriority w:val="99"/>
    <w:semiHidden/>
    <w:unhideWhenUsed/>
    <w:rsid w:val="005E3F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3F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westlaw.com/Find/Default.wl?rs=dfa1.0&amp;vr=2.0&amp;DB=1000546&amp;DocName=7USCAS12&amp;FindType=Y" TargetMode="External"/><Relationship Id="rId21" Type="http://schemas.openxmlformats.org/officeDocument/2006/relationships/hyperlink" Target="http://www.westlaw.com/Find/Default.wl?rs=dfa1.0&amp;vr=2.0&amp;DB=1077005&amp;DocName=UU%28IABE0706CB2-D44305B75BD-34EDC7BDEF2%29&amp;FindType=l" TargetMode="External"/><Relationship Id="rId42" Type="http://schemas.openxmlformats.org/officeDocument/2006/relationships/hyperlink" Target="http://www.westlaw.com/Find/Default.wl?rs=dfa1.0&amp;vr=2.0&amp;DB=1000546&amp;DocName=7USCAS2&amp;FindType=Y" TargetMode="External"/><Relationship Id="rId63" Type="http://schemas.openxmlformats.org/officeDocument/2006/relationships/hyperlink" Target="http://www.westlaw.com/Find/Default.wl?rs=dfa1.0&amp;vr=2.0&amp;DB=1000546&amp;DocName=7USCAS7B&amp;FindType=Y" TargetMode="External"/><Relationship Id="rId84" Type="http://schemas.openxmlformats.org/officeDocument/2006/relationships/hyperlink" Target="http://www.westlaw.com/Find/Default.wl?rs=dfa1.0&amp;vr=2.0&amp;DB=1000547&amp;DocName=17CFRS1.3&amp;FindType=Y&amp;ReferencePositionType=S&amp;ReferencePosition=3353000022753" TargetMode="External"/><Relationship Id="rId138" Type="http://schemas.openxmlformats.org/officeDocument/2006/relationships/hyperlink" Target="http://www.westlaw.com/Find/Default.wl?rs=dfa1.0&amp;vr=2.0&amp;DB=1000547&amp;DocName=17CFRS4.13&amp;FindType=Y" TargetMode="External"/><Relationship Id="rId159" Type="http://schemas.openxmlformats.org/officeDocument/2006/relationships/footer" Target="footer8.xml"/><Relationship Id="rId170" Type="http://schemas.openxmlformats.org/officeDocument/2006/relationships/header" Target="header9.xml"/><Relationship Id="rId191" Type="http://schemas.openxmlformats.org/officeDocument/2006/relationships/hyperlink" Target="http://www.westlaw.com/Find/Default.wl?rs=dfa1.0&amp;vr=2.0&amp;DB=1000546&amp;DocName=7USCAS12A&amp;FindType=Y&amp;ReferencePositionType=S&amp;ReferencePosition=362c000048fd7" TargetMode="External"/><Relationship Id="rId205" Type="http://schemas.openxmlformats.org/officeDocument/2006/relationships/hyperlink" Target="http://www.westlaw.com/Find/Default.wl?rs=dfa1.0&amp;vr=2.0&amp;DB=1000546&amp;DocName=7USCAS6A&amp;FindType=Y" TargetMode="External"/><Relationship Id="rId226" Type="http://schemas.openxmlformats.org/officeDocument/2006/relationships/footer" Target="footer14.xml"/><Relationship Id="rId247" Type="http://schemas.openxmlformats.org/officeDocument/2006/relationships/hyperlink" Target="http://www.westlaw.com/Find/Default.wl?rs=dfa1.0&amp;vr=2.0&amp;DB=CFR&amp;DocName=PRT+++++++++%28+++++++++010585133+++++++++%29+%25+CI%28REFS+%28DISP+%2F2+TABLE%29+%28MISC+%2F2+TABLE%29%29++++++++&amp;FindType=l&amp;JL=2&amp;SR=SB" TargetMode="External"/><Relationship Id="rId107" Type="http://schemas.openxmlformats.org/officeDocument/2006/relationships/hyperlink" Target="http://www.westlaw.com/Find/Default.wl?rs=dfa1.0&amp;vr=2.0&amp;DB=1000546&amp;DocName=7USCAS6L&amp;FindType=Y" TargetMode="External"/><Relationship Id="rId11" Type="http://schemas.openxmlformats.org/officeDocument/2006/relationships/hyperlink" Target="http://www.westlaw.com/Find/Default.wl?rs=dfa1.0&amp;vr=2.0&amp;DB=USCA&amp;DocName=PRT%28001828332%29+%25+CI%28REFS+%28DISP+%2F2+TABLE%29+%28MISC+%2F2+TABLE%29%29&amp;FindType=l&amp;JL=2&amp;SR=SB" TargetMode="External"/><Relationship Id="rId32" Type="http://schemas.openxmlformats.org/officeDocument/2006/relationships/header" Target="header4.xml"/><Relationship Id="rId53" Type="http://schemas.openxmlformats.org/officeDocument/2006/relationships/hyperlink" Target="http://www.westlaw.com/Find/Default.wl?rs=dfa1.0&amp;vr=2.0&amp;DB=1000546&amp;DocName=7USCAS6I&amp;FindType=Y" TargetMode="External"/><Relationship Id="rId74" Type="http://schemas.openxmlformats.org/officeDocument/2006/relationships/hyperlink" Target="http://www.westlaw.com/Find/Default.wl?rs=dfa1.0&amp;vr=2.0&amp;DB=1000546&amp;DocName=7USCAS19&amp;FindType=Y" TargetMode="External"/><Relationship Id="rId128" Type="http://schemas.openxmlformats.org/officeDocument/2006/relationships/hyperlink" Target="http://www.westlaw.com/Find/Default.wl?rs=dfa1.0&amp;vr=2.0&amp;DB=1000546&amp;DocName=7USCAS24&amp;FindType=Y" TargetMode="External"/><Relationship Id="rId149" Type="http://schemas.openxmlformats.org/officeDocument/2006/relationships/hyperlink" Target="http://www.westlaw.com/Find/Default.wl?rs=dfa1.0&amp;vr=2.0&amp;DB=1000546&amp;DocName=7USCAS6A&amp;FindType=Y" TargetMode="External"/><Relationship Id="rId5" Type="http://schemas.openxmlformats.org/officeDocument/2006/relationships/endnotes" Target="endnotes.xml"/><Relationship Id="rId95" Type="http://schemas.openxmlformats.org/officeDocument/2006/relationships/hyperlink" Target="http://www.westlaw.com/Find/Default.wl?rs=dfa1.0&amp;vr=2.0&amp;DB=1000546&amp;DocName=7USCAS6&amp;FindType=Y" TargetMode="External"/><Relationship Id="rId160" Type="http://schemas.openxmlformats.org/officeDocument/2006/relationships/hyperlink" Target="http://www.westlaw.com/Find/Default.wl?rs=dfa1.0&amp;vr=2.0&amp;DB=0001037&amp;DocName=58FR17982&amp;FindType=Y" TargetMode="External"/><Relationship Id="rId181" Type="http://schemas.openxmlformats.org/officeDocument/2006/relationships/hyperlink" Target="http://www.westlaw.com/Find/Default.wl?rs=dfa1.0&amp;vr=2.0&amp;DB=1000547&amp;DocName=17CFRS4.34&amp;FindType=Y" TargetMode="External"/><Relationship Id="rId216" Type="http://schemas.openxmlformats.org/officeDocument/2006/relationships/hyperlink" Target="http://www.westlaw.com/Find/Default.wl?rs=dfa1.0&amp;vr=2.0&amp;DB=1000547&amp;DocName=17CFRS150.2&amp;FindType=Y" TargetMode="External"/><Relationship Id="rId237" Type="http://schemas.openxmlformats.org/officeDocument/2006/relationships/hyperlink" Target="http://www.westlaw.com/Find/Default.wl?rs=dfa1.0&amp;vr=2.0&amp;DB=1077005&amp;DocName=UU%28I2BFA3BE267-554A13B30CF-BF2833164A2%29&amp;FindType=l" TargetMode="External"/><Relationship Id="rId22" Type="http://schemas.openxmlformats.org/officeDocument/2006/relationships/hyperlink" Target="http://www.westlaw.com/Find/Default.wl?rs=dfa1.0&amp;vr=2.0&amp;DB=1077005&amp;DocName=UU%28I2BFA3BE267-554A13B30CF-BF2833164A2%29&amp;FindType=l" TargetMode="External"/><Relationship Id="rId43" Type="http://schemas.openxmlformats.org/officeDocument/2006/relationships/hyperlink" Target="http://www.westlaw.com/Find/Default.wl?rs=dfa1.0&amp;vr=2.0&amp;DB=1000546&amp;DocName=7USCAS5&amp;FindType=Y" TargetMode="External"/><Relationship Id="rId64" Type="http://schemas.openxmlformats.org/officeDocument/2006/relationships/hyperlink" Target="http://www.westlaw.com/Find/Default.wl?rs=dfa1.0&amp;vr=2.0&amp;DB=1000546&amp;DocName=7USCAS8&amp;FindType=Y" TargetMode="External"/><Relationship Id="rId118" Type="http://schemas.openxmlformats.org/officeDocument/2006/relationships/hyperlink" Target="http://www.westlaw.com/Find/Default.wl?rs=dfa1.0&amp;vr=2.0&amp;DB=1000546&amp;DocName=7USCAS12A&amp;FindType=Y" TargetMode="External"/><Relationship Id="rId139" Type="http://schemas.openxmlformats.org/officeDocument/2006/relationships/hyperlink" Target="http://www.westlaw.com/Find/Default.wl?rs=dfa1.0&amp;vr=2.0&amp;DB=1000547&amp;DocName=17CFRS4.13&amp;FindType=Y" TargetMode="External"/><Relationship Id="rId85" Type="http://schemas.openxmlformats.org/officeDocument/2006/relationships/hyperlink" Target="http://www.westlaw.com/Find/Default.wl?rs=dfa1.0&amp;vr=2.0&amp;DB=1000547&amp;DocName=17CFRS1.3&amp;FindType=Y&amp;ReferencePositionType=S&amp;ReferencePosition=8d080000c5814" TargetMode="External"/><Relationship Id="rId150" Type="http://schemas.openxmlformats.org/officeDocument/2006/relationships/hyperlink" Target="http://www.westlaw.com/Find/Default.wl?rs=dfa1.0&amp;vr=2.0&amp;DB=1000546&amp;DocName=7USCAS6C&amp;FindType=Y" TargetMode="External"/><Relationship Id="rId171" Type="http://schemas.openxmlformats.org/officeDocument/2006/relationships/footer" Target="footer9.xml"/><Relationship Id="rId192" Type="http://schemas.openxmlformats.org/officeDocument/2006/relationships/hyperlink" Target="http://www.westlaw.com/Find/Default.wl?rs=dfa1.0&amp;vr=2.0&amp;DB=1077005&amp;DocName=UU%28I2BFA3BE267-554A13B30CF-BF2833164A2%29&amp;FindType=l" TargetMode="External"/><Relationship Id="rId206" Type="http://schemas.openxmlformats.org/officeDocument/2006/relationships/hyperlink" Target="http://www.westlaw.com/Find/Default.wl?rs=dfa1.0&amp;vr=2.0&amp;DB=1000546&amp;DocName=7USCAS6C&amp;FindType=Y" TargetMode="External"/><Relationship Id="rId227" Type="http://schemas.openxmlformats.org/officeDocument/2006/relationships/header" Target="header15.xml"/><Relationship Id="rId248" Type="http://schemas.openxmlformats.org/officeDocument/2006/relationships/hyperlink" Target="http://www.westlaw.com/Find/Default.wl?rs=dfa1.0&amp;vr=2.0&amp;DB=CFR&amp;FindType=l" TargetMode="External"/><Relationship Id="rId12" Type="http://schemas.openxmlformats.org/officeDocument/2006/relationships/image" Target="media/image3.png"/><Relationship Id="rId17" Type="http://schemas.openxmlformats.org/officeDocument/2006/relationships/hyperlink" Target="http://www.westlaw.com/Find/Default.wl?rs=dfa1.0&amp;vr=2.0&amp;DB=1000546&amp;DocName=7USCAS13&amp;FindType=Y&amp;ReferencePositionType=S&amp;ReferencePosition=488b0000d05e2" TargetMode="External"/><Relationship Id="rId33" Type="http://schemas.openxmlformats.org/officeDocument/2006/relationships/footer" Target="footer4.xml"/><Relationship Id="rId38" Type="http://schemas.openxmlformats.org/officeDocument/2006/relationships/hyperlink" Target="http://www.westlaw.com/Find/Default.wl?rs=dfa1.0&amp;vr=2.0&amp;DB=0001037&amp;DocName=46FR63035&amp;FindType=Y" TargetMode="External"/><Relationship Id="rId59" Type="http://schemas.openxmlformats.org/officeDocument/2006/relationships/hyperlink" Target="http://www.westlaw.com/Find/Default.wl?rs=dfa1.0&amp;vr=2.0&amp;DB=1000546&amp;DocName=7USCAS6O&amp;FindType=Y" TargetMode="External"/><Relationship Id="rId103" Type="http://schemas.openxmlformats.org/officeDocument/2006/relationships/hyperlink" Target="http://www.westlaw.com/Find/Default.wl?rs=dfa1.0&amp;vr=2.0&amp;DB=1000546&amp;DocName=7USCAS6H&amp;FindType=Y" TargetMode="External"/><Relationship Id="rId108" Type="http://schemas.openxmlformats.org/officeDocument/2006/relationships/hyperlink" Target="http://www.westlaw.com/Find/Default.wl?rs=dfa1.0&amp;vr=2.0&amp;DB=1000546&amp;DocName=7USCAS6M&amp;FindType=Y" TargetMode="External"/><Relationship Id="rId124" Type="http://schemas.openxmlformats.org/officeDocument/2006/relationships/hyperlink" Target="http://www.westlaw.com/Find/Default.wl?rs=dfa1.0&amp;vr=2.0&amp;DB=1000546&amp;DocName=7USCAS16A&amp;FindType=Y" TargetMode="External"/><Relationship Id="rId129" Type="http://schemas.openxmlformats.org/officeDocument/2006/relationships/hyperlink" Target="http://www.westlaw.com/Find/Default.wl?rs=dfa1.0&amp;vr=2.0&amp;DB=1077005&amp;DocName=UU%28I2BFA3BE267-554A13B30CF-BF2833164A2%29&amp;FindType=l" TargetMode="External"/><Relationship Id="rId54" Type="http://schemas.openxmlformats.org/officeDocument/2006/relationships/hyperlink" Target="http://www.westlaw.com/Find/Default.wl?rs=dfa1.0&amp;vr=2.0&amp;DB=1000546&amp;DocName=7USCAS6J&amp;FindType=Y" TargetMode="External"/><Relationship Id="rId70" Type="http://schemas.openxmlformats.org/officeDocument/2006/relationships/hyperlink" Target="http://www.westlaw.com/Find/Default.wl?rs=dfa1.0&amp;vr=2.0&amp;DB=1000546&amp;DocName=7USCAS13A&amp;FindType=Y" TargetMode="External"/><Relationship Id="rId75" Type="http://schemas.openxmlformats.org/officeDocument/2006/relationships/hyperlink" Target="http://www.westlaw.com/Find/Default.wl?rs=dfa1.0&amp;vr=2.0&amp;DB=1000546&amp;DocName=7USCAS21&amp;FindType=Y" TargetMode="External"/><Relationship Id="rId91" Type="http://schemas.openxmlformats.org/officeDocument/2006/relationships/hyperlink" Target="http://www.westlaw.com/Find/Default.wl?rs=dfa1.0&amp;vr=2.0&amp;DB=0001037&amp;DocName=59FR5525&amp;FindType=Y" TargetMode="External"/><Relationship Id="rId96" Type="http://schemas.openxmlformats.org/officeDocument/2006/relationships/hyperlink" Target="http://www.westlaw.com/Find/Default.wl?rs=dfa1.0&amp;vr=2.0&amp;DB=1000546&amp;DocName=7USCAS6A&amp;FindType=Y" TargetMode="External"/><Relationship Id="rId140" Type="http://schemas.openxmlformats.org/officeDocument/2006/relationships/hyperlink" Target="http://www.westlaw.com/Find/Default.wl?rs=dfa1.0&amp;vr=2.0&amp;DB=1000547&amp;DocName=17CFRS16.01&amp;FindType=Y" TargetMode="External"/><Relationship Id="rId145" Type="http://schemas.openxmlformats.org/officeDocument/2006/relationships/hyperlink" Target="http://www.westlaw.com/Find/Default.wl?rs=dfa1.0&amp;vr=2.0&amp;DB=184736&amp;DocName=UUID%28I454EE10033-B711DA815BD-679F0D6A697%29&amp;FindType=l" TargetMode="External"/><Relationship Id="rId161" Type="http://schemas.openxmlformats.org/officeDocument/2006/relationships/hyperlink" Target="http://www.westlaw.com/Find/Default.wl?rs=dfa1.0&amp;vr=2.0&amp;DB=184736&amp;DocName=UUID%28I714AEEB034-5D11DA815BD-679F0D6A697%29&amp;FindType=l" TargetMode="External"/><Relationship Id="rId166" Type="http://schemas.openxmlformats.org/officeDocument/2006/relationships/hyperlink" Target="http://www.westlaw.com/Find/Default.wl?rs=dfa1.0&amp;vr=2.0&amp;DB=1000546&amp;DocName=7USCAS6A&amp;FindType=Y" TargetMode="External"/><Relationship Id="rId182" Type="http://schemas.openxmlformats.org/officeDocument/2006/relationships/hyperlink" Target="http://www.westlaw.com/Find/Default.wl?rs=dfa1.0&amp;vr=2.0&amp;DB=184736&amp;DocName=UUID%28I296BF28030-7811DAAECA8-D28B8108CB8%29&amp;FindType=l" TargetMode="External"/><Relationship Id="rId187" Type="http://schemas.openxmlformats.org/officeDocument/2006/relationships/hyperlink" Target="http://www.westlaw.com/Find/Default.wl?rs=dfa1.0&amp;vr=2.0&amp;DB=184736&amp;DocName=UUID%28I3F8B4AC030-6E11DA8794A-B47DD0CABB0%29&amp;FindType=l" TargetMode="External"/><Relationship Id="rId217" Type="http://schemas.openxmlformats.org/officeDocument/2006/relationships/hyperlink" Target="http://www.westlaw.com/Find/Default.wl?rs=dfa1.0&amp;vr=2.0&amp;DB=1000547&amp;DocName=17CFRS1.3&amp;FindType=Y&amp;ReferencePositionType=S&amp;ReferencePosition=85cf000044a65" TargetMode="External"/><Relationship Id="rId1" Type="http://schemas.openxmlformats.org/officeDocument/2006/relationships/styles" Target="styles.xml"/><Relationship Id="rId6" Type="http://schemas.openxmlformats.org/officeDocument/2006/relationships/header" Target="header1.xml"/><Relationship Id="rId212" Type="http://schemas.openxmlformats.org/officeDocument/2006/relationships/footer" Target="footer13.xml"/><Relationship Id="rId233" Type="http://schemas.openxmlformats.org/officeDocument/2006/relationships/hyperlink" Target="http://www.westlaw.com/Find/Default.wl?rs=dfa1.0&amp;vr=2.0&amp;DB=184736&amp;DocName=UUID%28I3F8B4AC030-6E11DA8794A-B47DD0CABB0%29&amp;FindType=l" TargetMode="External"/><Relationship Id="rId238" Type="http://schemas.openxmlformats.org/officeDocument/2006/relationships/header" Target="header16.xml"/><Relationship Id="rId23" Type="http://schemas.openxmlformats.org/officeDocument/2006/relationships/hyperlink" Target="http://www.westlaw.com/Find/Default.wl?rs=dfa1.0&amp;vr=2.0&amp;DB=1077005&amp;DocName=UU%28I3259236028-E411DD991FE-F77EFEF62DC%29&amp;FindType=l" TargetMode="External"/><Relationship Id="rId28" Type="http://schemas.openxmlformats.org/officeDocument/2006/relationships/hyperlink" Target="http://www.westlaw.com/Find/Default.wl?rs=dfa1.0&amp;vr=2.0&amp;DB=CFR&amp;DocName=PRT+++++++++%28+++++++++005451599+++++++++%29+%25+CI%28REFS+%28DISP+%2F2+TABLE%29+%28MISC+%2F2+TABLE%29%29++++++++&amp;FindType=l&amp;JL=2&amp;SR=SB" TargetMode="External"/><Relationship Id="rId49" Type="http://schemas.openxmlformats.org/officeDocument/2006/relationships/hyperlink" Target="http://www.westlaw.com/Find/Default.wl?rs=dfa1.0&amp;vr=2.0&amp;DB=1000546&amp;DocName=7USCAS6E&amp;FindType=Y" TargetMode="External"/><Relationship Id="rId114" Type="http://schemas.openxmlformats.org/officeDocument/2006/relationships/hyperlink" Target="http://www.westlaw.com/Find/Default.wl?rs=dfa1.0&amp;vr=2.0&amp;DB=1000546&amp;DocName=7USCAS7B&amp;FindType=Y" TargetMode="External"/><Relationship Id="rId119" Type="http://schemas.openxmlformats.org/officeDocument/2006/relationships/hyperlink" Target="http://www.westlaw.com/Find/Default.wl?rs=dfa1.0&amp;vr=2.0&amp;DB=1000546&amp;DocName=7USCAS12C&amp;FindType=Y" TargetMode="External"/><Relationship Id="rId44" Type="http://schemas.openxmlformats.org/officeDocument/2006/relationships/hyperlink" Target="http://www.westlaw.com/Find/Default.wl?rs=dfa1.0&amp;vr=2.0&amp;DB=1000546&amp;DocName=7USCAS6&amp;FindType=Y" TargetMode="External"/><Relationship Id="rId60" Type="http://schemas.openxmlformats.org/officeDocument/2006/relationships/hyperlink" Target="http://www.westlaw.com/Find/Default.wl?rs=dfa1.0&amp;vr=2.0&amp;DB=1000546&amp;DocName=7USCAS6P&amp;FindType=Y" TargetMode="External"/><Relationship Id="rId65" Type="http://schemas.openxmlformats.org/officeDocument/2006/relationships/hyperlink" Target="http://www.westlaw.com/Find/Default.wl?rs=dfa1.0&amp;vr=2.0&amp;DB=1000546&amp;DocName=7USCAS9&amp;FindType=Y" TargetMode="External"/><Relationship Id="rId81" Type="http://schemas.openxmlformats.org/officeDocument/2006/relationships/hyperlink" Target="http://www.westlaw.com/Find/Default.wl?rs=dfa1.0&amp;vr=2.0&amp;DB=CFR&amp;DocName=PRT+++++++++%28+++++++++005451599+++++++++%29+%25+CI%28REFS+%28DISP+%2F2+TABLE%29+%28MISC+%2F2+TABLE%29%29++++++++&amp;FindType=l&amp;JL=2&amp;SR=SB" TargetMode="External"/><Relationship Id="rId86" Type="http://schemas.openxmlformats.org/officeDocument/2006/relationships/hyperlink" Target="http://www.westlaw.com/Find/Default.wl?rs=dfa1.0&amp;vr=2.0&amp;DB=1000547&amp;DocName=17CFRS1.3&amp;FindType=Y&amp;ReferencePositionType=S&amp;ReferencePosition=96180000dbeb7" TargetMode="External"/><Relationship Id="rId130" Type="http://schemas.openxmlformats.org/officeDocument/2006/relationships/image" Target="media/image6.png"/><Relationship Id="rId135" Type="http://schemas.openxmlformats.org/officeDocument/2006/relationships/image" Target="media/image8.png"/><Relationship Id="rId151" Type="http://schemas.openxmlformats.org/officeDocument/2006/relationships/hyperlink" Target="http://www.westlaw.com/Find/Default.wl?rs=dfa1.0&amp;vr=2.0&amp;DB=1000546&amp;DocName=7USCAS12A&amp;FindType=Y&amp;ReferencePositionType=S&amp;ReferencePosition=362c000048fd7" TargetMode="External"/><Relationship Id="rId156" Type="http://schemas.openxmlformats.org/officeDocument/2006/relationships/hyperlink" Target="http://www.westlaw.com/Find/Default.wl?rs=dfa1.0&amp;vr=2.0&amp;DB=CFR&amp;DocName=PRT+++++++++%28+++++++++005457146+++++++++%29+%25+CI%28REFS+%28DISP+%2F2+TABLE%29+%28MISC+%2F2+TABLE%29%29++++++++&amp;FindType=l&amp;JL=2&amp;SR=SB" TargetMode="External"/><Relationship Id="rId177" Type="http://schemas.openxmlformats.org/officeDocument/2006/relationships/hyperlink" Target="http://www.westlaw.com/Find/Default.wl?rs=dfa1.0&amp;vr=2.0&amp;DB=1000547&amp;DocName=17CFRS150.2&amp;FindType=Y" TargetMode="External"/><Relationship Id="rId198" Type="http://schemas.openxmlformats.org/officeDocument/2006/relationships/hyperlink" Target="http://www.westlaw.com/Find/Default.wl?rs=dfa1.0&amp;vr=2.0&amp;DB=CFR&amp;DocName=PRT+++++++++%28+++++++++005457146+++++++++%29+%25+CI%28REFS+%28DISP+%2F2+TABLE%29+%28MISC+%2F2+TABLE%29%29++++++++&amp;FindType=l&amp;JL=2&amp;SR=SB" TargetMode="External"/><Relationship Id="rId172" Type="http://schemas.openxmlformats.org/officeDocument/2006/relationships/hyperlink" Target="http://www.westlaw.com/Find/Default.wl?rs=dfa1.0&amp;vr=2.0&amp;DB=CFR&amp;DocName=PRT+++++++++%28+++++++++005451598+++++++++%29+%25+CI%28REFS+%28DISP+%2F2+TABLE%29+%28MISC+%2F2+TABLE%29%29++++++++&amp;FindType=l&amp;JL=2&amp;SR=SB" TargetMode="External"/><Relationship Id="rId193" Type="http://schemas.openxmlformats.org/officeDocument/2006/relationships/header" Target="header10.xml"/><Relationship Id="rId202" Type="http://schemas.openxmlformats.org/officeDocument/2006/relationships/hyperlink" Target="http://www.westlaw.com/Find/Default.wl?rs=dfa1.0&amp;vr=2.0&amp;DB=1000547&amp;DocName=17CFRS150.2&amp;FindType=Y" TargetMode="External"/><Relationship Id="rId207" Type="http://schemas.openxmlformats.org/officeDocument/2006/relationships/hyperlink" Target="http://www.westlaw.com/Find/Default.wl?rs=dfa1.0&amp;vr=2.0&amp;DB=1000546&amp;DocName=7USCAS12A&amp;FindType=Y&amp;ReferencePositionType=S&amp;ReferencePosition=362c000048fd7" TargetMode="External"/><Relationship Id="rId223" Type="http://schemas.openxmlformats.org/officeDocument/2006/relationships/hyperlink" Target="http://www.westlaw.com/Find/Default.wl?rs=dfa1.0&amp;vr=2.0&amp;DB=1000546&amp;DocName=7USCAS12A&amp;FindType=Y&amp;ReferencePositionType=S&amp;ReferencePosition=362c000048fd7" TargetMode="External"/><Relationship Id="rId228" Type="http://schemas.openxmlformats.org/officeDocument/2006/relationships/footer" Target="footer15.xml"/><Relationship Id="rId244" Type="http://schemas.openxmlformats.org/officeDocument/2006/relationships/header" Target="header18.xml"/><Relationship Id="rId249" Type="http://schemas.openxmlformats.org/officeDocument/2006/relationships/hyperlink" Target="http://www.westlaw.com/Find/Default.wl?rs=dfa1.0&amp;vr=2.0&amp;DB=1000547&amp;DocName=17CFRS1.3&amp;FindType=Y&amp;ReferencePositionType=S&amp;ReferencePosition=32850000aeb75" TargetMode="External"/><Relationship Id="rId13" Type="http://schemas.openxmlformats.org/officeDocument/2006/relationships/hyperlink" Target="http://www.westlaw.com/Find/Default.wl?rs=dfa1.0&amp;vr=2.0&amp;DB=USCA&amp;DocName=lk%287USCAC1R%29&amp;FindType=l" TargetMode="External"/><Relationship Id="rId18" Type="http://schemas.openxmlformats.org/officeDocument/2006/relationships/hyperlink" Target="http://www.westlaw.com/Find/Default.wl?rs=dfa1.0&amp;vr=2.0&amp;DB=1077005&amp;DocName=UU%28IE213C58EF3-D84C7A91D20-D6D122DBE53%29&amp;FindType=l" TargetMode="External"/><Relationship Id="rId39" Type="http://schemas.openxmlformats.org/officeDocument/2006/relationships/hyperlink" Target="http://www.westlaw.com/Find/Default.wl?rs=dfa1.0&amp;vr=2.0&amp;DB=0001037&amp;DocName=52FR46072&amp;FindType=Y" TargetMode="External"/><Relationship Id="rId109" Type="http://schemas.openxmlformats.org/officeDocument/2006/relationships/hyperlink" Target="http://www.westlaw.com/Find/Default.wl?rs=dfa1.0&amp;vr=2.0&amp;DB=1000546&amp;DocName=7USCAS6N&amp;FindType=Y" TargetMode="External"/><Relationship Id="rId34" Type="http://schemas.openxmlformats.org/officeDocument/2006/relationships/hyperlink" Target="http://www.westlaw.com/Find/Default.wl?rs=dfa1.0&amp;vr=2.0&amp;DB=CFR&amp;DocName=PRT+++++++++%28+++++++++005451599+++++++++%29+%25+CI%28REFS+%28DISP+%2F2+TABLE%29+%28MISC+%2F2+TABLE%29%29++++++++&amp;FindType=l&amp;JL=2&amp;SR=SB" TargetMode="External"/><Relationship Id="rId50" Type="http://schemas.openxmlformats.org/officeDocument/2006/relationships/hyperlink" Target="http://www.westlaw.com/Find/Default.wl?rs=dfa1.0&amp;vr=2.0&amp;DB=1000546&amp;DocName=7USCAS6F&amp;FindType=Y" TargetMode="External"/><Relationship Id="rId55" Type="http://schemas.openxmlformats.org/officeDocument/2006/relationships/hyperlink" Target="http://www.westlaw.com/Find/Default.wl?rs=dfa1.0&amp;vr=2.0&amp;DB=1000546&amp;DocName=7USCAS6K&amp;FindType=Y" TargetMode="External"/><Relationship Id="rId76" Type="http://schemas.openxmlformats.org/officeDocument/2006/relationships/hyperlink" Target="http://www.westlaw.com/Find/Default.wl?rs=dfa1.0&amp;vr=2.0&amp;DB=1000546&amp;DocName=7USCAS23&amp;FindType=Y" TargetMode="External"/><Relationship Id="rId97" Type="http://schemas.openxmlformats.org/officeDocument/2006/relationships/hyperlink" Target="http://www.westlaw.com/Find/Default.wl?rs=dfa1.0&amp;vr=2.0&amp;DB=1000546&amp;DocName=7USCAS6B&amp;FindType=Y" TargetMode="External"/><Relationship Id="rId104" Type="http://schemas.openxmlformats.org/officeDocument/2006/relationships/hyperlink" Target="http://www.westlaw.com/Find/Default.wl?rs=dfa1.0&amp;vr=2.0&amp;DB=1000546&amp;DocName=7USCAS6I&amp;FindType=Y" TargetMode="External"/><Relationship Id="rId120" Type="http://schemas.openxmlformats.org/officeDocument/2006/relationships/hyperlink" Target="http://www.westlaw.com/Find/Default.wl?rs=dfa1.0&amp;vr=2.0&amp;DB=1000546&amp;DocName=7USCAS13A&amp;FindType=Y" TargetMode="External"/><Relationship Id="rId125" Type="http://schemas.openxmlformats.org/officeDocument/2006/relationships/hyperlink" Target="http://www.westlaw.com/Find/Default.wl?rs=dfa1.0&amp;vr=2.0&amp;DB=1000546&amp;DocName=7USCAS19&amp;FindType=Y" TargetMode="External"/><Relationship Id="rId141" Type="http://schemas.openxmlformats.org/officeDocument/2006/relationships/header" Target="header6.xml"/><Relationship Id="rId146" Type="http://schemas.openxmlformats.org/officeDocument/2006/relationships/hyperlink" Target="http://www.westlaw.com/Find/Default.wl?rs=dfa1.0&amp;vr=2.0&amp;DB=184736&amp;DocName=UUID%28I714AEEB034-5D11DA815BD-679F0D6A697%29&amp;FindType=l" TargetMode="External"/><Relationship Id="rId167" Type="http://schemas.openxmlformats.org/officeDocument/2006/relationships/hyperlink" Target="http://www.westlaw.com/Find/Default.wl?rs=dfa1.0&amp;vr=2.0&amp;DB=1000546&amp;DocName=7USCAS6C&amp;FindType=Y" TargetMode="External"/><Relationship Id="rId188" Type="http://schemas.openxmlformats.org/officeDocument/2006/relationships/hyperlink" Target="http://www.westlaw.com/Find/Default.wl?rs=dfa1.0&amp;vr=2.0&amp;DB=184736&amp;DocName=UUID%28I454EE10033-B711DA815BD-679F0D6A697%29&amp;FindType=l" TargetMode="External"/><Relationship Id="rId7" Type="http://schemas.openxmlformats.org/officeDocument/2006/relationships/footer" Target="footer1.xml"/><Relationship Id="rId71" Type="http://schemas.openxmlformats.org/officeDocument/2006/relationships/hyperlink" Target="http://www.westlaw.com/Find/Default.wl?rs=dfa1.0&amp;vr=2.0&amp;DB=1000546&amp;DocName=7USCAS1&amp;FindType=Y" TargetMode="External"/><Relationship Id="rId92" Type="http://schemas.openxmlformats.org/officeDocument/2006/relationships/hyperlink" Target="http://www.westlaw.com/Find/Default.wl?rs=dfa1.0&amp;vr=2.0&amp;DB=1000546&amp;DocName=7USCAS1A&amp;FindType=Y" TargetMode="External"/><Relationship Id="rId162" Type="http://schemas.openxmlformats.org/officeDocument/2006/relationships/hyperlink" Target="http://www.westlaw.com/Find/Default.wl?rs=dfa1.0&amp;vr=2.0&amp;DB=184736&amp;DocName=UUID%28I9B1C9BF03C-4E11DAAE9AB-B7EB80F7B3D%29&amp;FindType=l" TargetMode="External"/><Relationship Id="rId183" Type="http://schemas.openxmlformats.org/officeDocument/2006/relationships/hyperlink" Target="http://www.westlaw.com/Find/Default.wl?rs=dfa1.0&amp;vr=2.0&amp;DB=184736&amp;DocName=UUID%28I0664C0C02E-DC11DAA76E8-C4D774DCFAA%29&amp;FindType=l" TargetMode="External"/><Relationship Id="rId213" Type="http://schemas.openxmlformats.org/officeDocument/2006/relationships/hyperlink" Target="http://www.westlaw.com/Find/Default.wl?rs=dfa1.0&amp;vr=2.0&amp;DB=CFR&amp;DocName=PRT+++++++++%28+++++++++005451598+++++++++%29+%25+CI%28REFS+%28DISP+%2F2+TABLE%29+%28MISC+%2F2+TABLE%29%29++++++++&amp;FindType=l&amp;JL=2&amp;SR=SB" TargetMode="External"/><Relationship Id="rId218" Type="http://schemas.openxmlformats.org/officeDocument/2006/relationships/hyperlink" Target="http://www.westlaw.com/Find/Default.wl?rs=dfa1.0&amp;vr=2.0&amp;DB=1000547&amp;DocName=17CFRS1.41&amp;FindType=Y" TargetMode="External"/><Relationship Id="rId234" Type="http://schemas.openxmlformats.org/officeDocument/2006/relationships/hyperlink" Target="http://www.westlaw.com/Find/Default.wl?rs=dfa1.0&amp;vr=2.0&amp;DB=1000546&amp;DocName=7USCAS6A&amp;FindType=Y" TargetMode="External"/><Relationship Id="rId239" Type="http://schemas.openxmlformats.org/officeDocument/2006/relationships/footer" Target="footer16.xml"/><Relationship Id="rId2" Type="http://schemas.openxmlformats.org/officeDocument/2006/relationships/settings" Target="settings.xml"/><Relationship Id="rId29" Type="http://schemas.openxmlformats.org/officeDocument/2006/relationships/hyperlink" Target="http://www.westlaw.com/Find/Default.wl?rs=dfa1.0&amp;vr=2.0&amp;DB=CFR&amp;FindType=l" TargetMode="External"/><Relationship Id="rId250" Type="http://schemas.openxmlformats.org/officeDocument/2006/relationships/fontTable" Target="fontTable.xml"/><Relationship Id="rId24" Type="http://schemas.openxmlformats.org/officeDocument/2006/relationships/hyperlink" Target="http://www.westlaw.com/Find/Default.wl?rs=dfa1.0&amp;vr=2.0&amp;DB=1077005&amp;DocName=UU%28I7EF2E9E03E-1F11DDB905F-EDE6004179C%29&amp;FindType=l" TargetMode="External"/><Relationship Id="rId40" Type="http://schemas.openxmlformats.org/officeDocument/2006/relationships/hyperlink" Target="http://www.westlaw.com/Find/Default.wl?rs=dfa1.0&amp;vr=2.0&amp;DB=0001037&amp;DocName=59FR5525&amp;FindType=Y" TargetMode="External"/><Relationship Id="rId45" Type="http://schemas.openxmlformats.org/officeDocument/2006/relationships/hyperlink" Target="http://www.westlaw.com/Find/Default.wl?rs=dfa1.0&amp;vr=2.0&amp;DB=1000546&amp;DocName=7USCAS6A&amp;FindType=Y" TargetMode="External"/><Relationship Id="rId66" Type="http://schemas.openxmlformats.org/officeDocument/2006/relationships/hyperlink" Target="http://www.westlaw.com/Find/Default.wl?rs=dfa1.0&amp;vr=2.0&amp;DB=1000546&amp;DocName=7USCAS12&amp;FindType=Y" TargetMode="External"/><Relationship Id="rId87" Type="http://schemas.openxmlformats.org/officeDocument/2006/relationships/hyperlink" Target="http://www.westlaw.com/Find/Default.wl?rs=dfa1.0&amp;vr=2.0&amp;DB=1000547&amp;DocName=17CFRS1.3&amp;FindType=Y&amp;ReferencePositionType=S&amp;ReferencePosition=17a3000024864" TargetMode="External"/><Relationship Id="rId110" Type="http://schemas.openxmlformats.org/officeDocument/2006/relationships/hyperlink" Target="http://www.westlaw.com/Find/Default.wl?rs=dfa1.0&amp;vr=2.0&amp;DB=1000546&amp;DocName=7USCAS6O&amp;FindType=Y" TargetMode="External"/><Relationship Id="rId115" Type="http://schemas.openxmlformats.org/officeDocument/2006/relationships/hyperlink" Target="http://www.westlaw.com/Find/Default.wl?rs=dfa1.0&amp;vr=2.0&amp;DB=1000546&amp;DocName=7USCAS8&amp;FindType=Y" TargetMode="External"/><Relationship Id="rId131" Type="http://schemas.openxmlformats.org/officeDocument/2006/relationships/hyperlink" Target="http://www.westlaw.com/Find/Default.wl?rs=dfa1.0&amp;vr=2.0&amp;DB=CFR&amp;DocName=PRT+++++++++%28+++++++++005451598+++++++++%29+%25+CI%28REFS+%28DISP+%2F2+TABLE%29+%28MISC+%2F2+TABLE%29%29++++++++&amp;FindType=l&amp;JL=2&amp;SR=SB" TargetMode="External"/><Relationship Id="rId136" Type="http://schemas.openxmlformats.org/officeDocument/2006/relationships/hyperlink" Target="http://www.westlaw.com/Find/Default.wl?rs=dfa1.0&amp;vr=2.0&amp;DB=1000547&amp;DocName=17CFRS4.5&amp;FindType=Y" TargetMode="External"/><Relationship Id="rId157" Type="http://schemas.openxmlformats.org/officeDocument/2006/relationships/hyperlink" Target="http://www.westlaw.com/Find/Default.wl?rs=dfa1.0&amp;vr=2.0&amp;DB=CFR&amp;FindType=l" TargetMode="External"/><Relationship Id="rId178" Type="http://schemas.openxmlformats.org/officeDocument/2006/relationships/hyperlink" Target="http://www.westlaw.com/Find/Default.wl?rs=dfa1.0&amp;vr=2.0&amp;DB=1000547&amp;DocName=17CFRS150.1&amp;FindType=Y&amp;ReferencePositionType=S&amp;ReferencePosition=7fdd00001ca15" TargetMode="External"/><Relationship Id="rId61" Type="http://schemas.openxmlformats.org/officeDocument/2006/relationships/hyperlink" Target="http://www.westlaw.com/Find/Default.wl?rs=dfa1.0&amp;vr=2.0&amp;DB=1000546&amp;DocName=7USCAS7&amp;FindType=Y" TargetMode="External"/><Relationship Id="rId82" Type="http://schemas.openxmlformats.org/officeDocument/2006/relationships/hyperlink" Target="http://www.westlaw.com/Find/Default.wl?rs=dfa1.0&amp;vr=2.0&amp;DB=CFR&amp;FindType=l" TargetMode="External"/><Relationship Id="rId152" Type="http://schemas.openxmlformats.org/officeDocument/2006/relationships/hyperlink" Target="http://www.westlaw.com/Find/Default.wl?rs=dfa1.0&amp;vr=2.0&amp;DB=1077005&amp;DocName=UU%28I2BFA3BE267-554A13B30CF-BF2833164A2%29&amp;FindType=l" TargetMode="External"/><Relationship Id="rId173" Type="http://schemas.openxmlformats.org/officeDocument/2006/relationships/hyperlink" Target="http://www.westlaw.com/Find/Default.wl?rs=dfa1.0&amp;vr=2.0&amp;DB=CFR&amp;DocName=PRT+++++++++%28+++++++++005457146+++++++++%29+%25+CI%28REFS+%28DISP+%2F2+TABLE%29+%28MISC+%2F2+TABLE%29%29++++++++&amp;FindType=l&amp;JL=2&amp;SR=SB" TargetMode="External"/><Relationship Id="rId194" Type="http://schemas.openxmlformats.org/officeDocument/2006/relationships/footer" Target="footer10.xml"/><Relationship Id="rId199" Type="http://schemas.openxmlformats.org/officeDocument/2006/relationships/hyperlink" Target="http://www.westlaw.com/Find/Default.wl?rs=dfa1.0&amp;vr=2.0&amp;DB=CFR&amp;FindType=l" TargetMode="External"/><Relationship Id="rId203" Type="http://schemas.openxmlformats.org/officeDocument/2006/relationships/hyperlink" Target="http://www.westlaw.com/Find/Default.wl?rs=dfa1.0&amp;vr=2.0&amp;DB=184736&amp;DocName=UUID%28I714AEEB034-5D11DA815BD-679F0D6A697%29&amp;FindType=l" TargetMode="External"/><Relationship Id="rId208" Type="http://schemas.openxmlformats.org/officeDocument/2006/relationships/hyperlink" Target="http://www.westlaw.com/Find/Default.wl?rs=dfa1.0&amp;vr=2.0&amp;DB=1077005&amp;DocName=UU%28I2BFA3BE267-554A13B30CF-BF2833164A2%29&amp;FindType=l" TargetMode="External"/><Relationship Id="rId229" Type="http://schemas.openxmlformats.org/officeDocument/2006/relationships/hyperlink" Target="http://www.westlaw.com/Find/Default.wl?rs=dfa1.0&amp;vr=2.0&amp;DB=CFR&amp;DocName=PRT+++++++++%28+++++++++005451598+++++++++%29+%25+CI%28REFS+%28DISP+%2F2+TABLE%29+%28MISC+%2F2+TABLE%29%29++++++++&amp;FindType=l&amp;JL=2&amp;SR=SB" TargetMode="External"/><Relationship Id="rId19" Type="http://schemas.openxmlformats.org/officeDocument/2006/relationships/hyperlink" Target="http://www.westlaw.com/Find/Default.wl?rs=dfa1.0&amp;vr=2.0&amp;DB=1077005&amp;DocName=UU%28I581B41DD95-444CE1B6042-140F9F6AEE8%29&amp;FindType=l" TargetMode="External"/><Relationship Id="rId224" Type="http://schemas.openxmlformats.org/officeDocument/2006/relationships/hyperlink" Target="http://www.westlaw.com/Find/Default.wl?rs=dfa1.0&amp;vr=2.0&amp;DB=1077005&amp;DocName=UU%28I2BFA3BE267-554A13B30CF-BF2833164A2%29&amp;FindType=l" TargetMode="External"/><Relationship Id="rId240" Type="http://schemas.openxmlformats.org/officeDocument/2006/relationships/header" Target="header17.xml"/><Relationship Id="rId245" Type="http://schemas.openxmlformats.org/officeDocument/2006/relationships/footer" Target="footer18.xml"/><Relationship Id="rId14" Type="http://schemas.openxmlformats.org/officeDocument/2006/relationships/image" Target="media/image4.png"/><Relationship Id="rId30" Type="http://schemas.openxmlformats.org/officeDocument/2006/relationships/hyperlink" Target="http://www.westlaw.com/Find/Default.wl?rs=dfa1.0&amp;vr=2.0&amp;DB=CFR&amp;DocName=PRT+++++++++%28+++++++++005451600+++++++++%29+%25+CI%28REFS+%28DISP+%2F2+TABLE%29+%28MISC+%2F2+TABLE%29%29++++++++&amp;FindType=l&amp;JL=2&amp;SR=SB" TargetMode="External"/><Relationship Id="rId35" Type="http://schemas.openxmlformats.org/officeDocument/2006/relationships/hyperlink" Target="http://www.westlaw.com/Find/Default.wl?rs=dfa1.0&amp;vr=2.0&amp;DB=CFR&amp;FindType=l" TargetMode="External"/><Relationship Id="rId56" Type="http://schemas.openxmlformats.org/officeDocument/2006/relationships/hyperlink" Target="http://www.westlaw.com/Find/Default.wl?rs=dfa1.0&amp;vr=2.0&amp;DB=1000546&amp;DocName=7USCAS6L&amp;FindType=Y" TargetMode="External"/><Relationship Id="rId77" Type="http://schemas.openxmlformats.org/officeDocument/2006/relationships/hyperlink" Target="http://www.westlaw.com/Find/Default.wl?rs=dfa1.0&amp;vr=2.0&amp;DB=1000546&amp;DocName=7USCAS24&amp;FindType=Y" TargetMode="External"/><Relationship Id="rId100" Type="http://schemas.openxmlformats.org/officeDocument/2006/relationships/hyperlink" Target="http://www.westlaw.com/Find/Default.wl?rs=dfa1.0&amp;vr=2.0&amp;DB=1000546&amp;DocName=7USCAS6E&amp;FindType=Y" TargetMode="External"/><Relationship Id="rId105" Type="http://schemas.openxmlformats.org/officeDocument/2006/relationships/hyperlink" Target="http://www.westlaw.com/Find/Default.wl?rs=dfa1.0&amp;vr=2.0&amp;DB=1000546&amp;DocName=7USCAS6J&amp;FindType=Y" TargetMode="External"/><Relationship Id="rId126" Type="http://schemas.openxmlformats.org/officeDocument/2006/relationships/hyperlink" Target="http://www.westlaw.com/Find/Default.wl?rs=dfa1.0&amp;vr=2.0&amp;DB=1000546&amp;DocName=7USCAS21&amp;FindType=Y" TargetMode="External"/><Relationship Id="rId147" Type="http://schemas.openxmlformats.org/officeDocument/2006/relationships/hyperlink" Target="http://www.westlaw.com/Find/Default.wl?rs=dfa1.0&amp;vr=2.0&amp;DB=184736&amp;DocName=UUID%28I3F8B4AC030-6E11DA8794A-B47DD0CABB0%29&amp;FindType=l" TargetMode="External"/><Relationship Id="rId168" Type="http://schemas.openxmlformats.org/officeDocument/2006/relationships/hyperlink" Target="http://www.westlaw.com/Find/Default.wl?rs=dfa1.0&amp;vr=2.0&amp;DB=1000546&amp;DocName=7USCAS12A&amp;FindType=Y&amp;ReferencePositionType=S&amp;ReferencePosition=362c000048fd7" TargetMode="External"/><Relationship Id="rId8" Type="http://schemas.openxmlformats.org/officeDocument/2006/relationships/header" Target="header2.xml"/><Relationship Id="rId51" Type="http://schemas.openxmlformats.org/officeDocument/2006/relationships/hyperlink" Target="http://www.westlaw.com/Find/Default.wl?rs=dfa1.0&amp;vr=2.0&amp;DB=1000546&amp;DocName=7USCAS6G&amp;FindType=Y" TargetMode="External"/><Relationship Id="rId72" Type="http://schemas.openxmlformats.org/officeDocument/2006/relationships/hyperlink" Target="http://www.westlaw.com/Find/Default.wl?rs=dfa1.0&amp;vr=2.0&amp;DB=1000546&amp;DocName=7USCAS16&amp;FindType=Y" TargetMode="External"/><Relationship Id="rId93" Type="http://schemas.openxmlformats.org/officeDocument/2006/relationships/hyperlink" Target="http://www.westlaw.com/Find/Default.wl?rs=dfa1.0&amp;vr=2.0&amp;DB=1000546&amp;DocName=7USCAS2&amp;FindType=Y" TargetMode="External"/><Relationship Id="rId98" Type="http://schemas.openxmlformats.org/officeDocument/2006/relationships/hyperlink" Target="http://www.westlaw.com/Find/Default.wl?rs=dfa1.0&amp;vr=2.0&amp;DB=1000546&amp;DocName=7USCAS6C&amp;FindType=Y" TargetMode="External"/><Relationship Id="rId121" Type="http://schemas.openxmlformats.org/officeDocument/2006/relationships/hyperlink" Target="http://www.westlaw.com/Find/Default.wl?rs=dfa1.0&amp;vr=2.0&amp;DB=1000546&amp;DocName=7USCAS13A&amp;FindType=Y" TargetMode="External"/><Relationship Id="rId142" Type="http://schemas.openxmlformats.org/officeDocument/2006/relationships/footer" Target="footer6.xml"/><Relationship Id="rId163" Type="http://schemas.openxmlformats.org/officeDocument/2006/relationships/hyperlink" Target="http://www.westlaw.com/Find/Default.wl?rs=dfa1.0&amp;vr=2.0&amp;DB=184736&amp;DocName=UUID%28I3F8B4AC030-6E11DA8794A-B47DD0CABB0%29&amp;FindType=l" TargetMode="External"/><Relationship Id="rId184" Type="http://schemas.openxmlformats.org/officeDocument/2006/relationships/hyperlink" Target="http://www.westlaw.com/Find/Default.wl?rs=dfa1.0&amp;vr=2.0&amp;DB=184736&amp;DocName=UUID%28I454EE10033-B711DA815BD-679F0D6A697%29&amp;FindType=l" TargetMode="External"/><Relationship Id="rId189" Type="http://schemas.openxmlformats.org/officeDocument/2006/relationships/hyperlink" Target="http://www.westlaw.com/Find/Default.wl?rs=dfa1.0&amp;vr=2.0&amp;DB=1000546&amp;DocName=7USCAS6A&amp;FindType=Y" TargetMode="External"/><Relationship Id="rId219" Type="http://schemas.openxmlformats.org/officeDocument/2006/relationships/hyperlink" Target="http://www.westlaw.com/Find/Default.wl?rs=dfa1.0&amp;vr=2.0&amp;DB=1000547&amp;DocName=17CFRS1.41&amp;FindType=Y" TargetMode="External"/><Relationship Id="rId3" Type="http://schemas.openxmlformats.org/officeDocument/2006/relationships/webSettings" Target="webSettings.xml"/><Relationship Id="rId214" Type="http://schemas.openxmlformats.org/officeDocument/2006/relationships/hyperlink" Target="http://www.westlaw.com/Find/Default.wl?rs=dfa1.0&amp;vr=2.0&amp;DB=CFR&amp;DocName=PRT+++++++++%28+++++++++005457146+++++++++%29+%25+CI%28REFS+%28DISP+%2F2+TABLE%29+%28MISC+%2F2+TABLE%29%29++++++++&amp;FindType=l&amp;JL=2&amp;SR=SB" TargetMode="External"/><Relationship Id="rId230" Type="http://schemas.openxmlformats.org/officeDocument/2006/relationships/hyperlink" Target="http://www.westlaw.com/Find/Default.wl?rs=dfa1.0&amp;vr=2.0&amp;DB=CFR&amp;DocName=PRT+++++++++%28+++++++++005457146+++++++++%29+%25+CI%28REFS+%28DISP+%2F2+TABLE%29+%28MISC+%2F2+TABLE%29%29++++++++&amp;FindType=l&amp;JL=2&amp;SR=SB" TargetMode="External"/><Relationship Id="rId235" Type="http://schemas.openxmlformats.org/officeDocument/2006/relationships/hyperlink" Target="http://www.westlaw.com/Find/Default.wl?rs=dfa1.0&amp;vr=2.0&amp;DB=1000546&amp;DocName=7USCAS6C&amp;FindType=Y" TargetMode="External"/><Relationship Id="rId251" Type="http://schemas.openxmlformats.org/officeDocument/2006/relationships/theme" Target="theme/theme1.xml"/><Relationship Id="rId25" Type="http://schemas.openxmlformats.org/officeDocument/2006/relationships/header" Target="header3.xml"/><Relationship Id="rId46" Type="http://schemas.openxmlformats.org/officeDocument/2006/relationships/hyperlink" Target="http://www.westlaw.com/Find/Default.wl?rs=dfa1.0&amp;vr=2.0&amp;DB=1000546&amp;DocName=7USCAS6B&amp;FindType=Y" TargetMode="External"/><Relationship Id="rId67" Type="http://schemas.openxmlformats.org/officeDocument/2006/relationships/hyperlink" Target="http://www.westlaw.com/Find/Default.wl?rs=dfa1.0&amp;vr=2.0&amp;DB=1000546&amp;DocName=7USCAS12A&amp;FindType=Y" TargetMode="External"/><Relationship Id="rId116" Type="http://schemas.openxmlformats.org/officeDocument/2006/relationships/hyperlink" Target="http://www.westlaw.com/Find/Default.wl?rs=dfa1.0&amp;vr=2.0&amp;DB=1000546&amp;DocName=7USCAS9&amp;FindType=Y" TargetMode="External"/><Relationship Id="rId137" Type="http://schemas.openxmlformats.org/officeDocument/2006/relationships/hyperlink" Target="http://www.westlaw.com/Find/Default.wl?rs=dfa1.0&amp;vr=2.0&amp;DB=1000547&amp;DocName=17CFRS4.13&amp;FindType=Y" TargetMode="External"/><Relationship Id="rId158" Type="http://schemas.openxmlformats.org/officeDocument/2006/relationships/header" Target="header8.xml"/><Relationship Id="rId20" Type="http://schemas.openxmlformats.org/officeDocument/2006/relationships/hyperlink" Target="http://www.westlaw.com/Find/Default.wl?rs=dfa1.0&amp;vr=2.0&amp;DB=1077005&amp;DocName=UU%28IEC4E5C6A1F-004EEC9BDEB-1369209C9C6%29&amp;FindType=l" TargetMode="External"/><Relationship Id="rId41" Type="http://schemas.openxmlformats.org/officeDocument/2006/relationships/hyperlink" Target="http://www.westlaw.com/Find/Default.wl?rs=dfa1.0&amp;vr=2.0&amp;DB=1000546&amp;DocName=7USCAS1A&amp;FindType=Y" TargetMode="External"/><Relationship Id="rId62" Type="http://schemas.openxmlformats.org/officeDocument/2006/relationships/hyperlink" Target="http://www.westlaw.com/Find/Default.wl?rs=dfa1.0&amp;vr=2.0&amp;DB=1000546&amp;DocName=7USCAS7A&amp;FindType=Y" TargetMode="External"/><Relationship Id="rId83" Type="http://schemas.openxmlformats.org/officeDocument/2006/relationships/hyperlink" Target="http://www.westlaw.com/Find/Default.wl?rs=dfa1.0&amp;vr=2.0&amp;DB=CFR&amp;DocName=PRT+++++++++%28+++++++++005452188+++++++++%29+%25+CI%28REFS+%28DISP+%2F2+TABLE%29+%28MISC+%2F2+TABLE%29%29++++++++&amp;FindType=l&amp;JL=2&amp;SR=SB" TargetMode="External"/><Relationship Id="rId88" Type="http://schemas.openxmlformats.org/officeDocument/2006/relationships/hyperlink" Target="http://www.westlaw.com/Find/Default.wl?rs=dfa1.0&amp;vr=2.0&amp;DB=1000547&amp;DocName=17CFRS1.3&amp;FindType=Y&amp;ReferencePositionType=S&amp;ReferencePosition=8d080000c5814" TargetMode="External"/><Relationship Id="rId111" Type="http://schemas.openxmlformats.org/officeDocument/2006/relationships/hyperlink" Target="http://www.westlaw.com/Find/Default.wl?rs=dfa1.0&amp;vr=2.0&amp;DB=1000546&amp;DocName=7USCAS6P&amp;FindType=Y" TargetMode="External"/><Relationship Id="rId132" Type="http://schemas.openxmlformats.org/officeDocument/2006/relationships/image" Target="media/image7.png"/><Relationship Id="rId153" Type="http://schemas.openxmlformats.org/officeDocument/2006/relationships/header" Target="header7.xml"/><Relationship Id="rId174" Type="http://schemas.openxmlformats.org/officeDocument/2006/relationships/hyperlink" Target="http://www.westlaw.com/Find/Default.wl?rs=dfa1.0&amp;vr=2.0&amp;DB=CFR&amp;FindType=l" TargetMode="External"/><Relationship Id="rId179" Type="http://schemas.openxmlformats.org/officeDocument/2006/relationships/hyperlink" Target="http://www.westlaw.com/Find/Default.wl?rs=dfa1.0&amp;vr=2.0&amp;DB=1000547&amp;DocName=17CFRS150.2&amp;FindType=Y" TargetMode="External"/><Relationship Id="rId195" Type="http://schemas.openxmlformats.org/officeDocument/2006/relationships/header" Target="header11.xml"/><Relationship Id="rId209" Type="http://schemas.openxmlformats.org/officeDocument/2006/relationships/header" Target="header12.xml"/><Relationship Id="rId190" Type="http://schemas.openxmlformats.org/officeDocument/2006/relationships/hyperlink" Target="http://www.westlaw.com/Find/Default.wl?rs=dfa1.0&amp;vr=2.0&amp;DB=1000546&amp;DocName=7USCAS6C&amp;FindType=Y" TargetMode="External"/><Relationship Id="rId204" Type="http://schemas.openxmlformats.org/officeDocument/2006/relationships/hyperlink" Target="http://www.westlaw.com/Find/Default.wl?rs=dfa1.0&amp;vr=2.0&amp;DB=184736&amp;DocName=UUID%28I3F8B4AC030-6E11DA8794A-B47DD0CABB0%29&amp;FindType=l" TargetMode="External"/><Relationship Id="rId220" Type="http://schemas.openxmlformats.org/officeDocument/2006/relationships/hyperlink" Target="http://www.westlaw.com/Find/Default.wl?rs=dfa1.0&amp;vr=2.0&amp;DB=184736&amp;DocName=UUID%28I714AEEB034-5D11DA815BD-679F0D6A697%29&amp;FindType=l" TargetMode="External"/><Relationship Id="rId225" Type="http://schemas.openxmlformats.org/officeDocument/2006/relationships/header" Target="header14.xml"/><Relationship Id="rId241" Type="http://schemas.openxmlformats.org/officeDocument/2006/relationships/footer" Target="footer17.xml"/><Relationship Id="rId246" Type="http://schemas.openxmlformats.org/officeDocument/2006/relationships/hyperlink" Target="http://www.westlaw.com/Find/Default.wl?rs=dfa1.0&amp;vr=2.0&amp;DB=CFR&amp;DocName=PRT+++++++++%28+++++++++005451598+++++++++%29+%25+CI%28REFS+%28DISP+%2F2+TABLE%29+%28MISC+%2F2+TABLE%29%29++++++++&amp;FindType=l&amp;JL=2&amp;SR=SB" TargetMode="External"/><Relationship Id="rId15" Type="http://schemas.openxmlformats.org/officeDocument/2006/relationships/hyperlink" Target="http://www.westlaw.com/Find/Default.wl?rs=dfa1.0&amp;vr=2.0&amp;DB=1000546&amp;DocName=7USCAS6C&amp;FindType=Y" TargetMode="External"/><Relationship Id="rId36" Type="http://schemas.openxmlformats.org/officeDocument/2006/relationships/hyperlink" Target="http://www.westlaw.com/Find/Default.wl?rs=dfa1.0&amp;vr=2.0&amp;DB=CFR&amp;DocName=PRT+++++++++%28+++++++++005452188+++++++++%29+%25+CI%28REFS+%28DISP+%2F2+TABLE%29+%28MISC+%2F2+TABLE%29%29++++++++&amp;FindType=l&amp;JL=2&amp;SR=SB" TargetMode="External"/><Relationship Id="rId57" Type="http://schemas.openxmlformats.org/officeDocument/2006/relationships/hyperlink" Target="http://www.westlaw.com/Find/Default.wl?rs=dfa1.0&amp;vr=2.0&amp;DB=1000546&amp;DocName=7USCAS6M&amp;FindType=Y" TargetMode="External"/><Relationship Id="rId106" Type="http://schemas.openxmlformats.org/officeDocument/2006/relationships/hyperlink" Target="http://www.westlaw.com/Find/Default.wl?rs=dfa1.0&amp;vr=2.0&amp;DB=1000546&amp;DocName=7USCAS6K&amp;FindType=Y" TargetMode="External"/><Relationship Id="rId127" Type="http://schemas.openxmlformats.org/officeDocument/2006/relationships/hyperlink" Target="http://www.westlaw.com/Find/Default.wl?rs=dfa1.0&amp;vr=2.0&amp;DB=1000546&amp;DocName=7USCAS23&amp;FindType=Y" TargetMode="External"/><Relationship Id="rId10" Type="http://schemas.openxmlformats.org/officeDocument/2006/relationships/image" Target="media/image2.png"/><Relationship Id="rId31" Type="http://schemas.openxmlformats.org/officeDocument/2006/relationships/hyperlink" Target="http://www.westlaw.com/Find/Default.wl?rs=dfa1.0&amp;vr=2.0&amp;DB=1000547&amp;DocName=17CFRS1.47&amp;FindType=Y" TargetMode="External"/><Relationship Id="rId52" Type="http://schemas.openxmlformats.org/officeDocument/2006/relationships/hyperlink" Target="http://www.westlaw.com/Find/Default.wl?rs=dfa1.0&amp;vr=2.0&amp;DB=1000546&amp;DocName=7USCAS6H&amp;FindType=Y" TargetMode="External"/><Relationship Id="rId73" Type="http://schemas.openxmlformats.org/officeDocument/2006/relationships/hyperlink" Target="http://www.westlaw.com/Find/Default.wl?rs=dfa1.0&amp;vr=2.0&amp;DB=1000546&amp;DocName=7USCAS16A&amp;FindType=Y" TargetMode="External"/><Relationship Id="rId78" Type="http://schemas.openxmlformats.org/officeDocument/2006/relationships/hyperlink" Target="http://www.westlaw.com/Find/Default.wl?rs=dfa1.0&amp;vr=2.0&amp;DB=1077005&amp;DocName=UU%28I2BFA3BE267-554A13B30CF-BF2833164A2%29&amp;FindType=l" TargetMode="External"/><Relationship Id="rId94" Type="http://schemas.openxmlformats.org/officeDocument/2006/relationships/hyperlink" Target="http://www.westlaw.com/Find/Default.wl?rs=dfa1.0&amp;vr=2.0&amp;DB=1000546&amp;DocName=7USCAS5&amp;FindType=Y" TargetMode="External"/><Relationship Id="rId99" Type="http://schemas.openxmlformats.org/officeDocument/2006/relationships/hyperlink" Target="http://www.westlaw.com/Find/Default.wl?rs=dfa1.0&amp;vr=2.0&amp;DB=1000546&amp;DocName=7USCAS6D&amp;FindType=Y" TargetMode="External"/><Relationship Id="rId101" Type="http://schemas.openxmlformats.org/officeDocument/2006/relationships/hyperlink" Target="http://www.westlaw.com/Find/Default.wl?rs=dfa1.0&amp;vr=2.0&amp;DB=1000546&amp;DocName=7USCAS6F&amp;FindType=Y" TargetMode="External"/><Relationship Id="rId122" Type="http://schemas.openxmlformats.org/officeDocument/2006/relationships/hyperlink" Target="http://www.westlaw.com/Find/Default.wl?rs=dfa1.0&amp;vr=2.0&amp;DB=1000546&amp;DocName=7USCAS1&amp;FindType=Y" TargetMode="External"/><Relationship Id="rId143" Type="http://schemas.openxmlformats.org/officeDocument/2006/relationships/hyperlink" Target="http://www.westlaw.com/Find/Default.wl?rs=dfa1.0&amp;vr=2.0&amp;DB=184736&amp;DocName=UUID%28I296BF28030-7811DAAECA8-D28B8108CB8%29&amp;FindType=l" TargetMode="External"/><Relationship Id="rId148" Type="http://schemas.openxmlformats.org/officeDocument/2006/relationships/hyperlink" Target="http://www.westlaw.com/Find/Default.wl?rs=dfa1.0&amp;vr=2.0&amp;DB=184736&amp;DocName=UUID%28I454EE10033-B711DA815BD-679F0D6A697%29&amp;FindType=l" TargetMode="External"/><Relationship Id="rId164" Type="http://schemas.openxmlformats.org/officeDocument/2006/relationships/hyperlink" Target="http://www.westlaw.com/Find/Default.wl?rs=dfa1.0&amp;vr=2.0&amp;DB=0001037&amp;DocName=57FR44492&amp;FindType=Y" TargetMode="External"/><Relationship Id="rId169" Type="http://schemas.openxmlformats.org/officeDocument/2006/relationships/hyperlink" Target="http://www.westlaw.com/Find/Default.wl?rs=dfa1.0&amp;vr=2.0&amp;DB=1077005&amp;DocName=UU%28I2BFA3BE267-554A13B30CF-BF2833164A2%29&amp;FindType=l" TargetMode="External"/><Relationship Id="rId185" Type="http://schemas.openxmlformats.org/officeDocument/2006/relationships/hyperlink" Target="http://www.westlaw.com/Find/Default.wl?rs=dfa1.0&amp;vr=2.0&amp;DB=0001037&amp;DocName=58FR17982&amp;FindType=Y" TargetMode="External"/><Relationship Id="rId4" Type="http://schemas.openxmlformats.org/officeDocument/2006/relationships/footnotes" Target="footnotes.xml"/><Relationship Id="rId9" Type="http://schemas.openxmlformats.org/officeDocument/2006/relationships/footer" Target="footer2.xml"/><Relationship Id="rId180" Type="http://schemas.openxmlformats.org/officeDocument/2006/relationships/hyperlink" Target="http://www.westlaw.com/Find/Default.wl?rs=dfa1.0&amp;vr=2.0&amp;DB=1000547&amp;DocName=17CFRS4.24&amp;FindType=Y" TargetMode="External"/><Relationship Id="rId210" Type="http://schemas.openxmlformats.org/officeDocument/2006/relationships/footer" Target="footer12.xml"/><Relationship Id="rId215" Type="http://schemas.openxmlformats.org/officeDocument/2006/relationships/hyperlink" Target="http://www.westlaw.com/Find/Default.wl?rs=dfa1.0&amp;vr=2.0&amp;DB=CFR&amp;FindType=l" TargetMode="External"/><Relationship Id="rId236" Type="http://schemas.openxmlformats.org/officeDocument/2006/relationships/hyperlink" Target="http://www.westlaw.com/Find/Default.wl?rs=dfa1.0&amp;vr=2.0&amp;DB=1000546&amp;DocName=7USCAS12A&amp;FindType=Y&amp;ReferencePositionType=S&amp;ReferencePosition=362c000048fd7" TargetMode="External"/><Relationship Id="rId26" Type="http://schemas.openxmlformats.org/officeDocument/2006/relationships/footer" Target="footer3.xml"/><Relationship Id="rId231" Type="http://schemas.openxmlformats.org/officeDocument/2006/relationships/hyperlink" Target="http://www.westlaw.com/Find/Default.wl?rs=dfa1.0&amp;vr=2.0&amp;DB=CFR&amp;FindType=l" TargetMode="External"/><Relationship Id="rId47" Type="http://schemas.openxmlformats.org/officeDocument/2006/relationships/hyperlink" Target="http://www.westlaw.com/Find/Default.wl?rs=dfa1.0&amp;vr=2.0&amp;DB=1000546&amp;DocName=7USCAS6C&amp;FindType=Y" TargetMode="External"/><Relationship Id="rId68" Type="http://schemas.openxmlformats.org/officeDocument/2006/relationships/hyperlink" Target="http://www.westlaw.com/Find/Default.wl?rs=dfa1.0&amp;vr=2.0&amp;DB=1000546&amp;DocName=7USCAS12C&amp;FindType=Y" TargetMode="External"/><Relationship Id="rId89" Type="http://schemas.openxmlformats.org/officeDocument/2006/relationships/hyperlink" Target="http://www.westlaw.com/Find/Default.wl?rs=dfa1.0&amp;vr=2.0&amp;DB=0001037&amp;DocName=46FR63035&amp;FindType=Y" TargetMode="External"/><Relationship Id="rId112" Type="http://schemas.openxmlformats.org/officeDocument/2006/relationships/hyperlink" Target="http://www.westlaw.com/Find/Default.wl?rs=dfa1.0&amp;vr=2.0&amp;DB=1000546&amp;DocName=7USCAS7&amp;FindType=Y" TargetMode="External"/><Relationship Id="rId133" Type="http://schemas.openxmlformats.org/officeDocument/2006/relationships/hyperlink" Target="http://www.westlaw.com/Find/Default.wl?rs=dfa1.0&amp;vr=2.0&amp;DB=CFR&amp;DocName=PRT+++++++++%28+++++++++005457146+++++++++%29+%25+CI%28REFS+%28DISP+%2F2+TABLE%29+%28MISC+%2F2+TABLE%29%29++++++++&amp;FindType=l&amp;JL=2&amp;SR=SB" TargetMode="External"/><Relationship Id="rId154" Type="http://schemas.openxmlformats.org/officeDocument/2006/relationships/footer" Target="footer7.xml"/><Relationship Id="rId175" Type="http://schemas.openxmlformats.org/officeDocument/2006/relationships/hyperlink" Target="http://www.westlaw.com/Find/Default.wl?rs=dfa1.0&amp;vr=2.0&amp;DB=1000547&amp;DocName=17CFRS150.2&amp;FindType=Y" TargetMode="External"/><Relationship Id="rId196" Type="http://schemas.openxmlformats.org/officeDocument/2006/relationships/footer" Target="footer11.xml"/><Relationship Id="rId200" Type="http://schemas.openxmlformats.org/officeDocument/2006/relationships/hyperlink" Target="http://www.westlaw.com/Find/Default.wl?rs=dfa1.0&amp;vr=2.0&amp;DB=1000547&amp;DocName=17CFRS150.2&amp;FindType=Y" TargetMode="External"/><Relationship Id="rId16" Type="http://schemas.openxmlformats.org/officeDocument/2006/relationships/hyperlink" Target="http://www.westlaw.com/Find/Default.wl?rs=dfa1.0&amp;vr=2.0&amp;DB=1000546&amp;DocName=7USCAS7A-2&amp;FindType=Y&amp;ReferencePositionType=S&amp;ReferencePosition=10c0000001331" TargetMode="External"/><Relationship Id="rId221" Type="http://schemas.openxmlformats.org/officeDocument/2006/relationships/hyperlink" Target="http://www.westlaw.com/Find/Default.wl?rs=dfa1.0&amp;vr=2.0&amp;DB=1000546&amp;DocName=7USCAS6A&amp;FindType=Y" TargetMode="External"/><Relationship Id="rId242" Type="http://schemas.openxmlformats.org/officeDocument/2006/relationships/hyperlink" Target="http://www.westlaw.com/Find/Default.wl?rs=dfa1.0&amp;vr=2.0&amp;DB=USCA&amp;DocName=PRT%28001828332%29+%25+CI%28REFS+%28DISP+%2F2+TABLE%29+%28MISC+%2F2+TABLE%29%29&amp;FindType=l&amp;JL=2&amp;SR=SB" TargetMode="External"/><Relationship Id="rId37" Type="http://schemas.openxmlformats.org/officeDocument/2006/relationships/hyperlink" Target="http://www.westlaw.com/Find/Default.wl?rs=dfa1.0&amp;vr=2.0&amp;DB=1000547&amp;DocName=17CFRS1.3&amp;FindType=Y&amp;ReferencePositionType=S&amp;ReferencePosition=15870000d4723" TargetMode="External"/><Relationship Id="rId58" Type="http://schemas.openxmlformats.org/officeDocument/2006/relationships/hyperlink" Target="http://www.westlaw.com/Find/Default.wl?rs=dfa1.0&amp;vr=2.0&amp;DB=1000546&amp;DocName=7USCAS6N&amp;FindType=Y" TargetMode="External"/><Relationship Id="rId79" Type="http://schemas.openxmlformats.org/officeDocument/2006/relationships/header" Target="header5.xml"/><Relationship Id="rId102" Type="http://schemas.openxmlformats.org/officeDocument/2006/relationships/hyperlink" Target="http://www.westlaw.com/Find/Default.wl?rs=dfa1.0&amp;vr=2.0&amp;DB=1000546&amp;DocName=7USCAS6G&amp;FindType=Y" TargetMode="External"/><Relationship Id="rId123" Type="http://schemas.openxmlformats.org/officeDocument/2006/relationships/hyperlink" Target="http://www.westlaw.com/Find/Default.wl?rs=dfa1.0&amp;vr=2.0&amp;DB=1000546&amp;DocName=7USCAS16&amp;FindType=Y" TargetMode="External"/><Relationship Id="rId144" Type="http://schemas.openxmlformats.org/officeDocument/2006/relationships/hyperlink" Target="http://www.westlaw.com/Find/Default.wl?rs=dfa1.0&amp;vr=2.0&amp;DB=184736&amp;DocName=UUID%28I0664C0C02E-DC11DAA76E8-C4D774DCFAA%29&amp;FindType=l" TargetMode="External"/><Relationship Id="rId90" Type="http://schemas.openxmlformats.org/officeDocument/2006/relationships/hyperlink" Target="http://www.westlaw.com/Find/Default.wl?rs=dfa1.0&amp;vr=2.0&amp;DB=0001037&amp;DocName=52FR46072&amp;FindType=Y" TargetMode="External"/><Relationship Id="rId165" Type="http://schemas.openxmlformats.org/officeDocument/2006/relationships/hyperlink" Target="http://www.westlaw.com/Find/Default.wl?rs=dfa1.0&amp;vr=2.0&amp;DB=184736&amp;DocName=UUID%28I9B1C9BF03C-4E11DAAE9AB-B7EB80F7B3D%29&amp;FindType=l" TargetMode="External"/><Relationship Id="rId186" Type="http://schemas.openxmlformats.org/officeDocument/2006/relationships/hyperlink" Target="http://www.westlaw.com/Find/Default.wl?rs=dfa1.0&amp;vr=2.0&amp;DB=184736&amp;DocName=UUID%28I7C532F5031-BC11DAAECA8-D28B8108CB8%29&amp;FindType=l" TargetMode="External"/><Relationship Id="rId211" Type="http://schemas.openxmlformats.org/officeDocument/2006/relationships/header" Target="header13.xml"/><Relationship Id="rId232" Type="http://schemas.openxmlformats.org/officeDocument/2006/relationships/hyperlink" Target="http://www.westlaw.com/Find/Default.wl?rs=dfa1.0&amp;vr=2.0&amp;DB=184736&amp;DocName=UUID%28I004937303C-4111DAAECA8-D28B8108CB8%29&amp;FindType=l" TargetMode="External"/><Relationship Id="rId27" Type="http://schemas.openxmlformats.org/officeDocument/2006/relationships/image" Target="media/image5.png"/><Relationship Id="rId48" Type="http://schemas.openxmlformats.org/officeDocument/2006/relationships/hyperlink" Target="http://www.westlaw.com/Find/Default.wl?rs=dfa1.0&amp;vr=2.0&amp;DB=1000546&amp;DocName=7USCAS6D&amp;FindType=Y" TargetMode="External"/><Relationship Id="rId69" Type="http://schemas.openxmlformats.org/officeDocument/2006/relationships/hyperlink" Target="http://www.westlaw.com/Find/Default.wl?rs=dfa1.0&amp;vr=2.0&amp;DB=1000546&amp;DocName=7USCAS13A&amp;FindType=Y" TargetMode="External"/><Relationship Id="rId113" Type="http://schemas.openxmlformats.org/officeDocument/2006/relationships/hyperlink" Target="http://www.westlaw.com/Find/Default.wl?rs=dfa1.0&amp;vr=2.0&amp;DB=1000546&amp;DocName=7USCAS7A&amp;FindType=Y" TargetMode="External"/><Relationship Id="rId134" Type="http://schemas.openxmlformats.org/officeDocument/2006/relationships/hyperlink" Target="http://www.westlaw.com/Find/Default.wl?rs=dfa1.0&amp;vr=2.0&amp;DB=CFR&amp;FindType=l" TargetMode="External"/><Relationship Id="rId80" Type="http://schemas.openxmlformats.org/officeDocument/2006/relationships/footer" Target="footer5.xml"/><Relationship Id="rId155" Type="http://schemas.openxmlformats.org/officeDocument/2006/relationships/hyperlink" Target="http://www.westlaw.com/Find/Default.wl?rs=dfa1.0&amp;vr=2.0&amp;DB=CFR&amp;DocName=PRT+++++++++%28+++++++++005451598+++++++++%29+%25+CI%28REFS+%28DISP+%2F2+TABLE%29+%28MISC+%2F2+TABLE%29%29++++++++&amp;FindType=l&amp;JL=2&amp;SR=SB" TargetMode="External"/><Relationship Id="rId176" Type="http://schemas.openxmlformats.org/officeDocument/2006/relationships/hyperlink" Target="http://www.westlaw.com/Find/Default.wl?rs=dfa1.0&amp;vr=2.0&amp;DB=1000547&amp;DocName=17CFRS1.3&amp;FindType=Y&amp;ReferencePositionType=S&amp;ReferencePosition=32850000aeb75" TargetMode="External"/><Relationship Id="rId197" Type="http://schemas.openxmlformats.org/officeDocument/2006/relationships/hyperlink" Target="http://www.westlaw.com/Find/Default.wl?rs=dfa1.0&amp;vr=2.0&amp;DB=CFR&amp;DocName=PRT+++++++++%28+++++++++005451598+++++++++%29+%25+CI%28REFS+%28DISP+%2F2+TABLE%29+%28MISC+%2F2+TABLE%29%29++++++++&amp;FindType=l&amp;JL=2&amp;SR=SB" TargetMode="External"/><Relationship Id="rId201" Type="http://schemas.openxmlformats.org/officeDocument/2006/relationships/hyperlink" Target="http://www.westlaw.com/Find/Default.wl?rs=dfa1.0&amp;vr=2.0&amp;DB=1000547&amp;DocName=17CFRS4.13&amp;FindType=Y" TargetMode="External"/><Relationship Id="rId222" Type="http://schemas.openxmlformats.org/officeDocument/2006/relationships/hyperlink" Target="http://www.westlaw.com/Find/Default.wl?rs=dfa1.0&amp;vr=2.0&amp;DB=1000546&amp;DocName=7USCAS6C&amp;FindType=Y" TargetMode="External"/><Relationship Id="rId243" Type="http://schemas.openxmlformats.org/officeDocument/2006/relationships/hyperlink" Target="http://www.westlaw.com/Find/Default.wl?rs=dfa1.0&amp;vr=2.0&amp;DB=USCA&amp;DocName=lk%287USCAC1R%29&amp;FindTyp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9.png"/></Relationships>
</file>

<file path=word/_rels/header13.xml.rels><?xml version="1.0" encoding="UTF-8" standalone="yes"?>
<Relationships xmlns="http://schemas.openxmlformats.org/package/2006/relationships"><Relationship Id="rId1" Type="http://schemas.openxmlformats.org/officeDocument/2006/relationships/image" Target="media/image9.png"/></Relationships>
</file>

<file path=word/_rels/header15.xml.rels><?xml version="1.0" encoding="UTF-8" standalone="yes"?>
<Relationships xmlns="http://schemas.openxmlformats.org/package/2006/relationships"><Relationship Id="rId1" Type="http://schemas.openxmlformats.org/officeDocument/2006/relationships/image" Target="media/image9.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9.png"/></Relationships>
</file>

<file path=word/_rels/header9.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9477</Words>
  <Characters>77565</Characters>
  <Application>Microsoft Office Word</Application>
  <DocSecurity>0</DocSecurity>
  <Lines>646</Lines>
  <Paragraphs>173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86869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9.6.4.1.V2</dc:creator>
  <cp:lastModifiedBy>BFekrat</cp:lastModifiedBy>
  <cp:revision>2</cp:revision>
  <dcterms:created xsi:type="dcterms:W3CDTF">2010-01-26T00:00:00Z</dcterms:created>
  <dcterms:modified xsi:type="dcterms:W3CDTF">2010-01-26T00:00:00Z</dcterms:modified>
</cp:coreProperties>
</file>