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270" w:rsidRDefault="000E4270" w:rsidP="00982310">
      <w:pPr>
        <w:spacing w:after="0" w:line="240" w:lineRule="auto"/>
        <w:jc w:val="center"/>
        <w:rPr>
          <w:b/>
          <w:u w:val="single"/>
        </w:rPr>
      </w:pPr>
      <w:r w:rsidRPr="00982310">
        <w:rPr>
          <w:b/>
          <w:u w:val="single"/>
        </w:rPr>
        <w:t>Justification for Change Request</w:t>
      </w:r>
    </w:p>
    <w:p w:rsidR="000E4270" w:rsidRPr="00982310" w:rsidRDefault="000E4270" w:rsidP="00982310">
      <w:pPr>
        <w:spacing w:after="0" w:line="240" w:lineRule="auto"/>
        <w:jc w:val="center"/>
        <w:rPr>
          <w:b/>
        </w:rPr>
      </w:pPr>
      <w:r>
        <w:rPr>
          <w:b/>
        </w:rPr>
        <w:t>OMB Control No. 0693-0050</w:t>
      </w:r>
    </w:p>
    <w:p w:rsidR="000E4270" w:rsidRPr="00982310" w:rsidRDefault="000E4270" w:rsidP="00982310">
      <w:pPr>
        <w:spacing w:after="0" w:line="240" w:lineRule="auto"/>
        <w:jc w:val="center"/>
        <w:rPr>
          <w:b/>
          <w:u w:val="single"/>
        </w:rPr>
      </w:pPr>
    </w:p>
    <w:p w:rsidR="000E4270" w:rsidRDefault="000E4270" w:rsidP="00982310">
      <w:pPr>
        <w:spacing w:line="240" w:lineRule="auto"/>
      </w:pPr>
    </w:p>
    <w:p w:rsidR="000E4270" w:rsidRDefault="000E4270" w:rsidP="00982310">
      <w:pPr>
        <w:spacing w:line="240" w:lineRule="auto"/>
      </w:pPr>
      <w:r>
        <w:t>The National Institute of Standards and Technology is requesting non-substantive changes to the NIST-1022 family of forms along with Technology Innovation Program (TIP) Proposal Preparation Kit - February 2010 Update.</w:t>
      </w:r>
    </w:p>
    <w:p w:rsidR="000E4270" w:rsidRDefault="000E4270" w:rsidP="00982310">
      <w:pPr>
        <w:spacing w:line="240" w:lineRule="auto"/>
      </w:pPr>
      <w:r>
        <w:t xml:space="preserve">. </w:t>
      </w:r>
    </w:p>
    <w:p w:rsidR="000E4270" w:rsidRDefault="000E4270">
      <w:r>
        <w:t xml:space="preserve">In FY 2008 and FY 2009, TIP held competitions covering the Critical National Need (CNN) areas of Civil Infrastructure and Manufacturing.  During the period from announcement and proposal due date, TIP received numerous questions involving the TIP Award Criteria, TIP Evaluation Criteria, eligibility, cost share, project narrative and budget narrative requirements.  After the completion of the competition, TIP staff identified areas of the NIST-1022 forms and the TIP Proposal Preparation Kit that could be enhanced to make preparation of the proposal easier and thus enabling proposers to deliver more competitive proposals.  A review of the proposals submitted determined that approximately 10% of the proposals received are out of scope or not eligible, 30% are non-competitive because the budgets are incomplete. Of the remaining proposals, 50% fail on either the Technical or Impact Evaluation Criteria.  </w:t>
      </w:r>
    </w:p>
    <w:p w:rsidR="000E4270" w:rsidRDefault="000E4270" w:rsidP="00982310">
      <w:pPr>
        <w:spacing w:after="0"/>
        <w:rPr>
          <w:color w:val="000000"/>
        </w:rPr>
      </w:pPr>
      <w:r>
        <w:rPr>
          <w:color w:val="000000"/>
        </w:rPr>
        <w:t xml:space="preserve">The program authorities, </w:t>
      </w:r>
      <w:r w:rsidRPr="001A5F85">
        <w:rPr>
          <w:color w:val="000000"/>
        </w:rPr>
        <w:t xml:space="preserve">TIP statutory authority 15 U.S.C. § 278n </w:t>
      </w:r>
      <w:r>
        <w:rPr>
          <w:color w:val="000000"/>
        </w:rPr>
        <w:t xml:space="preserve">and the </w:t>
      </w:r>
      <w:r w:rsidRPr="001A5F85">
        <w:rPr>
          <w:color w:val="000000"/>
        </w:rPr>
        <w:t xml:space="preserve">TIP </w:t>
      </w:r>
      <w:r>
        <w:rPr>
          <w:color w:val="000000"/>
        </w:rPr>
        <w:t xml:space="preserve">Rule </w:t>
      </w:r>
      <w:r w:rsidRPr="002748C7">
        <w:rPr>
          <w:color w:val="000000"/>
        </w:rPr>
        <w:t>15 C</w:t>
      </w:r>
      <w:r>
        <w:rPr>
          <w:color w:val="000000"/>
        </w:rPr>
        <w:t>.</w:t>
      </w:r>
      <w:r w:rsidRPr="002748C7">
        <w:rPr>
          <w:color w:val="000000"/>
        </w:rPr>
        <w:t>F</w:t>
      </w:r>
      <w:r>
        <w:rPr>
          <w:color w:val="000000"/>
        </w:rPr>
        <w:t>.</w:t>
      </w:r>
      <w:r w:rsidRPr="002748C7">
        <w:rPr>
          <w:color w:val="000000"/>
        </w:rPr>
        <w:t>R</w:t>
      </w:r>
      <w:r>
        <w:rPr>
          <w:color w:val="000000"/>
        </w:rPr>
        <w:t>.</w:t>
      </w:r>
      <w:r w:rsidRPr="002748C7">
        <w:rPr>
          <w:color w:val="000000"/>
        </w:rPr>
        <w:t xml:space="preserve"> Part 296</w:t>
      </w:r>
      <w:r>
        <w:rPr>
          <w:color w:val="000000"/>
        </w:rPr>
        <w:t xml:space="preserve"> as found in the Attachment A and B referenced in the Supporting Statement, allow for a recipient to use subawards.  In 2007, during original development of the NIST-1022 forms and TIP Proposal Preparation Kit, TIP included a minor reference to the use of subawards in the TIP Proposal Preparation Kit (pp 11 and 27), but provided little guidance as how to include subawards in the proposal submission.  In the FY 2009 competition, for the first time TIP actually received proposals that requested subawards in order to benefit how the proposer meets TIP cost share requirements.  During the proposal review process, we developed specific guidance, with the assistance from Federal Assistance Law Division, and the Chief of Grants Agreements Management Division at NIST for the proposers that requested subawards.  </w:t>
      </w:r>
    </w:p>
    <w:p w:rsidR="000E4270" w:rsidRDefault="000E4270">
      <w:pPr>
        <w:rPr>
          <w:color w:val="000000"/>
        </w:rPr>
      </w:pPr>
      <w:r>
        <w:rPr>
          <w:color w:val="000000"/>
        </w:rPr>
        <w:t xml:space="preserve">This guidance is incorporated in the NIST-1022B form and the Chapter 3 </w:t>
      </w:r>
      <w:r>
        <w:t xml:space="preserve">Budget and </w:t>
      </w:r>
      <w:r w:rsidRPr="009A520F">
        <w:t>Budget Narrative Guidelines</w:t>
      </w:r>
      <w:r>
        <w:t>.</w:t>
      </w:r>
    </w:p>
    <w:p w:rsidR="000E4270" w:rsidRDefault="000E4270">
      <w:r>
        <w:t>The changes to the NIST-1022 forms and TIP Proposal Preparation Kit as summarized in the table below were made to provide more detailed guidance in the development of Budgets and Budget Narratives and additional clarity on the importance of both Technical and Impact Evaluation Criteria in the proposal evaluation process. (REVISED Documents with highlighted changes in IC List in ROCIS)</w:t>
      </w:r>
    </w:p>
    <w:p w:rsidR="000E4270" w:rsidRDefault="000E4270">
      <w:r>
        <w:t>No changes in estimated responses and burden hours.</w:t>
      </w:r>
    </w:p>
    <w:p w:rsidR="000E4270" w:rsidRDefault="000E4270"/>
    <w:p w:rsidR="000E4270" w:rsidRDefault="000E427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82"/>
        <w:gridCol w:w="2581"/>
        <w:gridCol w:w="2434"/>
        <w:gridCol w:w="1979"/>
      </w:tblGrid>
      <w:tr w:rsidR="000E4270" w:rsidRPr="008E0A87" w:rsidTr="008E0A87">
        <w:trPr>
          <w:trHeight w:val="359"/>
        </w:trPr>
        <w:tc>
          <w:tcPr>
            <w:tcW w:w="2582" w:type="dxa"/>
            <w:vAlign w:val="bottom"/>
          </w:tcPr>
          <w:p w:rsidR="000E4270" w:rsidRPr="008E0A87" w:rsidRDefault="000E4270" w:rsidP="008E0A87">
            <w:pPr>
              <w:spacing w:after="0" w:line="240" w:lineRule="auto"/>
              <w:jc w:val="center"/>
              <w:rPr>
                <w:b/>
                <w:sz w:val="22"/>
              </w:rPr>
            </w:pPr>
            <w:r w:rsidRPr="008E0A87">
              <w:rPr>
                <w:b/>
                <w:sz w:val="22"/>
              </w:rPr>
              <w:t>Item</w:t>
            </w:r>
          </w:p>
        </w:tc>
        <w:tc>
          <w:tcPr>
            <w:tcW w:w="2581" w:type="dxa"/>
            <w:vAlign w:val="bottom"/>
          </w:tcPr>
          <w:p w:rsidR="000E4270" w:rsidRPr="008E0A87" w:rsidRDefault="000E4270" w:rsidP="008E0A87">
            <w:pPr>
              <w:spacing w:after="0" w:line="240" w:lineRule="auto"/>
              <w:jc w:val="center"/>
              <w:rPr>
                <w:b/>
                <w:sz w:val="22"/>
              </w:rPr>
            </w:pPr>
            <w:r w:rsidRPr="008E0A87">
              <w:rPr>
                <w:b/>
                <w:sz w:val="22"/>
              </w:rPr>
              <w:t>Change</w:t>
            </w:r>
          </w:p>
        </w:tc>
        <w:tc>
          <w:tcPr>
            <w:tcW w:w="2434" w:type="dxa"/>
            <w:vAlign w:val="bottom"/>
          </w:tcPr>
          <w:p w:rsidR="000E4270" w:rsidRPr="008E0A87" w:rsidRDefault="000E4270" w:rsidP="008E0A87">
            <w:pPr>
              <w:spacing w:after="0" w:line="240" w:lineRule="auto"/>
              <w:jc w:val="center"/>
              <w:rPr>
                <w:b/>
                <w:sz w:val="22"/>
              </w:rPr>
            </w:pPr>
            <w:r w:rsidRPr="008E0A87">
              <w:rPr>
                <w:b/>
                <w:sz w:val="22"/>
              </w:rPr>
              <w:t>Original w/mark-up</w:t>
            </w:r>
          </w:p>
        </w:tc>
        <w:tc>
          <w:tcPr>
            <w:tcW w:w="1979" w:type="dxa"/>
            <w:vAlign w:val="bottom"/>
          </w:tcPr>
          <w:p w:rsidR="000E4270" w:rsidRPr="008E0A87" w:rsidRDefault="000E4270" w:rsidP="008E0A87">
            <w:pPr>
              <w:spacing w:after="0" w:line="240" w:lineRule="auto"/>
              <w:jc w:val="center"/>
              <w:rPr>
                <w:b/>
                <w:sz w:val="22"/>
              </w:rPr>
            </w:pPr>
            <w:r w:rsidRPr="008E0A87">
              <w:rPr>
                <w:b/>
                <w:sz w:val="22"/>
              </w:rPr>
              <w:t>Revised Document</w:t>
            </w:r>
          </w:p>
        </w:tc>
      </w:tr>
      <w:tr w:rsidR="000E4270" w:rsidRPr="008E0A87" w:rsidTr="008E0A87">
        <w:tc>
          <w:tcPr>
            <w:tcW w:w="2582" w:type="dxa"/>
          </w:tcPr>
          <w:p w:rsidR="000E4270" w:rsidRPr="008E0A87" w:rsidRDefault="000E4270" w:rsidP="008E0A87">
            <w:pPr>
              <w:spacing w:after="0" w:line="240" w:lineRule="auto"/>
              <w:rPr>
                <w:sz w:val="22"/>
              </w:rPr>
            </w:pPr>
            <w:r w:rsidRPr="008E0A87">
              <w:rPr>
                <w:sz w:val="22"/>
              </w:rPr>
              <w:t>SF-424 (R&amp;R)/Research &amp; Related Other Project Information</w:t>
            </w:r>
          </w:p>
        </w:tc>
        <w:tc>
          <w:tcPr>
            <w:tcW w:w="2581" w:type="dxa"/>
          </w:tcPr>
          <w:p w:rsidR="000E4270" w:rsidRPr="008E0A87" w:rsidRDefault="000E4270" w:rsidP="008E0A87">
            <w:pPr>
              <w:spacing w:after="0" w:line="240" w:lineRule="auto"/>
              <w:rPr>
                <w:sz w:val="22"/>
              </w:rPr>
            </w:pPr>
            <w:r w:rsidRPr="008E0A87">
              <w:rPr>
                <w:sz w:val="22"/>
              </w:rPr>
              <w:t>No Change</w:t>
            </w:r>
          </w:p>
        </w:tc>
        <w:tc>
          <w:tcPr>
            <w:tcW w:w="2434" w:type="dxa"/>
          </w:tcPr>
          <w:p w:rsidR="000E4270" w:rsidRPr="008E0A87" w:rsidRDefault="000E4270" w:rsidP="008E0A87">
            <w:pPr>
              <w:spacing w:after="0" w:line="240" w:lineRule="auto"/>
              <w:rPr>
                <w:sz w:val="22"/>
              </w:rPr>
            </w:pPr>
          </w:p>
        </w:tc>
        <w:tc>
          <w:tcPr>
            <w:tcW w:w="1979" w:type="dxa"/>
          </w:tcPr>
          <w:p w:rsidR="000E4270" w:rsidRPr="008E0A87" w:rsidRDefault="000E4270" w:rsidP="008E0A87">
            <w:pPr>
              <w:spacing w:after="0" w:line="240" w:lineRule="auto"/>
              <w:rPr>
                <w:sz w:val="22"/>
              </w:rPr>
            </w:pPr>
            <w:r w:rsidRPr="008E0A87">
              <w:rPr>
                <w:sz w:val="22"/>
              </w:rPr>
              <w:t>NA</w:t>
            </w:r>
          </w:p>
        </w:tc>
      </w:tr>
      <w:tr w:rsidR="000E4270" w:rsidRPr="008E0A87" w:rsidTr="008E0A87">
        <w:tc>
          <w:tcPr>
            <w:tcW w:w="2582" w:type="dxa"/>
          </w:tcPr>
          <w:p w:rsidR="000E4270" w:rsidRPr="008E0A87" w:rsidRDefault="000E4270" w:rsidP="008E0A87">
            <w:pPr>
              <w:spacing w:after="0" w:line="240" w:lineRule="auto"/>
              <w:rPr>
                <w:sz w:val="22"/>
              </w:rPr>
            </w:pPr>
            <w:r w:rsidRPr="008E0A87">
              <w:rPr>
                <w:sz w:val="22"/>
              </w:rPr>
              <w:t>NIST - 1022</w:t>
            </w:r>
          </w:p>
        </w:tc>
        <w:tc>
          <w:tcPr>
            <w:tcW w:w="2581" w:type="dxa"/>
          </w:tcPr>
          <w:p w:rsidR="000E4270" w:rsidRPr="008E0A87" w:rsidRDefault="000E4270" w:rsidP="008E0A87">
            <w:pPr>
              <w:spacing w:after="0" w:line="240" w:lineRule="auto"/>
              <w:rPr>
                <w:sz w:val="22"/>
              </w:rPr>
            </w:pPr>
            <w:r w:rsidRPr="008E0A87">
              <w:rPr>
                <w:sz w:val="22"/>
              </w:rPr>
              <w:t>Revised to add Subrecipient</w:t>
            </w:r>
          </w:p>
        </w:tc>
        <w:tc>
          <w:tcPr>
            <w:tcW w:w="2434" w:type="dxa"/>
          </w:tcPr>
          <w:p w:rsidR="000E4270" w:rsidRPr="008E0A87" w:rsidRDefault="000E4270" w:rsidP="008E0A87">
            <w:pPr>
              <w:spacing w:after="0" w:line="240" w:lineRule="auto"/>
              <w:rPr>
                <w:sz w:val="22"/>
              </w:rPr>
            </w:pPr>
            <w:r w:rsidRPr="008E0A87">
              <w:rPr>
                <w:sz w:val="22"/>
              </w:rPr>
              <w:t>TIP</w:t>
            </w:r>
            <w:r>
              <w:rPr>
                <w:sz w:val="22"/>
              </w:rPr>
              <w:t xml:space="preserve"> </w:t>
            </w:r>
            <w:r w:rsidRPr="008E0A87">
              <w:rPr>
                <w:sz w:val="22"/>
              </w:rPr>
              <w:t>Form 2009 1022 DIFFERENCES in 2010.pdf</w:t>
            </w:r>
          </w:p>
        </w:tc>
        <w:tc>
          <w:tcPr>
            <w:tcW w:w="1979" w:type="dxa"/>
          </w:tcPr>
          <w:p w:rsidR="000E4270" w:rsidRPr="008E0A87" w:rsidRDefault="000E4270" w:rsidP="008E0A87">
            <w:pPr>
              <w:spacing w:after="0" w:line="240" w:lineRule="auto"/>
              <w:rPr>
                <w:sz w:val="22"/>
              </w:rPr>
            </w:pPr>
            <w:r w:rsidRPr="008E0A87">
              <w:rPr>
                <w:sz w:val="22"/>
              </w:rPr>
              <w:t>Chapter 7 Electronic Submission AND Exhibits clean.</w:t>
            </w:r>
          </w:p>
        </w:tc>
      </w:tr>
      <w:tr w:rsidR="000E4270" w:rsidRPr="008E0A87" w:rsidTr="008E0A87">
        <w:tc>
          <w:tcPr>
            <w:tcW w:w="2582" w:type="dxa"/>
          </w:tcPr>
          <w:p w:rsidR="000E4270" w:rsidRPr="008E0A87" w:rsidRDefault="000E4270" w:rsidP="008E0A87">
            <w:pPr>
              <w:spacing w:after="0" w:line="240" w:lineRule="auto"/>
              <w:rPr>
                <w:sz w:val="22"/>
              </w:rPr>
            </w:pPr>
            <w:r w:rsidRPr="008E0A87">
              <w:rPr>
                <w:sz w:val="22"/>
              </w:rPr>
              <w:t>NIST -1022A</w:t>
            </w:r>
          </w:p>
        </w:tc>
        <w:tc>
          <w:tcPr>
            <w:tcW w:w="2581" w:type="dxa"/>
          </w:tcPr>
          <w:p w:rsidR="000E4270" w:rsidRPr="008E0A87" w:rsidRDefault="000E4270" w:rsidP="008E0A87">
            <w:pPr>
              <w:spacing w:after="0" w:line="240" w:lineRule="auto"/>
              <w:rPr>
                <w:sz w:val="22"/>
              </w:rPr>
            </w:pPr>
            <w:r w:rsidRPr="008E0A87">
              <w:rPr>
                <w:sz w:val="22"/>
              </w:rPr>
              <w:t>Clerical change</w:t>
            </w:r>
          </w:p>
        </w:tc>
        <w:tc>
          <w:tcPr>
            <w:tcW w:w="2434" w:type="dxa"/>
            <w:vAlign w:val="center"/>
          </w:tcPr>
          <w:p w:rsidR="000E4270" w:rsidRPr="008E0A87" w:rsidRDefault="000E4270" w:rsidP="008E0A87">
            <w:pPr>
              <w:spacing w:after="0" w:line="240" w:lineRule="auto"/>
              <w:jc w:val="center"/>
              <w:rPr>
                <w:sz w:val="22"/>
              </w:rPr>
            </w:pPr>
            <w:r w:rsidRPr="008E0A87">
              <w:rPr>
                <w:sz w:val="22"/>
              </w:rPr>
              <w:t>“</w:t>
            </w:r>
          </w:p>
        </w:tc>
        <w:tc>
          <w:tcPr>
            <w:tcW w:w="1979" w:type="dxa"/>
          </w:tcPr>
          <w:p w:rsidR="000E4270" w:rsidRPr="008E0A87" w:rsidRDefault="000E4270" w:rsidP="008E0A87">
            <w:pPr>
              <w:spacing w:after="0" w:line="240" w:lineRule="auto"/>
              <w:jc w:val="center"/>
              <w:rPr>
                <w:sz w:val="22"/>
              </w:rPr>
            </w:pPr>
            <w:r w:rsidRPr="008E0A87">
              <w:rPr>
                <w:sz w:val="22"/>
              </w:rPr>
              <w:t>“</w:t>
            </w:r>
          </w:p>
        </w:tc>
      </w:tr>
      <w:tr w:rsidR="000E4270" w:rsidRPr="008E0A87" w:rsidTr="008E0A87">
        <w:tc>
          <w:tcPr>
            <w:tcW w:w="2582" w:type="dxa"/>
          </w:tcPr>
          <w:p w:rsidR="000E4270" w:rsidRPr="008E0A87" w:rsidRDefault="000E4270" w:rsidP="008E0A87">
            <w:pPr>
              <w:spacing w:after="0" w:line="240" w:lineRule="auto"/>
              <w:rPr>
                <w:sz w:val="22"/>
              </w:rPr>
            </w:pPr>
            <w:r w:rsidRPr="008E0A87">
              <w:rPr>
                <w:sz w:val="22"/>
              </w:rPr>
              <w:t>NIST – 1022B</w:t>
            </w:r>
          </w:p>
        </w:tc>
        <w:tc>
          <w:tcPr>
            <w:tcW w:w="2581" w:type="dxa"/>
          </w:tcPr>
          <w:p w:rsidR="000E4270" w:rsidRPr="008E0A87" w:rsidRDefault="000E4270" w:rsidP="008E0A87">
            <w:pPr>
              <w:spacing w:after="0" w:line="240" w:lineRule="auto"/>
              <w:rPr>
                <w:sz w:val="22"/>
              </w:rPr>
            </w:pPr>
            <w:r w:rsidRPr="008E0A87">
              <w:rPr>
                <w:sz w:val="22"/>
              </w:rPr>
              <w:t>Revised to add Subrecipient</w:t>
            </w:r>
          </w:p>
        </w:tc>
        <w:tc>
          <w:tcPr>
            <w:tcW w:w="2434" w:type="dxa"/>
            <w:vAlign w:val="center"/>
          </w:tcPr>
          <w:p w:rsidR="000E4270" w:rsidRPr="008E0A87" w:rsidRDefault="000E4270" w:rsidP="008E0A87">
            <w:pPr>
              <w:spacing w:after="0" w:line="240" w:lineRule="auto"/>
              <w:jc w:val="center"/>
              <w:rPr>
                <w:sz w:val="22"/>
              </w:rPr>
            </w:pPr>
            <w:r w:rsidRPr="008E0A87">
              <w:rPr>
                <w:sz w:val="22"/>
              </w:rPr>
              <w:t>“</w:t>
            </w:r>
          </w:p>
        </w:tc>
        <w:tc>
          <w:tcPr>
            <w:tcW w:w="1979" w:type="dxa"/>
          </w:tcPr>
          <w:p w:rsidR="000E4270" w:rsidRPr="008E0A87" w:rsidRDefault="000E4270" w:rsidP="008E0A87">
            <w:pPr>
              <w:spacing w:after="0" w:line="240" w:lineRule="auto"/>
              <w:jc w:val="center"/>
              <w:rPr>
                <w:sz w:val="22"/>
              </w:rPr>
            </w:pPr>
            <w:r w:rsidRPr="008E0A87">
              <w:rPr>
                <w:sz w:val="22"/>
              </w:rPr>
              <w:t>“</w:t>
            </w:r>
          </w:p>
        </w:tc>
      </w:tr>
      <w:tr w:rsidR="000E4270" w:rsidRPr="008E0A87" w:rsidTr="008E0A87">
        <w:tc>
          <w:tcPr>
            <w:tcW w:w="2582" w:type="dxa"/>
          </w:tcPr>
          <w:p w:rsidR="000E4270" w:rsidRPr="008E0A87" w:rsidRDefault="000E4270" w:rsidP="008E0A87">
            <w:pPr>
              <w:spacing w:after="0" w:line="240" w:lineRule="auto"/>
              <w:rPr>
                <w:sz w:val="22"/>
              </w:rPr>
            </w:pPr>
            <w:r w:rsidRPr="008E0A87">
              <w:rPr>
                <w:sz w:val="22"/>
              </w:rPr>
              <w:t>NIST – 1022C</w:t>
            </w:r>
          </w:p>
        </w:tc>
        <w:tc>
          <w:tcPr>
            <w:tcW w:w="2581" w:type="dxa"/>
          </w:tcPr>
          <w:p w:rsidR="000E4270" w:rsidRPr="008E0A87" w:rsidRDefault="000E4270" w:rsidP="008E0A87">
            <w:pPr>
              <w:spacing w:after="0" w:line="240" w:lineRule="auto"/>
              <w:rPr>
                <w:sz w:val="22"/>
              </w:rPr>
            </w:pPr>
            <w:r w:rsidRPr="008E0A87">
              <w:rPr>
                <w:sz w:val="22"/>
              </w:rPr>
              <w:t>Clerical changes and totals lines added/ no additional entries by proposer</w:t>
            </w:r>
          </w:p>
        </w:tc>
        <w:tc>
          <w:tcPr>
            <w:tcW w:w="2434" w:type="dxa"/>
            <w:vAlign w:val="center"/>
          </w:tcPr>
          <w:p w:rsidR="000E4270" w:rsidRPr="008E0A87" w:rsidRDefault="000E4270" w:rsidP="008E0A87">
            <w:pPr>
              <w:spacing w:after="0" w:line="240" w:lineRule="auto"/>
              <w:jc w:val="center"/>
              <w:rPr>
                <w:sz w:val="22"/>
              </w:rPr>
            </w:pPr>
            <w:r w:rsidRPr="008E0A87">
              <w:rPr>
                <w:sz w:val="22"/>
              </w:rPr>
              <w:t>“</w:t>
            </w:r>
          </w:p>
        </w:tc>
        <w:tc>
          <w:tcPr>
            <w:tcW w:w="1979" w:type="dxa"/>
          </w:tcPr>
          <w:p w:rsidR="000E4270" w:rsidRPr="008E0A87" w:rsidRDefault="000E4270" w:rsidP="008E0A87">
            <w:pPr>
              <w:spacing w:after="0" w:line="240" w:lineRule="auto"/>
              <w:jc w:val="center"/>
              <w:rPr>
                <w:sz w:val="22"/>
              </w:rPr>
            </w:pPr>
            <w:r w:rsidRPr="008E0A87">
              <w:rPr>
                <w:sz w:val="22"/>
              </w:rPr>
              <w:t>“</w:t>
            </w:r>
          </w:p>
        </w:tc>
      </w:tr>
      <w:tr w:rsidR="000E4270" w:rsidRPr="008E0A87" w:rsidTr="008E0A87">
        <w:tc>
          <w:tcPr>
            <w:tcW w:w="2582" w:type="dxa"/>
          </w:tcPr>
          <w:p w:rsidR="000E4270" w:rsidRPr="008E0A87" w:rsidRDefault="000E4270" w:rsidP="008E0A87">
            <w:pPr>
              <w:spacing w:after="0" w:line="240" w:lineRule="auto"/>
              <w:rPr>
                <w:sz w:val="22"/>
              </w:rPr>
            </w:pPr>
            <w:r w:rsidRPr="008E0A87">
              <w:rPr>
                <w:sz w:val="22"/>
              </w:rPr>
              <w:t>NIST – 1022D</w:t>
            </w:r>
          </w:p>
        </w:tc>
        <w:tc>
          <w:tcPr>
            <w:tcW w:w="2581" w:type="dxa"/>
          </w:tcPr>
          <w:p w:rsidR="000E4270" w:rsidRPr="008E0A87" w:rsidRDefault="000E4270" w:rsidP="008E0A87">
            <w:pPr>
              <w:spacing w:after="0" w:line="240" w:lineRule="auto"/>
              <w:rPr>
                <w:sz w:val="22"/>
              </w:rPr>
            </w:pPr>
            <w:r w:rsidRPr="008E0A87">
              <w:rPr>
                <w:sz w:val="22"/>
              </w:rPr>
              <w:t>Minor text changes No Change in data entry</w:t>
            </w:r>
          </w:p>
        </w:tc>
        <w:tc>
          <w:tcPr>
            <w:tcW w:w="2434" w:type="dxa"/>
            <w:vAlign w:val="center"/>
          </w:tcPr>
          <w:p w:rsidR="000E4270" w:rsidRPr="008E0A87" w:rsidRDefault="000E4270" w:rsidP="008E0A87">
            <w:pPr>
              <w:spacing w:after="0" w:line="240" w:lineRule="auto"/>
              <w:jc w:val="center"/>
              <w:rPr>
                <w:sz w:val="22"/>
              </w:rPr>
            </w:pPr>
            <w:r w:rsidRPr="008E0A87">
              <w:rPr>
                <w:sz w:val="22"/>
              </w:rPr>
              <w:t>“</w:t>
            </w:r>
          </w:p>
        </w:tc>
        <w:tc>
          <w:tcPr>
            <w:tcW w:w="1979" w:type="dxa"/>
          </w:tcPr>
          <w:p w:rsidR="000E4270" w:rsidRPr="008E0A87" w:rsidRDefault="000E4270" w:rsidP="008E0A87">
            <w:pPr>
              <w:spacing w:after="0" w:line="240" w:lineRule="auto"/>
              <w:jc w:val="center"/>
              <w:rPr>
                <w:sz w:val="22"/>
              </w:rPr>
            </w:pPr>
            <w:r w:rsidRPr="008E0A87">
              <w:rPr>
                <w:sz w:val="22"/>
              </w:rPr>
              <w:t>“</w:t>
            </w:r>
          </w:p>
        </w:tc>
      </w:tr>
      <w:tr w:rsidR="000E4270" w:rsidRPr="008E0A87" w:rsidTr="008E0A87">
        <w:tc>
          <w:tcPr>
            <w:tcW w:w="2582" w:type="dxa"/>
          </w:tcPr>
          <w:p w:rsidR="000E4270" w:rsidRPr="008E0A87" w:rsidRDefault="000E4270" w:rsidP="008E0A87">
            <w:pPr>
              <w:spacing w:after="0" w:line="240" w:lineRule="auto"/>
              <w:rPr>
                <w:sz w:val="22"/>
              </w:rPr>
            </w:pPr>
            <w:r w:rsidRPr="008E0A87">
              <w:rPr>
                <w:sz w:val="22"/>
              </w:rPr>
              <w:t>NIST – 1022E</w:t>
            </w:r>
          </w:p>
        </w:tc>
        <w:tc>
          <w:tcPr>
            <w:tcW w:w="2581" w:type="dxa"/>
          </w:tcPr>
          <w:p w:rsidR="000E4270" w:rsidRPr="008E0A87" w:rsidRDefault="000E4270" w:rsidP="008E0A87">
            <w:pPr>
              <w:spacing w:after="0" w:line="240" w:lineRule="auto"/>
              <w:rPr>
                <w:sz w:val="22"/>
              </w:rPr>
            </w:pPr>
            <w:r w:rsidRPr="008E0A87">
              <w:rPr>
                <w:sz w:val="22"/>
              </w:rPr>
              <w:t>Clerical changes, No Change in data entry</w:t>
            </w:r>
          </w:p>
        </w:tc>
        <w:tc>
          <w:tcPr>
            <w:tcW w:w="2434" w:type="dxa"/>
            <w:vAlign w:val="center"/>
          </w:tcPr>
          <w:p w:rsidR="000E4270" w:rsidRPr="008E0A87" w:rsidRDefault="000E4270" w:rsidP="008E0A87">
            <w:pPr>
              <w:spacing w:after="0" w:line="240" w:lineRule="auto"/>
              <w:jc w:val="center"/>
              <w:rPr>
                <w:sz w:val="22"/>
              </w:rPr>
            </w:pPr>
            <w:r w:rsidRPr="008E0A87">
              <w:rPr>
                <w:sz w:val="22"/>
              </w:rPr>
              <w:t>“</w:t>
            </w:r>
          </w:p>
        </w:tc>
        <w:tc>
          <w:tcPr>
            <w:tcW w:w="1979" w:type="dxa"/>
          </w:tcPr>
          <w:p w:rsidR="000E4270" w:rsidRPr="008E0A87" w:rsidRDefault="000E4270" w:rsidP="008E0A87">
            <w:pPr>
              <w:spacing w:after="0" w:line="240" w:lineRule="auto"/>
              <w:jc w:val="center"/>
              <w:rPr>
                <w:sz w:val="22"/>
              </w:rPr>
            </w:pPr>
            <w:r w:rsidRPr="008E0A87">
              <w:rPr>
                <w:sz w:val="22"/>
              </w:rPr>
              <w:t>“</w:t>
            </w:r>
          </w:p>
        </w:tc>
      </w:tr>
      <w:tr w:rsidR="000E4270" w:rsidRPr="008E0A87" w:rsidTr="008E0A87">
        <w:tc>
          <w:tcPr>
            <w:tcW w:w="2582" w:type="dxa"/>
          </w:tcPr>
          <w:p w:rsidR="000E4270" w:rsidRPr="008E0A87" w:rsidRDefault="000E4270" w:rsidP="008E0A87">
            <w:pPr>
              <w:spacing w:after="0" w:line="240" w:lineRule="auto"/>
              <w:rPr>
                <w:sz w:val="22"/>
              </w:rPr>
            </w:pPr>
            <w:r w:rsidRPr="008E0A87">
              <w:rPr>
                <w:sz w:val="22"/>
              </w:rPr>
              <w:t>NIST – 1022F</w:t>
            </w:r>
          </w:p>
        </w:tc>
        <w:tc>
          <w:tcPr>
            <w:tcW w:w="2581" w:type="dxa"/>
          </w:tcPr>
          <w:p w:rsidR="000E4270" w:rsidRPr="008E0A87" w:rsidRDefault="000E4270" w:rsidP="008E0A87">
            <w:pPr>
              <w:spacing w:after="0" w:line="240" w:lineRule="auto"/>
              <w:rPr>
                <w:sz w:val="22"/>
              </w:rPr>
            </w:pPr>
            <w:r w:rsidRPr="008E0A87">
              <w:rPr>
                <w:sz w:val="22"/>
              </w:rPr>
              <w:t>Clerical changes, No Change in data entry</w:t>
            </w:r>
          </w:p>
        </w:tc>
        <w:tc>
          <w:tcPr>
            <w:tcW w:w="2434" w:type="dxa"/>
            <w:vAlign w:val="center"/>
          </w:tcPr>
          <w:p w:rsidR="000E4270" w:rsidRPr="008E0A87" w:rsidRDefault="000E4270" w:rsidP="008E0A87">
            <w:pPr>
              <w:spacing w:after="0" w:line="240" w:lineRule="auto"/>
              <w:jc w:val="center"/>
              <w:rPr>
                <w:sz w:val="22"/>
              </w:rPr>
            </w:pPr>
            <w:r w:rsidRPr="008E0A87">
              <w:rPr>
                <w:sz w:val="22"/>
              </w:rPr>
              <w:t>“</w:t>
            </w:r>
          </w:p>
        </w:tc>
        <w:tc>
          <w:tcPr>
            <w:tcW w:w="1979" w:type="dxa"/>
          </w:tcPr>
          <w:p w:rsidR="000E4270" w:rsidRPr="008E0A87" w:rsidRDefault="000E4270" w:rsidP="008E0A87">
            <w:pPr>
              <w:spacing w:after="0" w:line="240" w:lineRule="auto"/>
              <w:jc w:val="center"/>
              <w:rPr>
                <w:sz w:val="22"/>
              </w:rPr>
            </w:pPr>
            <w:r w:rsidRPr="008E0A87">
              <w:rPr>
                <w:sz w:val="22"/>
              </w:rPr>
              <w:t>“</w:t>
            </w:r>
          </w:p>
        </w:tc>
      </w:tr>
      <w:tr w:rsidR="000E4270" w:rsidRPr="008E0A87" w:rsidTr="008E0A87">
        <w:tc>
          <w:tcPr>
            <w:tcW w:w="2582" w:type="dxa"/>
          </w:tcPr>
          <w:p w:rsidR="000E4270" w:rsidRPr="008E0A87" w:rsidRDefault="000E4270" w:rsidP="008E0A87">
            <w:pPr>
              <w:spacing w:after="0" w:line="240" w:lineRule="auto"/>
              <w:rPr>
                <w:sz w:val="22"/>
              </w:rPr>
            </w:pPr>
            <w:r w:rsidRPr="008E0A87">
              <w:rPr>
                <w:sz w:val="22"/>
              </w:rPr>
              <w:t>NIST – 1022G</w:t>
            </w:r>
          </w:p>
        </w:tc>
        <w:tc>
          <w:tcPr>
            <w:tcW w:w="2581" w:type="dxa"/>
          </w:tcPr>
          <w:p w:rsidR="000E4270" w:rsidRPr="008E0A87" w:rsidRDefault="000E4270" w:rsidP="008E0A87">
            <w:pPr>
              <w:spacing w:after="0" w:line="240" w:lineRule="auto"/>
              <w:rPr>
                <w:sz w:val="22"/>
              </w:rPr>
            </w:pPr>
            <w:r w:rsidRPr="008E0A87">
              <w:rPr>
                <w:sz w:val="22"/>
              </w:rPr>
              <w:t>No Change</w:t>
            </w:r>
          </w:p>
        </w:tc>
        <w:tc>
          <w:tcPr>
            <w:tcW w:w="2434" w:type="dxa"/>
          </w:tcPr>
          <w:p w:rsidR="000E4270" w:rsidRPr="008E0A87" w:rsidRDefault="000E4270" w:rsidP="008E0A87">
            <w:pPr>
              <w:spacing w:after="0" w:line="240" w:lineRule="auto"/>
              <w:rPr>
                <w:sz w:val="22"/>
              </w:rPr>
            </w:pPr>
          </w:p>
        </w:tc>
        <w:tc>
          <w:tcPr>
            <w:tcW w:w="1979" w:type="dxa"/>
          </w:tcPr>
          <w:p w:rsidR="000E4270" w:rsidRPr="008E0A87" w:rsidRDefault="000E4270" w:rsidP="008E0A87">
            <w:pPr>
              <w:spacing w:after="0" w:line="240" w:lineRule="auto"/>
              <w:jc w:val="center"/>
              <w:rPr>
                <w:sz w:val="22"/>
              </w:rPr>
            </w:pPr>
            <w:r w:rsidRPr="008E0A87">
              <w:rPr>
                <w:sz w:val="22"/>
              </w:rPr>
              <w:t>“</w:t>
            </w:r>
          </w:p>
        </w:tc>
      </w:tr>
      <w:tr w:rsidR="000E4270" w:rsidRPr="008E0A87" w:rsidTr="008E0A87">
        <w:tc>
          <w:tcPr>
            <w:tcW w:w="2582" w:type="dxa"/>
          </w:tcPr>
          <w:p w:rsidR="000E4270" w:rsidRPr="008E0A87" w:rsidRDefault="000E4270" w:rsidP="008E0A87">
            <w:pPr>
              <w:spacing w:after="0" w:line="240" w:lineRule="auto"/>
              <w:rPr>
                <w:sz w:val="22"/>
              </w:rPr>
            </w:pPr>
            <w:r w:rsidRPr="008E0A87">
              <w:rPr>
                <w:sz w:val="22"/>
              </w:rPr>
              <w:t>NIST – 1022H</w:t>
            </w:r>
          </w:p>
        </w:tc>
        <w:tc>
          <w:tcPr>
            <w:tcW w:w="2581" w:type="dxa"/>
          </w:tcPr>
          <w:p w:rsidR="000E4270" w:rsidRPr="008E0A87" w:rsidRDefault="000E4270" w:rsidP="008E0A87">
            <w:pPr>
              <w:spacing w:after="0" w:line="240" w:lineRule="auto"/>
              <w:rPr>
                <w:sz w:val="22"/>
              </w:rPr>
            </w:pPr>
            <w:r w:rsidRPr="008E0A87">
              <w:rPr>
                <w:sz w:val="22"/>
              </w:rPr>
              <w:t>No Change</w:t>
            </w:r>
          </w:p>
        </w:tc>
        <w:tc>
          <w:tcPr>
            <w:tcW w:w="2434" w:type="dxa"/>
          </w:tcPr>
          <w:p w:rsidR="000E4270" w:rsidRPr="008E0A87" w:rsidRDefault="000E4270" w:rsidP="008E0A87">
            <w:pPr>
              <w:spacing w:after="0" w:line="240" w:lineRule="auto"/>
              <w:rPr>
                <w:sz w:val="22"/>
              </w:rPr>
            </w:pPr>
          </w:p>
        </w:tc>
        <w:tc>
          <w:tcPr>
            <w:tcW w:w="1979" w:type="dxa"/>
          </w:tcPr>
          <w:p w:rsidR="000E4270" w:rsidRPr="008E0A87" w:rsidRDefault="000E4270" w:rsidP="008E0A87">
            <w:pPr>
              <w:spacing w:after="0" w:line="240" w:lineRule="auto"/>
              <w:jc w:val="center"/>
              <w:rPr>
                <w:sz w:val="22"/>
              </w:rPr>
            </w:pPr>
            <w:r w:rsidRPr="008E0A87">
              <w:rPr>
                <w:sz w:val="22"/>
              </w:rPr>
              <w:t>“</w:t>
            </w:r>
          </w:p>
        </w:tc>
      </w:tr>
      <w:tr w:rsidR="000E4270" w:rsidRPr="008E0A87" w:rsidTr="008E0A87">
        <w:tc>
          <w:tcPr>
            <w:tcW w:w="2582" w:type="dxa"/>
          </w:tcPr>
          <w:p w:rsidR="000E4270" w:rsidRPr="00982310" w:rsidRDefault="000E4270" w:rsidP="008E0A87">
            <w:pPr>
              <w:spacing w:after="0" w:line="240" w:lineRule="auto"/>
              <w:rPr>
                <w:b/>
                <w:sz w:val="22"/>
              </w:rPr>
            </w:pPr>
            <w:r w:rsidRPr="00982310">
              <w:rPr>
                <w:b/>
                <w:sz w:val="22"/>
              </w:rPr>
              <w:t>TIP Proposal Preparation Kit</w:t>
            </w:r>
          </w:p>
        </w:tc>
        <w:tc>
          <w:tcPr>
            <w:tcW w:w="2581" w:type="dxa"/>
          </w:tcPr>
          <w:p w:rsidR="000E4270" w:rsidRPr="008E0A87" w:rsidRDefault="000E4270" w:rsidP="008E0A87">
            <w:pPr>
              <w:spacing w:after="0" w:line="240" w:lineRule="auto"/>
              <w:rPr>
                <w:sz w:val="22"/>
              </w:rPr>
            </w:pPr>
          </w:p>
        </w:tc>
        <w:tc>
          <w:tcPr>
            <w:tcW w:w="2434" w:type="dxa"/>
          </w:tcPr>
          <w:p w:rsidR="000E4270" w:rsidRPr="008E0A87" w:rsidRDefault="000E4270" w:rsidP="008E0A87">
            <w:pPr>
              <w:spacing w:after="0" w:line="240" w:lineRule="auto"/>
              <w:rPr>
                <w:sz w:val="22"/>
              </w:rPr>
            </w:pPr>
          </w:p>
        </w:tc>
        <w:tc>
          <w:tcPr>
            <w:tcW w:w="1979" w:type="dxa"/>
          </w:tcPr>
          <w:p w:rsidR="000E4270" w:rsidRPr="008E0A87" w:rsidRDefault="000E4270" w:rsidP="008E0A87">
            <w:pPr>
              <w:spacing w:after="0" w:line="240" w:lineRule="auto"/>
              <w:rPr>
                <w:sz w:val="22"/>
              </w:rPr>
            </w:pPr>
          </w:p>
        </w:tc>
      </w:tr>
      <w:tr w:rsidR="000E4270" w:rsidRPr="008E0A87" w:rsidTr="008E0A87">
        <w:tc>
          <w:tcPr>
            <w:tcW w:w="2582" w:type="dxa"/>
          </w:tcPr>
          <w:p w:rsidR="000E4270" w:rsidRPr="008E0A87" w:rsidRDefault="000E4270" w:rsidP="008E0A87">
            <w:pPr>
              <w:spacing w:after="0" w:line="240" w:lineRule="auto"/>
              <w:rPr>
                <w:sz w:val="22"/>
              </w:rPr>
            </w:pPr>
            <w:r w:rsidRPr="008E0A87">
              <w:rPr>
                <w:sz w:val="22"/>
              </w:rPr>
              <w:t>Chapter 2 Project Narrative</w:t>
            </w:r>
          </w:p>
        </w:tc>
        <w:tc>
          <w:tcPr>
            <w:tcW w:w="2581" w:type="dxa"/>
          </w:tcPr>
          <w:p w:rsidR="000E4270" w:rsidRPr="008E0A87" w:rsidRDefault="000E4270" w:rsidP="008E0A87">
            <w:pPr>
              <w:spacing w:after="0" w:line="240" w:lineRule="auto"/>
              <w:rPr>
                <w:sz w:val="22"/>
              </w:rPr>
            </w:pPr>
            <w:r w:rsidRPr="008E0A87">
              <w:rPr>
                <w:sz w:val="22"/>
              </w:rPr>
              <w:t>Revised</w:t>
            </w:r>
          </w:p>
        </w:tc>
        <w:tc>
          <w:tcPr>
            <w:tcW w:w="2434" w:type="dxa"/>
          </w:tcPr>
          <w:p w:rsidR="000E4270" w:rsidRPr="008E0A87" w:rsidRDefault="000E4270" w:rsidP="008E0A87">
            <w:pPr>
              <w:spacing w:after="0" w:line="240" w:lineRule="auto"/>
              <w:rPr>
                <w:sz w:val="22"/>
              </w:rPr>
            </w:pPr>
            <w:r w:rsidRPr="008E0A87">
              <w:rPr>
                <w:sz w:val="22"/>
              </w:rPr>
              <w:t>Chapter 2 Summary of Changes</w:t>
            </w:r>
          </w:p>
        </w:tc>
        <w:tc>
          <w:tcPr>
            <w:tcW w:w="1979" w:type="dxa"/>
          </w:tcPr>
          <w:p w:rsidR="000E4270" w:rsidRPr="008E0A87" w:rsidRDefault="000E4270" w:rsidP="008E0A87">
            <w:pPr>
              <w:spacing w:after="0" w:line="240" w:lineRule="auto"/>
              <w:rPr>
                <w:sz w:val="22"/>
              </w:rPr>
            </w:pPr>
            <w:r w:rsidRPr="008E0A87">
              <w:rPr>
                <w:sz w:val="22"/>
              </w:rPr>
              <w:t>Chapter 2 Final</w:t>
            </w:r>
          </w:p>
        </w:tc>
      </w:tr>
      <w:tr w:rsidR="000E4270" w:rsidRPr="008E0A87" w:rsidTr="008E0A87">
        <w:tc>
          <w:tcPr>
            <w:tcW w:w="2582" w:type="dxa"/>
          </w:tcPr>
          <w:p w:rsidR="000E4270" w:rsidRPr="008E0A87" w:rsidRDefault="000E4270" w:rsidP="008E0A87">
            <w:pPr>
              <w:spacing w:after="0" w:line="240" w:lineRule="auto"/>
              <w:rPr>
                <w:sz w:val="22"/>
              </w:rPr>
            </w:pPr>
            <w:r w:rsidRPr="008E0A87">
              <w:rPr>
                <w:sz w:val="22"/>
              </w:rPr>
              <w:t xml:space="preserve">Chapter 3 - </w:t>
            </w:r>
            <w:bookmarkStart w:id="0" w:name="OLE_LINK5"/>
            <w:bookmarkStart w:id="1" w:name="OLE_LINK6"/>
            <w:r w:rsidRPr="008E0A87">
              <w:rPr>
                <w:sz w:val="22"/>
              </w:rPr>
              <w:t>Budget and Budget Narrative Guidelines</w:t>
            </w:r>
            <w:bookmarkEnd w:id="0"/>
            <w:bookmarkEnd w:id="1"/>
          </w:p>
        </w:tc>
        <w:tc>
          <w:tcPr>
            <w:tcW w:w="2581" w:type="dxa"/>
          </w:tcPr>
          <w:p w:rsidR="000E4270" w:rsidRPr="008E0A87" w:rsidRDefault="000E4270" w:rsidP="008E0A87">
            <w:pPr>
              <w:pStyle w:val="ListParagraph"/>
              <w:ind w:left="0"/>
              <w:rPr>
                <w:rFonts w:ascii="Times New Roman" w:hAnsi="Times New Roman"/>
                <w:sz w:val="22"/>
              </w:rPr>
            </w:pPr>
            <w:r w:rsidRPr="008E0A87">
              <w:rPr>
                <w:rFonts w:ascii="Times New Roman" w:hAnsi="Times New Roman"/>
                <w:sz w:val="22"/>
              </w:rPr>
              <w:t>New</w:t>
            </w:r>
            <w:r>
              <w:rPr>
                <w:rFonts w:ascii="Times New Roman" w:hAnsi="Times New Roman"/>
                <w:sz w:val="22"/>
              </w:rPr>
              <w:t xml:space="preserve"> </w:t>
            </w:r>
            <w:r w:rsidRPr="008E0A87">
              <w:rPr>
                <w:rFonts w:ascii="Times New Roman" w:hAnsi="Times New Roman"/>
                <w:sz w:val="22"/>
              </w:rPr>
              <w:t xml:space="preserve"> Chapter</w:t>
            </w:r>
          </w:p>
          <w:p w:rsidR="000E4270" w:rsidRPr="008E0A87" w:rsidRDefault="000E4270" w:rsidP="008E0A87">
            <w:pPr>
              <w:spacing w:after="0" w:line="240" w:lineRule="auto"/>
              <w:rPr>
                <w:sz w:val="22"/>
              </w:rPr>
            </w:pPr>
          </w:p>
        </w:tc>
        <w:tc>
          <w:tcPr>
            <w:tcW w:w="2434" w:type="dxa"/>
          </w:tcPr>
          <w:p w:rsidR="000E4270" w:rsidRPr="008E0A87" w:rsidRDefault="000E4270" w:rsidP="008E0A87">
            <w:pPr>
              <w:spacing w:after="0" w:line="240" w:lineRule="auto"/>
              <w:rPr>
                <w:sz w:val="22"/>
              </w:rPr>
            </w:pPr>
            <w:r w:rsidRPr="008E0A87">
              <w:rPr>
                <w:sz w:val="22"/>
              </w:rPr>
              <w:t>NA</w:t>
            </w:r>
          </w:p>
        </w:tc>
        <w:tc>
          <w:tcPr>
            <w:tcW w:w="1979" w:type="dxa"/>
          </w:tcPr>
          <w:p w:rsidR="000E4270" w:rsidRPr="008E0A87" w:rsidRDefault="000E4270" w:rsidP="008E0A87">
            <w:pPr>
              <w:spacing w:after="0" w:line="240" w:lineRule="auto"/>
              <w:rPr>
                <w:sz w:val="22"/>
              </w:rPr>
            </w:pPr>
            <w:r w:rsidRPr="008E0A87">
              <w:rPr>
                <w:sz w:val="22"/>
              </w:rPr>
              <w:t>Chapter 3 Clean</w:t>
            </w:r>
          </w:p>
        </w:tc>
      </w:tr>
      <w:tr w:rsidR="000E4270" w:rsidRPr="008E0A87" w:rsidTr="008E0A87">
        <w:tc>
          <w:tcPr>
            <w:tcW w:w="2582" w:type="dxa"/>
          </w:tcPr>
          <w:p w:rsidR="000E4270" w:rsidRPr="008E0A87" w:rsidRDefault="000E4270" w:rsidP="008E0A87">
            <w:pPr>
              <w:spacing w:after="0" w:line="240" w:lineRule="auto"/>
              <w:rPr>
                <w:sz w:val="22"/>
              </w:rPr>
            </w:pPr>
            <w:r w:rsidRPr="008E0A87">
              <w:rPr>
                <w:sz w:val="22"/>
              </w:rPr>
              <w:t>Chapter 4 - Submission Check List</w:t>
            </w:r>
          </w:p>
        </w:tc>
        <w:tc>
          <w:tcPr>
            <w:tcW w:w="2581" w:type="dxa"/>
          </w:tcPr>
          <w:p w:rsidR="000E4270" w:rsidRPr="008E0A87" w:rsidRDefault="000E4270" w:rsidP="008E0A87">
            <w:pPr>
              <w:spacing w:after="0" w:line="240" w:lineRule="auto"/>
              <w:rPr>
                <w:sz w:val="22"/>
              </w:rPr>
            </w:pPr>
            <w:r w:rsidRPr="008E0A87">
              <w:rPr>
                <w:sz w:val="22"/>
              </w:rPr>
              <w:t>Old Chapter 3 Submission Check List with clerical changes only</w:t>
            </w:r>
          </w:p>
        </w:tc>
        <w:tc>
          <w:tcPr>
            <w:tcW w:w="2434" w:type="dxa"/>
          </w:tcPr>
          <w:p w:rsidR="000E4270" w:rsidRPr="008E0A87" w:rsidRDefault="000E4270" w:rsidP="008E0A87">
            <w:pPr>
              <w:spacing w:after="0" w:line="240" w:lineRule="auto"/>
              <w:rPr>
                <w:sz w:val="22"/>
              </w:rPr>
            </w:pPr>
            <w:r w:rsidRPr="008E0A87">
              <w:rPr>
                <w:sz w:val="22"/>
              </w:rPr>
              <w:t>OLD Chapter 3</w:t>
            </w:r>
            <w:r>
              <w:rPr>
                <w:sz w:val="22"/>
              </w:rPr>
              <w:t>-</w:t>
            </w:r>
            <w:r w:rsidRPr="008E0A87">
              <w:rPr>
                <w:sz w:val="22"/>
              </w:rPr>
              <w:t>wCHG</w:t>
            </w:r>
          </w:p>
        </w:tc>
        <w:tc>
          <w:tcPr>
            <w:tcW w:w="1979" w:type="dxa"/>
          </w:tcPr>
          <w:p w:rsidR="000E4270" w:rsidRPr="008E0A87" w:rsidRDefault="000E4270" w:rsidP="008E0A87">
            <w:pPr>
              <w:spacing w:after="0" w:line="240" w:lineRule="auto"/>
              <w:rPr>
                <w:sz w:val="22"/>
              </w:rPr>
            </w:pPr>
            <w:r w:rsidRPr="008E0A87">
              <w:rPr>
                <w:sz w:val="22"/>
              </w:rPr>
              <w:t>New Chapter 4 Clean</w:t>
            </w:r>
          </w:p>
        </w:tc>
      </w:tr>
      <w:tr w:rsidR="000E4270" w:rsidRPr="008E0A87" w:rsidTr="008E0A87">
        <w:tc>
          <w:tcPr>
            <w:tcW w:w="2582" w:type="dxa"/>
          </w:tcPr>
          <w:p w:rsidR="000E4270" w:rsidRPr="008E0A87" w:rsidRDefault="000E4270" w:rsidP="008E0A87">
            <w:pPr>
              <w:spacing w:after="0" w:line="240" w:lineRule="auto"/>
              <w:rPr>
                <w:sz w:val="22"/>
              </w:rPr>
            </w:pPr>
            <w:r w:rsidRPr="008E0A87">
              <w:rPr>
                <w:sz w:val="22"/>
              </w:rPr>
              <w:t xml:space="preserve">Chapter 5 - Additional Documentation </w:t>
            </w:r>
          </w:p>
        </w:tc>
        <w:tc>
          <w:tcPr>
            <w:tcW w:w="2581" w:type="dxa"/>
          </w:tcPr>
          <w:p w:rsidR="000E4270" w:rsidRPr="008E0A87" w:rsidRDefault="000E4270" w:rsidP="008E0A87">
            <w:pPr>
              <w:spacing w:after="0" w:line="240" w:lineRule="auto"/>
              <w:rPr>
                <w:sz w:val="22"/>
              </w:rPr>
            </w:pPr>
            <w:r w:rsidRPr="008E0A87">
              <w:rPr>
                <w:sz w:val="22"/>
              </w:rPr>
              <w:t xml:space="preserve">Old Chapter 3 Additional Documentation in separate chapter. </w:t>
            </w:r>
          </w:p>
        </w:tc>
        <w:tc>
          <w:tcPr>
            <w:tcW w:w="2434" w:type="dxa"/>
          </w:tcPr>
          <w:p w:rsidR="000E4270" w:rsidRPr="008E0A87" w:rsidRDefault="000E4270" w:rsidP="008E0A87">
            <w:pPr>
              <w:spacing w:after="0" w:line="240" w:lineRule="auto"/>
              <w:rPr>
                <w:sz w:val="22"/>
              </w:rPr>
            </w:pPr>
            <w:r w:rsidRPr="008E0A87">
              <w:rPr>
                <w:sz w:val="22"/>
              </w:rPr>
              <w:t>OLD Chapter 3</w:t>
            </w:r>
            <w:r>
              <w:rPr>
                <w:sz w:val="22"/>
              </w:rPr>
              <w:t>-</w:t>
            </w:r>
            <w:r w:rsidRPr="008E0A87">
              <w:rPr>
                <w:sz w:val="22"/>
              </w:rPr>
              <w:t>wCHG</w:t>
            </w:r>
          </w:p>
        </w:tc>
        <w:tc>
          <w:tcPr>
            <w:tcW w:w="1979" w:type="dxa"/>
          </w:tcPr>
          <w:p w:rsidR="000E4270" w:rsidRPr="008E0A87" w:rsidRDefault="000E4270" w:rsidP="008E0A87">
            <w:pPr>
              <w:spacing w:after="0" w:line="240" w:lineRule="auto"/>
              <w:rPr>
                <w:sz w:val="22"/>
              </w:rPr>
            </w:pPr>
            <w:r w:rsidRPr="008E0A87">
              <w:rPr>
                <w:sz w:val="22"/>
              </w:rPr>
              <w:t>Chapter 5</w:t>
            </w:r>
            <w:r>
              <w:rPr>
                <w:sz w:val="22"/>
              </w:rPr>
              <w:t>-</w:t>
            </w:r>
            <w:r w:rsidRPr="008E0A87">
              <w:rPr>
                <w:sz w:val="22"/>
              </w:rPr>
              <w:t>new</w:t>
            </w:r>
          </w:p>
        </w:tc>
      </w:tr>
      <w:tr w:rsidR="000E4270" w:rsidRPr="008E0A87" w:rsidTr="008E0A87">
        <w:tc>
          <w:tcPr>
            <w:tcW w:w="2582" w:type="dxa"/>
          </w:tcPr>
          <w:p w:rsidR="000E4270" w:rsidRPr="008E0A87" w:rsidRDefault="000E4270" w:rsidP="008E0A87">
            <w:pPr>
              <w:spacing w:after="0" w:line="240" w:lineRule="auto"/>
              <w:rPr>
                <w:sz w:val="22"/>
              </w:rPr>
            </w:pPr>
            <w:r w:rsidRPr="008E0A87">
              <w:rPr>
                <w:sz w:val="22"/>
              </w:rPr>
              <w:t xml:space="preserve">Chapter 6  -Human Subject Check List </w:t>
            </w:r>
          </w:p>
        </w:tc>
        <w:tc>
          <w:tcPr>
            <w:tcW w:w="2581" w:type="dxa"/>
          </w:tcPr>
          <w:p w:rsidR="000E4270" w:rsidRPr="008E0A87" w:rsidRDefault="000E4270" w:rsidP="008E0A87">
            <w:pPr>
              <w:spacing w:after="0" w:line="240" w:lineRule="auto"/>
              <w:rPr>
                <w:sz w:val="22"/>
              </w:rPr>
            </w:pPr>
            <w:r w:rsidRPr="008E0A87">
              <w:rPr>
                <w:sz w:val="22"/>
              </w:rPr>
              <w:t>Old Chapter 4 with clerical changes only</w:t>
            </w:r>
          </w:p>
        </w:tc>
        <w:tc>
          <w:tcPr>
            <w:tcW w:w="2434" w:type="dxa"/>
          </w:tcPr>
          <w:p w:rsidR="000E4270" w:rsidRPr="008E0A87" w:rsidRDefault="000E4270" w:rsidP="008E0A87">
            <w:pPr>
              <w:spacing w:after="0" w:line="240" w:lineRule="auto"/>
              <w:rPr>
                <w:sz w:val="22"/>
              </w:rPr>
            </w:pPr>
            <w:r w:rsidRPr="008E0A87">
              <w:rPr>
                <w:sz w:val="22"/>
              </w:rPr>
              <w:t>OLD chapter 4 human subjects_W_CHG</w:t>
            </w:r>
          </w:p>
        </w:tc>
        <w:tc>
          <w:tcPr>
            <w:tcW w:w="1979" w:type="dxa"/>
          </w:tcPr>
          <w:p w:rsidR="000E4270" w:rsidRPr="008E0A87" w:rsidRDefault="000E4270" w:rsidP="008E0A87">
            <w:pPr>
              <w:spacing w:after="0" w:line="240" w:lineRule="auto"/>
              <w:rPr>
                <w:sz w:val="22"/>
              </w:rPr>
            </w:pPr>
            <w:r w:rsidRPr="008E0A87">
              <w:rPr>
                <w:sz w:val="22"/>
              </w:rPr>
              <w:t>Chapter 6 human subjects.docx</w:t>
            </w:r>
          </w:p>
        </w:tc>
      </w:tr>
      <w:tr w:rsidR="000E4270" w:rsidRPr="008E0A87" w:rsidTr="008E0A87">
        <w:tc>
          <w:tcPr>
            <w:tcW w:w="2582" w:type="dxa"/>
          </w:tcPr>
          <w:p w:rsidR="000E4270" w:rsidRPr="008E0A87" w:rsidRDefault="000E4270" w:rsidP="008E0A87">
            <w:pPr>
              <w:spacing w:after="0" w:line="240" w:lineRule="auto"/>
              <w:rPr>
                <w:sz w:val="22"/>
              </w:rPr>
            </w:pPr>
            <w:r w:rsidRPr="008E0A87">
              <w:rPr>
                <w:sz w:val="22"/>
              </w:rPr>
              <w:t>Chapter 7 - General Instructions For Submitting TIP Proposal Electronically via Grants.Gov</w:t>
            </w:r>
          </w:p>
          <w:p w:rsidR="000E4270" w:rsidRPr="008E0A87" w:rsidRDefault="000E4270" w:rsidP="008E0A87">
            <w:pPr>
              <w:spacing w:after="0" w:line="240" w:lineRule="auto"/>
              <w:rPr>
                <w:sz w:val="22"/>
              </w:rPr>
            </w:pPr>
          </w:p>
        </w:tc>
        <w:tc>
          <w:tcPr>
            <w:tcW w:w="2581" w:type="dxa"/>
          </w:tcPr>
          <w:p w:rsidR="000E4270" w:rsidRPr="008E0A87" w:rsidRDefault="000E4270" w:rsidP="008E0A87">
            <w:pPr>
              <w:spacing w:after="0" w:line="240" w:lineRule="auto"/>
              <w:rPr>
                <w:sz w:val="22"/>
              </w:rPr>
            </w:pPr>
            <w:r w:rsidRPr="008E0A87">
              <w:rPr>
                <w:sz w:val="22"/>
              </w:rPr>
              <w:t>Old Chapter 5 updated for changes in Grants.gov</w:t>
            </w:r>
          </w:p>
        </w:tc>
        <w:tc>
          <w:tcPr>
            <w:tcW w:w="2434" w:type="dxa"/>
          </w:tcPr>
          <w:p w:rsidR="000E4270" w:rsidRPr="008E0A87" w:rsidRDefault="000E4270" w:rsidP="008E0A87">
            <w:pPr>
              <w:spacing w:after="0" w:line="240" w:lineRule="auto"/>
              <w:rPr>
                <w:sz w:val="22"/>
              </w:rPr>
            </w:pPr>
            <w:r w:rsidRPr="008E0A87">
              <w:rPr>
                <w:sz w:val="22"/>
              </w:rPr>
              <w:t>TIP</w:t>
            </w:r>
            <w:r>
              <w:rPr>
                <w:sz w:val="22"/>
              </w:rPr>
              <w:t xml:space="preserve"> </w:t>
            </w:r>
            <w:r w:rsidRPr="008E0A87">
              <w:rPr>
                <w:sz w:val="22"/>
              </w:rPr>
              <w:t>Form 2009 1022 DIFFERENCES in 2010.pdf</w:t>
            </w:r>
          </w:p>
        </w:tc>
        <w:tc>
          <w:tcPr>
            <w:tcW w:w="1979" w:type="dxa"/>
          </w:tcPr>
          <w:p w:rsidR="000E4270" w:rsidRPr="008E0A87" w:rsidRDefault="000E4270" w:rsidP="008E0A87">
            <w:pPr>
              <w:spacing w:after="0" w:line="240" w:lineRule="auto"/>
              <w:rPr>
                <w:sz w:val="22"/>
              </w:rPr>
            </w:pPr>
            <w:r w:rsidRPr="008E0A87">
              <w:rPr>
                <w:sz w:val="22"/>
              </w:rPr>
              <w:t>Chapter 7 Electronic Submission AND Exhibits clean</w:t>
            </w:r>
          </w:p>
        </w:tc>
      </w:tr>
      <w:tr w:rsidR="000E4270" w:rsidRPr="008E0A87" w:rsidTr="008E0A87">
        <w:tc>
          <w:tcPr>
            <w:tcW w:w="2582" w:type="dxa"/>
          </w:tcPr>
          <w:p w:rsidR="000E4270" w:rsidRPr="008E0A87" w:rsidRDefault="000E4270" w:rsidP="008E0A87">
            <w:pPr>
              <w:spacing w:after="0" w:line="240" w:lineRule="auto"/>
              <w:rPr>
                <w:sz w:val="22"/>
              </w:rPr>
            </w:pPr>
            <w:r w:rsidRPr="008E0A87">
              <w:rPr>
                <w:sz w:val="22"/>
              </w:rPr>
              <w:t>Examples: Entering Multiple Sources of Funds</w:t>
            </w:r>
          </w:p>
          <w:p w:rsidR="000E4270" w:rsidRPr="008E0A87" w:rsidRDefault="000E4270" w:rsidP="008E0A87">
            <w:pPr>
              <w:spacing w:after="0" w:line="240" w:lineRule="auto"/>
              <w:rPr>
                <w:sz w:val="22"/>
              </w:rPr>
            </w:pPr>
          </w:p>
        </w:tc>
        <w:tc>
          <w:tcPr>
            <w:tcW w:w="2581" w:type="dxa"/>
          </w:tcPr>
          <w:p w:rsidR="000E4270" w:rsidRPr="008E0A87" w:rsidRDefault="000E4270" w:rsidP="008E0A87">
            <w:pPr>
              <w:spacing w:after="0" w:line="240" w:lineRule="auto"/>
              <w:rPr>
                <w:sz w:val="22"/>
              </w:rPr>
            </w:pPr>
            <w:r w:rsidRPr="008E0A87">
              <w:rPr>
                <w:sz w:val="22"/>
              </w:rPr>
              <w:t>New Exhibit 12</w:t>
            </w:r>
          </w:p>
        </w:tc>
        <w:tc>
          <w:tcPr>
            <w:tcW w:w="2434" w:type="dxa"/>
          </w:tcPr>
          <w:p w:rsidR="000E4270" w:rsidRPr="008E0A87" w:rsidRDefault="000E4270" w:rsidP="008E0A87">
            <w:pPr>
              <w:spacing w:after="0" w:line="240" w:lineRule="auto"/>
              <w:rPr>
                <w:sz w:val="22"/>
              </w:rPr>
            </w:pPr>
            <w:r w:rsidRPr="008E0A87">
              <w:rPr>
                <w:sz w:val="22"/>
              </w:rPr>
              <w:t>NA</w:t>
            </w:r>
          </w:p>
        </w:tc>
        <w:tc>
          <w:tcPr>
            <w:tcW w:w="1979" w:type="dxa"/>
          </w:tcPr>
          <w:p w:rsidR="000E4270" w:rsidRPr="008E0A87" w:rsidRDefault="000E4270" w:rsidP="008E0A87">
            <w:pPr>
              <w:spacing w:after="0" w:line="240" w:lineRule="auto"/>
              <w:jc w:val="center"/>
              <w:rPr>
                <w:sz w:val="22"/>
              </w:rPr>
            </w:pPr>
            <w:r w:rsidRPr="008E0A87">
              <w:rPr>
                <w:sz w:val="22"/>
              </w:rPr>
              <w:t>“</w:t>
            </w:r>
          </w:p>
        </w:tc>
      </w:tr>
    </w:tbl>
    <w:p w:rsidR="000E4270" w:rsidRPr="00BC6C88" w:rsidRDefault="000E4270">
      <w:pPr>
        <w:rPr>
          <w:sz w:val="22"/>
        </w:rPr>
      </w:pPr>
    </w:p>
    <w:p w:rsidR="000E4270" w:rsidRDefault="000E4270"/>
    <w:sectPr w:rsidR="000E4270" w:rsidSect="00AD50BA">
      <w:pgSz w:w="12240" w:h="15840" w:code="1"/>
      <w:pgMar w:top="1008"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3280"/>
    <w:rsid w:val="00077E9A"/>
    <w:rsid w:val="00082CD1"/>
    <w:rsid w:val="000B32A4"/>
    <w:rsid w:val="000C6F8F"/>
    <w:rsid w:val="000D5F84"/>
    <w:rsid w:val="000E4270"/>
    <w:rsid w:val="00145ED9"/>
    <w:rsid w:val="001522DC"/>
    <w:rsid w:val="00161181"/>
    <w:rsid w:val="001A5F85"/>
    <w:rsid w:val="001B187D"/>
    <w:rsid w:val="001B679A"/>
    <w:rsid w:val="001C0375"/>
    <w:rsid w:val="0020791B"/>
    <w:rsid w:val="00236D29"/>
    <w:rsid w:val="00253083"/>
    <w:rsid w:val="00263280"/>
    <w:rsid w:val="00265B9E"/>
    <w:rsid w:val="00273091"/>
    <w:rsid w:val="002748C7"/>
    <w:rsid w:val="002A0A7C"/>
    <w:rsid w:val="002C4AFB"/>
    <w:rsid w:val="003001C3"/>
    <w:rsid w:val="00307E5E"/>
    <w:rsid w:val="00347144"/>
    <w:rsid w:val="00367BC8"/>
    <w:rsid w:val="00376B9F"/>
    <w:rsid w:val="00387C59"/>
    <w:rsid w:val="00440C99"/>
    <w:rsid w:val="00465BA9"/>
    <w:rsid w:val="004B5E8A"/>
    <w:rsid w:val="004E2988"/>
    <w:rsid w:val="004E3C32"/>
    <w:rsid w:val="004F66E4"/>
    <w:rsid w:val="005158D6"/>
    <w:rsid w:val="00556FA7"/>
    <w:rsid w:val="0058104F"/>
    <w:rsid w:val="00587BD0"/>
    <w:rsid w:val="005B5B2E"/>
    <w:rsid w:val="0064035B"/>
    <w:rsid w:val="00700F05"/>
    <w:rsid w:val="00764B90"/>
    <w:rsid w:val="007A53A9"/>
    <w:rsid w:val="007B44DA"/>
    <w:rsid w:val="007C625A"/>
    <w:rsid w:val="007D0D31"/>
    <w:rsid w:val="007D5382"/>
    <w:rsid w:val="0085578C"/>
    <w:rsid w:val="008A7BA2"/>
    <w:rsid w:val="008E0A87"/>
    <w:rsid w:val="00963E27"/>
    <w:rsid w:val="0096467A"/>
    <w:rsid w:val="00982310"/>
    <w:rsid w:val="009A520F"/>
    <w:rsid w:val="009B08CB"/>
    <w:rsid w:val="009B0EA6"/>
    <w:rsid w:val="009D73F5"/>
    <w:rsid w:val="009F15ED"/>
    <w:rsid w:val="009F3BFB"/>
    <w:rsid w:val="00AD50BA"/>
    <w:rsid w:val="00B716BA"/>
    <w:rsid w:val="00BC6C88"/>
    <w:rsid w:val="00BF4176"/>
    <w:rsid w:val="00CC14AE"/>
    <w:rsid w:val="00D2315B"/>
    <w:rsid w:val="00DC0C2C"/>
    <w:rsid w:val="00E77AF6"/>
    <w:rsid w:val="00E864BD"/>
    <w:rsid w:val="00EA5BE1"/>
    <w:rsid w:val="00F05709"/>
    <w:rsid w:val="00F16524"/>
    <w:rsid w:val="00FB5672"/>
    <w:rsid w:val="00FD4370"/>
    <w:rsid w:val="00FF161F"/>
    <w:rsid w:val="00FF63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C59"/>
    <w:pPr>
      <w:spacing w:after="200" w:line="276" w:lineRule="auto"/>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B567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465BA9"/>
    <w:pPr>
      <w:spacing w:after="0" w:line="240" w:lineRule="auto"/>
      <w:ind w:left="720"/>
      <w:contextualSpacing/>
    </w:pPr>
    <w:rPr>
      <w:rFonts w:ascii="Calibri" w:hAnsi="Calibri"/>
      <w:szCs w:val="24"/>
    </w:rPr>
  </w:style>
  <w:style w:type="paragraph" w:styleId="BalloonText">
    <w:name w:val="Balloon Text"/>
    <w:basedOn w:val="Normal"/>
    <w:link w:val="BalloonTextChar"/>
    <w:uiPriority w:val="99"/>
    <w:semiHidden/>
    <w:rsid w:val="00307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7E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2</Pages>
  <Words>634</Words>
  <Characters>3615</Characters>
  <Application>Microsoft Office Outlook</Application>
  <DocSecurity>0</DocSecurity>
  <Lines>0</Lines>
  <Paragraphs>0</Paragraphs>
  <ScaleCrop>false</ScaleCrop>
  <Company>NIST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Change Request</dc:title>
  <dc:subject/>
  <dc:creator>wigginst</dc:creator>
  <cp:keywords/>
  <dc:description/>
  <cp:lastModifiedBy> </cp:lastModifiedBy>
  <cp:revision>2</cp:revision>
  <cp:lastPrinted>2010-02-26T19:39:00Z</cp:lastPrinted>
  <dcterms:created xsi:type="dcterms:W3CDTF">2010-03-08T17:32:00Z</dcterms:created>
  <dcterms:modified xsi:type="dcterms:W3CDTF">2010-03-08T17:32:00Z</dcterms:modified>
</cp:coreProperties>
</file>