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0C" w:rsidRPr="000248BD" w:rsidRDefault="00AB650C" w:rsidP="000248BD">
      <w:pPr>
        <w:autoSpaceDE w:val="0"/>
        <w:autoSpaceDN w:val="0"/>
        <w:adjustRightInd w:val="0"/>
        <w:jc w:val="center"/>
        <w:rPr>
          <w:b/>
          <w:bCs/>
          <w:szCs w:val="24"/>
        </w:rPr>
      </w:pPr>
      <w:r w:rsidRPr="0033304E">
        <w:rPr>
          <w:b/>
          <w:bCs/>
          <w:color w:val="000000"/>
        </w:rPr>
        <w:t>VA Form 10-1465-2, Inpatient short form; VA Form 10-1465</w:t>
      </w:r>
      <w:r w:rsidR="000248BD">
        <w:rPr>
          <w:b/>
          <w:bCs/>
          <w:color w:val="000000"/>
        </w:rPr>
        <w:t>-3, Ambulatory Care, long form;</w:t>
      </w:r>
      <w:r w:rsidR="000248BD">
        <w:rPr>
          <w:b/>
          <w:bCs/>
          <w:color w:val="000000"/>
        </w:rPr>
        <w:br/>
      </w:r>
      <w:r w:rsidRPr="0033304E">
        <w:rPr>
          <w:b/>
          <w:bCs/>
          <w:color w:val="000000"/>
        </w:rPr>
        <w:t>VA Form 10-1465-</w:t>
      </w:r>
      <w:r>
        <w:rPr>
          <w:b/>
          <w:bCs/>
          <w:color w:val="000000"/>
        </w:rPr>
        <w:t>4</w:t>
      </w:r>
      <w:r w:rsidRPr="0033304E">
        <w:rPr>
          <w:b/>
          <w:bCs/>
          <w:color w:val="000000"/>
        </w:rPr>
        <w:t>, Ambulatory Care short form</w:t>
      </w:r>
    </w:p>
    <w:p w:rsidR="00AB650C" w:rsidRPr="0033304E"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p w:rsidR="00AB650C" w:rsidRDefault="00AB650C">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RDefault="00AB650C" w:rsidP="00F52825">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RDefault="00AB650C" w:rsidP="00F5282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45E4C" w:rsidRDefault="00AB650C" w:rsidP="00845E4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The Survey of Health Experience of Patients (SHEP) has been developed to measure patient satisfaction in the Veterans Health Administration, and has been in use in its present form since </w:t>
      </w:r>
      <w:r w:rsidR="00032FD7">
        <w:t>2008</w:t>
      </w:r>
      <w:r>
        <w:t>.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89233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00AB650C" w:rsidRPr="001D1491">
        <w:t>0938-0981</w:t>
      </w:r>
      <w:r w:rsidR="00AB650C">
        <w:t xml:space="preserve">. </w:t>
      </w:r>
      <w:r w:rsidR="008465CB">
        <w:t xml:space="preserve">The </w:t>
      </w:r>
      <w:r w:rsidR="00AB650C">
        <w:t xml:space="preserve">HCAHPS </w:t>
      </w:r>
      <w:r w:rsidR="008465CB">
        <w:t xml:space="preserve">and a combination of the </w:t>
      </w:r>
      <w:r w:rsidR="00F91BB6" w:rsidRPr="005B4A33">
        <w:rPr>
          <w:bCs/>
          <w:szCs w:val="20"/>
        </w:rPr>
        <w:t>Consumer</w:t>
      </w:r>
      <w:r w:rsidR="00F91BB6" w:rsidRPr="005B4A33">
        <w:rPr>
          <w:rFonts w:ascii="Arial" w:hAnsi="Arial" w:cs="Arial"/>
          <w:b/>
          <w:bCs/>
          <w:szCs w:val="20"/>
        </w:rPr>
        <w:t xml:space="preserve"> </w:t>
      </w:r>
      <w:r w:rsidR="00F91BB6" w:rsidRPr="005B4A33">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VHA in 2008</w:t>
      </w:r>
      <w:r w:rsidR="00AB650C">
        <w:t xml:space="preserve">.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Neither the </w:t>
      </w:r>
      <w:r w:rsidRPr="005B4A33">
        <w:t>CAHPS</w:t>
      </w:r>
      <w:r>
        <w:t xml:space="preserve"> Health Plan survey, nor the CAHPS Clinician and Group survey is approved by OMB for use by government agencies. However, both of these ambulatory care surveys have undergone extensive testing and validation in a variety of populations. Their psychometric properties are well documented. </w:t>
      </w:r>
    </w:p>
    <w:p w:rsidR="008465CB" w:rsidRDefault="008465CB"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br/>
        <w:t>The</w:t>
      </w:r>
      <w:r w:rsidR="00032FD7">
        <w:t xml:space="preserve"> OQP SHEP</w:t>
      </w:r>
      <w:r>
        <w:t xml:space="preserve"> </w:t>
      </w:r>
      <w:r w:rsidR="008E07E7">
        <w:t xml:space="preserve">inpatient </w:t>
      </w:r>
      <w:r>
        <w:t xml:space="preserve">long form (10-1464-1) </w:t>
      </w:r>
      <w:r w:rsidR="008E07E7">
        <w:rPr>
          <w:bCs/>
        </w:rPr>
        <w:t>that was previously mailed to 10% of the monthly sample</w:t>
      </w:r>
      <w:r w:rsidR="008E07E7">
        <w:t xml:space="preserve"> </w:t>
      </w:r>
      <w:r>
        <w:t>will be discontinued</w:t>
      </w:r>
      <w:r w:rsidR="008E07E7">
        <w:rPr>
          <w:bCs/>
        </w:rPr>
        <w:t>.  All patients selected for this survey project will now receive VA Form 10-1465-2, Inpatient short form</w:t>
      </w:r>
      <w:r>
        <w:t>.</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F52825">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 short form, (10-1465-2) or core inpatient SHEP will be comprised of 53 questions. This form will be sent to 100% of each monthly sample. The short form inpatient SHEP will be comprised of</w:t>
      </w:r>
      <w:r w:rsidR="008465CB">
        <w:t xml:space="preserve"> three groups of questions</w:t>
      </w:r>
      <w:r>
        <w:t xml:space="preserve"> with a</w:t>
      </w:r>
      <w:r w:rsidR="008465CB">
        <w:t xml:space="preserve"> total </w:t>
      </w:r>
      <w:r>
        <w:t>burden of 15 minutes:</w:t>
      </w:r>
    </w:p>
    <w:p w:rsidR="00AB650C" w:rsidRDefault="00AB650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F52825">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AB650C" w:rsidRDefault="00AB650C" w:rsidP="00F52825">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AB650C" w:rsidRDefault="00AB650C" w:rsidP="00F52825">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AB650C" w:rsidRDefault="00AB650C" w:rsidP="002B256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 short form (10-1465-4), or core outpatient SHEP will be comprised of 45 questions with a burden of 20 minutes. This core version will be sent to 90% of each monthly sample, and will be comprised of:</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Questions from CAHPS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 xml:space="preserve">3. </w:t>
      </w:r>
      <w:r>
        <w:tab/>
        <w:t>Patient Complaints</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lastRenderedPageBreak/>
        <w:t>A long form of the outpatient SHEP (10-1465-3) will be mailed to 10% of the sample, and will consist of 70 questions with a burden of 25 minutes. The long form will contain:</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AB650C" w:rsidRPr="00723823" w:rsidRDefault="00AB650C" w:rsidP="00723823">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00723823" w:rsidRPr="00723823">
        <w:rPr>
          <w:bCs/>
          <w:szCs w:val="20"/>
        </w:rPr>
        <w:t>Healthcare Effectiveness Data and Information Set</w:t>
      </w:r>
      <w:r w:rsidR="00723823" w:rsidRPr="00723823">
        <w:rPr>
          <w:szCs w:val="20"/>
        </w:rPr>
        <w:t xml:space="preserve"> (</w:t>
      </w:r>
      <w:r w:rsidR="00723823" w:rsidRPr="00723823">
        <w:rPr>
          <w:bCs/>
          <w:szCs w:val="20"/>
        </w:rPr>
        <w:t>HEDIS</w:t>
      </w:r>
      <w:r w:rsidR="00723823" w:rsidRPr="00723823">
        <w:rPr>
          <w:szCs w:val="20"/>
        </w:rPr>
        <w:t xml:space="preserve">) </w:t>
      </w:r>
      <w:r w:rsidRPr="00723823">
        <w:t>Smoking measures and Audit C)</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0248BD" w:rsidRDefault="000248BD"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0248BD" w:rsidRPr="000248BD" w:rsidRDefault="000248BD"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AB650C"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two key patient populations, i.e., inpatients (recently discharged) and outpatients who have had a recent clinic visit (ambulatory care).  Each sample size will be sufficient to allow for valid statistical results at the national, network and facility levels.  Sample sizes for the non-satisfaction questions on the long form have been calculated to provide valid estimates at the network or national level only. Data for each survey will be analyzed and posted on the </w:t>
      </w:r>
      <w:r w:rsidR="00723823">
        <w:t>Office of Quality and Performance (</w:t>
      </w:r>
      <w:r>
        <w:t>OQP</w:t>
      </w:r>
      <w:r w:rsidR="00723823">
        <w:t>)</w:t>
      </w:r>
      <w:r>
        <w:t xml:space="preserve"> Web Site for field use (quarterly for outpatients and semi-annually for inpatients), or posted as special reports.  The intent is to develop relational data that will allow us to conduct powerful, selected, cohort analyses.  De-identified, unadjusted survey results will be posted in the contractor’s web page for rapid access by local VA facilities.</w:t>
      </w:r>
    </w:p>
    <w:p w:rsidR="00AB650C"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2.</w:t>
      </w:r>
      <w:r>
        <w:rPr>
          <w:b/>
          <w:color w:val="000000"/>
        </w:rPr>
        <w:tab/>
        <w:t>Indicate how, by whom, and for what purposes the information is to be used; indicate actual use the agency has made of the information received from current collection.</w:t>
      </w:r>
    </w:p>
    <w:p w:rsidR="00AB650C" w:rsidRDefault="00AB650C">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6255AE">
      <w:pPr>
        <w:autoSpaceDE w:val="0"/>
        <w:autoSpaceDN w:val="0"/>
        <w:adjustRightInd w:val="0"/>
        <w:rPr>
          <w:color w:val="000000"/>
        </w:rPr>
      </w:pPr>
      <w:r>
        <w:rPr>
          <w:color w:val="000000"/>
        </w:rPr>
        <w:t>The overall purpose of the VHA Office of Quality and Performance SHEP Survey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 xml:space="preserve">VACO management receives system-wide and VISN specific aggregated data, permitting longitudinal trend analysis of changes over time.  Information obtained through this survey is useful at all levels to plan and redirect resources and efforts to improve or maintain a high quality of care to VA </w:t>
      </w:r>
      <w:r>
        <w:rPr>
          <w:color w:val="000000"/>
        </w:rPr>
        <w:lastRenderedPageBreak/>
        <w:t>beneficiaries.  If this information is not collected, vital feedback regarding patients' treatment by providers, related services, and patient-staff communication will not be available.</w:t>
      </w:r>
    </w:p>
    <w:p w:rsidR="009F3E00" w:rsidRPr="00312557" w:rsidRDefault="009F3E00" w:rsidP="009F3E00">
      <w:pPr>
        <w:spacing w:before="100" w:beforeAutospacing="1" w:after="100" w:afterAutospacing="1"/>
        <w:rPr>
          <w:color w:val="333399"/>
          <w:szCs w:val="24"/>
        </w:rPr>
      </w:pPr>
      <w:r>
        <w:rPr>
          <w:color w:val="000000"/>
        </w:rPr>
        <w:t xml:space="preserve">This submission meets the conditions of the terms of clearance, </w:t>
      </w:r>
      <w:r>
        <w:t>dated April 3, 2008</w:t>
      </w:r>
      <w:r w:rsidRPr="008E2761">
        <w:t>:</w:t>
      </w:r>
      <w:r w:rsidRPr="009A1F95">
        <w:rPr>
          <w:iCs/>
          <w:szCs w:val="24"/>
        </w:rPr>
        <w:t xml:space="preserve"> OMB TERMS OF CLEARANCE: Approved for a period of two years after which VA shall resubmit for OMB clearance including a summary of results addressing the effectiveness of the new questions being incorporated into the existing survey under this approval.</w:t>
      </w:r>
    </w:p>
    <w:p w:rsidR="009F3E00"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4"/>
        </w:rPr>
      </w:pPr>
      <w:r>
        <w:rPr>
          <w:color w:val="000000"/>
        </w:rPr>
        <w:t xml:space="preserve">These voluntary customer service surveys fulfill the requirements of Executive Order 12862.  A key requirement of Executive Order 12862 is for agencies to compare results of satisfaction surveys to comparable external referents.  It is also a major goal of the current administration to pursue the goal of transparency regarding the efficacy of agencies.  </w:t>
      </w:r>
      <w:r>
        <w:rPr>
          <w:color w:val="000000"/>
        </w:rPr>
        <w:br/>
      </w:r>
      <w:r>
        <w:rPr>
          <w:color w:val="000000"/>
        </w:rPr>
        <w:br/>
        <w:t xml:space="preserve">In order for VHA to be able to achieve the goal of public reporting of inpatient veteran satisfaction data the survey sample creation, mailing protocols and data collection and analysis methods must mirror those outlined in CMS’s “CAHPS Hospital Survey (HCAHPS) Quality Assurance Guidelines”.  In order to do this VHA must change the method of identifying eligible survey selectees and the mailing components of the survey for the Inpatient population.  The CAHPS guidelines require identifying patients by Diagnostic Related Groups, or DRG codes, whereas VHA historically grouped patients by treating specialty, or bedsection.  Further, CMS requires that the survey components consist of a first mailing of a survey questionnaire and cover letter, followed in approximately 21 days later with a repeat questionnaire to non-respondents.   Historically VHA used a pre-notification letter, survey with cover letter, and follow-up postcard spaced by approximately seven days.  </w:t>
      </w:r>
      <w:r>
        <w:rPr>
          <w:color w:val="000000"/>
        </w:rPr>
        <w:br/>
      </w:r>
      <w:r>
        <w:rPr>
          <w:color w:val="000000"/>
        </w:rPr>
        <w:br/>
        <w:t xml:space="preserve">Another change to the inpatient survey process is the elimination of </w:t>
      </w:r>
      <w:r w:rsidRPr="005B292C">
        <w:rPr>
          <w:bCs/>
          <w:color w:val="000000"/>
        </w:rPr>
        <w:t>VA Form 10-1465-</w:t>
      </w:r>
      <w:r>
        <w:rPr>
          <w:bCs/>
          <w:color w:val="000000"/>
        </w:rPr>
        <w:t>1</w:t>
      </w:r>
      <w:r w:rsidRPr="005B292C">
        <w:rPr>
          <w:bCs/>
          <w:color w:val="000000"/>
        </w:rPr>
        <w:t xml:space="preserve">, Inpatient </w:t>
      </w:r>
      <w:r>
        <w:rPr>
          <w:bCs/>
          <w:color w:val="000000"/>
        </w:rPr>
        <w:t>long</w:t>
      </w:r>
      <w:r w:rsidRPr="005B292C">
        <w:rPr>
          <w:bCs/>
          <w:color w:val="000000"/>
        </w:rPr>
        <w:t xml:space="preserve"> form</w:t>
      </w:r>
      <w:r>
        <w:rPr>
          <w:bCs/>
          <w:color w:val="000000"/>
        </w:rPr>
        <w:t xml:space="preserve"> that was previously mailed to 10% of the monthly sample.  VHA has identified alternative sources for the information collected from the additional questions on that survey and no longer needs to collect the information via the Inpatient satisfaction survey.  All patients selected for this survey project will now receive VA Form 10-1465-2, Inpatient short form.  The elimination of this form will reduce the annual burden by approximately 625 hours.</w:t>
      </w:r>
      <w:r>
        <w:rPr>
          <w:bCs/>
          <w:color w:val="000000"/>
        </w:rPr>
        <w:br/>
      </w:r>
      <w:r>
        <w:rPr>
          <w:bCs/>
          <w:color w:val="000000"/>
        </w:rPr>
        <w:br/>
        <w:t>CAHPS sampling protocols also necessitate a change in how VHA defines eligibility for selection for the Inpatient survey.  Historically no patient was eligible for reselection for a survey more than once in a 12-month period however, that is inconsistent with m</w:t>
      </w:r>
      <w:r w:rsidRPr="006F26B7">
        <w:t xml:space="preserve">ethods followed by CMS.  CMS sampling protocols allow for reselection across months.  By excluding patients already sampled in a 12-month period VHA may potentially introduce bias in the sample by excluding sicker patients.  </w:t>
      </w:r>
      <w:r>
        <w:t xml:space="preserve">Different methodologies would </w:t>
      </w:r>
      <w:r w:rsidRPr="006F26B7">
        <w:t>could undermine the comparability of VHA and private sector data and impede public reporting of that data in 2011.</w:t>
      </w:r>
      <w:r>
        <w:t xml:space="preserve">  An impact assessment was conducted using FY09 Inpatient data and it appears that allowing veterans that had multiple qualifying discharges in different months would result in a negligible increase in burden hours</w:t>
      </w:r>
      <w:r w:rsidRPr="006F26B7">
        <w:rPr>
          <w:color w:val="000000"/>
        </w:rPr>
        <w:t xml:space="preserve">.  </w:t>
      </w:r>
      <w:r w:rsidRPr="006F26B7">
        <w:rPr>
          <w:color w:val="000000"/>
          <w:szCs w:val="24"/>
        </w:rPr>
        <w:t>There were a total of 385</w:t>
      </w:r>
      <w:r>
        <w:rPr>
          <w:color w:val="000000"/>
          <w:szCs w:val="24"/>
        </w:rPr>
        <w:t xml:space="preserve">,000 </w:t>
      </w:r>
      <w:r w:rsidRPr="006F26B7">
        <w:rPr>
          <w:color w:val="000000"/>
          <w:szCs w:val="24"/>
        </w:rPr>
        <w:t xml:space="preserve">unique patients in FY09; 19% had 2 or more </w:t>
      </w:r>
      <w:r>
        <w:rPr>
          <w:color w:val="000000"/>
          <w:szCs w:val="24"/>
        </w:rPr>
        <w:t>discharges, (73,150</w:t>
      </w:r>
      <w:r w:rsidRPr="006F26B7">
        <w:rPr>
          <w:color w:val="000000"/>
          <w:szCs w:val="24"/>
        </w:rPr>
        <w:t>)</w:t>
      </w:r>
      <w:r>
        <w:rPr>
          <w:color w:val="000000"/>
          <w:szCs w:val="24"/>
        </w:rPr>
        <w:t xml:space="preserve">; the sampling rate was </w:t>
      </w:r>
      <w:r w:rsidRPr="006F26B7">
        <w:rPr>
          <w:color w:val="000000"/>
          <w:szCs w:val="24"/>
        </w:rPr>
        <w:t xml:space="preserve">23% </w:t>
      </w:r>
      <w:r>
        <w:rPr>
          <w:color w:val="000000"/>
          <w:szCs w:val="24"/>
        </w:rPr>
        <w:t>(16,824.5</w:t>
      </w:r>
      <w:r w:rsidRPr="006F26B7">
        <w:rPr>
          <w:color w:val="000000"/>
          <w:szCs w:val="24"/>
        </w:rPr>
        <w:t>)</w:t>
      </w:r>
      <w:r>
        <w:rPr>
          <w:color w:val="000000"/>
          <w:szCs w:val="24"/>
        </w:rPr>
        <w:t>, and a 45% response rate (7,571</w:t>
      </w:r>
      <w:r w:rsidRPr="006F26B7">
        <w:rPr>
          <w:color w:val="000000"/>
          <w:szCs w:val="24"/>
        </w:rPr>
        <w:t>)</w:t>
      </w:r>
      <w:r>
        <w:rPr>
          <w:color w:val="000000"/>
          <w:szCs w:val="24"/>
        </w:rPr>
        <w:t>; l</w:t>
      </w:r>
      <w:r w:rsidRPr="006F26B7">
        <w:rPr>
          <w:color w:val="000000"/>
          <w:szCs w:val="24"/>
        </w:rPr>
        <w:t xml:space="preserve">eaving </w:t>
      </w:r>
      <w:r>
        <w:rPr>
          <w:color w:val="000000"/>
          <w:szCs w:val="24"/>
        </w:rPr>
        <w:t xml:space="preserve">approximately </w:t>
      </w:r>
      <w:r w:rsidRPr="006F26B7">
        <w:rPr>
          <w:color w:val="000000"/>
          <w:szCs w:val="24"/>
        </w:rPr>
        <w:t xml:space="preserve">7,600 patients of 650,000 discharges potentially </w:t>
      </w:r>
      <w:r>
        <w:rPr>
          <w:color w:val="000000"/>
          <w:szCs w:val="24"/>
        </w:rPr>
        <w:t xml:space="preserve">eligible </w:t>
      </w:r>
      <w:r w:rsidRPr="006F26B7">
        <w:rPr>
          <w:color w:val="000000"/>
          <w:szCs w:val="24"/>
        </w:rPr>
        <w:t>for re-responding (roughly 1%)</w:t>
      </w:r>
      <w:r>
        <w:rPr>
          <w:color w:val="000000"/>
          <w:szCs w:val="24"/>
        </w:rPr>
        <w:t xml:space="preserve">.  The overall annual cap for inpatient surveys has remained at 150,000 per year.  </w:t>
      </w:r>
      <w:r w:rsidRPr="005B292C">
        <w:rPr>
          <w:color w:val="000000"/>
        </w:rPr>
        <w:br/>
      </w:r>
      <w:r>
        <w:rPr>
          <w:color w:val="000000"/>
        </w:rPr>
        <w:br/>
      </w:r>
      <w:r w:rsidRPr="005B292C">
        <w:rPr>
          <w:bCs/>
          <w:color w:val="000000"/>
        </w:rPr>
        <w:t>VA Form 10-1465-3, Ambulatory Care, long form; VA Form 10-1465-4, Ambulatory Care short form</w:t>
      </w:r>
      <w:r>
        <w:rPr>
          <w:bCs/>
          <w:color w:val="000000"/>
        </w:rPr>
        <w:t xml:space="preserve"> have also been revised based on analysis of the first years data.  The core portion of the survey has been reordered to be more consistent with the CAHPS Clinician and Group survey, and all non-CAHPS questions have been removed.  The aim of reordering the survey questions is to improve the logical flow </w:t>
      </w:r>
      <w:r>
        <w:rPr>
          <w:bCs/>
          <w:color w:val="000000"/>
        </w:rPr>
        <w:lastRenderedPageBreak/>
        <w:t xml:space="preserve">of the questions from a focus of 12-months of experience with VA care and service to focusing on the day of the visit of record that triggered eligibility for sample selection.  The mailing components will remain unchanged, namely </w:t>
      </w:r>
      <w:r>
        <w:rPr>
          <w:color w:val="000000"/>
        </w:rPr>
        <w:t>a pre-notification letter, survey with cover letter, and follow-up postcard spaced by approximately seven days.</w:t>
      </w:r>
    </w:p>
    <w:p w:rsidR="009F3E00"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4"/>
        </w:rPr>
      </w:pPr>
    </w:p>
    <w:p w:rsidR="00AB650C" w:rsidRDefault="00AB650C"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650C" w:rsidRPr="00E150D0"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E150D0" w:rsidRPr="00E150D0" w:rsidRDefault="00E150D0" w:rsidP="00E150D0">
      <w:pPr>
        <w:rPr>
          <w:color w:val="000000"/>
          <w:szCs w:val="24"/>
        </w:rPr>
      </w:pPr>
      <w:r w:rsidRPr="00E150D0">
        <w:rPr>
          <w:color w:val="000000"/>
          <w:szCs w:val="24"/>
        </w:rPr>
        <w:t>Since moving to the CAHPS surveys, VA is bound by their protocols.  The only official mode of administration that is allowed for submission to the Hospital Compare website is paper and pencil surveys by mail, with an optional follow-up by telephone (OQP doesn’t use the telephone follow-up option).  CAHPS does not allow web-based surveys at this time, so there are no immediate plans for a web option.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RDefault="00AB650C" w:rsidP="00496E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 xml:space="preserve">There is no information currently being systematically collected that can be used for this purpose.  Although there are many small local patient satisfaction surveys largely focused on a specific part of the </w:t>
      </w:r>
      <w:smartTag w:uri="urn:schemas-microsoft-com:office:smarttags" w:element="place">
        <w:smartTag w:uri="urn:schemas-microsoft-com:office:smarttags" w:element="PlaceName">
          <w:smartTag w:uri="urn:schemas-microsoft-com:office:smarttags" w:element="PlaceName">
            <w:r>
              <w:rPr>
                <w:color w:val="000000"/>
              </w:rPr>
              <w:t>Medical</w:t>
            </w:r>
          </w:smartTag>
          <w:r>
            <w:rPr>
              <w:color w:val="000000"/>
            </w:rPr>
            <w:t xml:space="preserve"> </w:t>
          </w:r>
          <w:smartTag w:uri="urn:schemas-microsoft-com:office:smarttags" w:element="PlaceType">
            <w:r>
              <w:rPr>
                <w:color w:val="000000"/>
              </w:rPr>
              <w:t>Center</w:t>
            </w:r>
          </w:smartTag>
        </w:smartTag>
      </w:smartTag>
      <w:r>
        <w:rPr>
          <w:color w:val="000000"/>
        </w:rPr>
        <w:t>, these do not permit system-wide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3070C6"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If </w:t>
      </w:r>
      <w:r w:rsidR="00AB650C">
        <w:rPr>
          <w:color w:val="000000"/>
        </w:rPr>
        <w:t xml:space="preserve">VHA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AB650C">
        <w:rPr>
          <w:color w:val="000000"/>
        </w:rPr>
        <w:t xml:space="preserve"> the collection of customer satisfaction information will cease. VHA would be unable to measure satisfaction with VHA healthcare, and would therefore become noncompliant with Executive order 12862. </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rPr>
          <w:b/>
          <w:color w:val="000000"/>
        </w:rPr>
        <w:lastRenderedPageBreak/>
        <w:t>produce valid and reliable results that can be generalized to the universe of study and require the use of a statistical data classification that has not been reviewed and approved by OMB.</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VHA facilities need up-to-date results to manage the customer service programs for </w:t>
      </w:r>
      <w:proofErr w:type="gramStart"/>
      <w:r>
        <w:rPr>
          <w:color w:val="000000"/>
        </w:rPr>
        <w:t>facilities,</w:t>
      </w:r>
      <w:proofErr w:type="gramEnd"/>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Pr>
          <w:color w:val="000000"/>
        </w:rPr>
        <w:t>OQP ensures that no individual</w:t>
      </w:r>
      <w:r w:rsidR="000A4B1D">
        <w:rPr>
          <w:color w:val="000000"/>
        </w:rPr>
        <w:t xml:space="preserve"> </w:t>
      </w:r>
      <w:r>
        <w:rPr>
          <w:color w:val="000000"/>
        </w:rPr>
        <w:t xml:space="preserve">is eligible for random selection in any survey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Eligibility for selection is determined by several factors, so eligibility does not guarantee selection into any given sample, and participation in the survey is completely voluntary.</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r>
      <w:proofErr w:type="gramStart"/>
      <w:r>
        <w:rPr>
          <w:b/>
          <w:color w:val="000000"/>
        </w:rPr>
        <w:t>a</w:t>
      </w:r>
      <w:proofErr w:type="gramEnd"/>
      <w:r>
        <w:rPr>
          <w:b/>
          <w:color w:val="000000"/>
        </w:rPr>
        <w:t>.</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B650C" w:rsidRPr="001C692B" w:rsidRDefault="00AB650C" w:rsidP="00751D11">
      <w:pPr>
        <w:tabs>
          <w:tab w:val="left" w:pos="547"/>
          <w:tab w:val="left" w:pos="1080"/>
          <w:tab w:val="left" w:pos="1627"/>
          <w:tab w:val="left" w:pos="2160"/>
          <w:tab w:val="left" w:pos="2880"/>
        </w:tabs>
        <w:rPr>
          <w:b/>
          <w:i/>
        </w:rPr>
      </w:pPr>
    </w:p>
    <w:p w:rsidR="00AB650C" w:rsidRPr="00581719" w:rsidRDefault="00AB650C" w:rsidP="00581719">
      <w:r w:rsidRPr="00581719">
        <w:t xml:space="preserve">The notice of Proposed Information Collection Activity was published in the Federal Register on </w:t>
      </w:r>
      <w:r w:rsidR="000248BD">
        <w:t>March 1, 2010</w:t>
      </w:r>
      <w:r>
        <w:t xml:space="preserve">, </w:t>
      </w:r>
      <w:r w:rsidR="000248BD">
        <w:t>Volume 75</w:t>
      </w:r>
      <w:r w:rsidRPr="00581719">
        <w:t>, Number</w:t>
      </w:r>
      <w:r>
        <w:t xml:space="preserve"> </w:t>
      </w:r>
      <w:r w:rsidR="000248BD">
        <w:t>39</w:t>
      </w:r>
      <w:r>
        <w:t xml:space="preserve">, </w:t>
      </w:r>
      <w:proofErr w:type="gramStart"/>
      <w:r w:rsidRPr="00581719">
        <w:t>Page</w:t>
      </w:r>
      <w:proofErr w:type="gramEnd"/>
      <w:r w:rsidRPr="00581719">
        <w:t xml:space="preserve"> </w:t>
      </w:r>
      <w:r w:rsidR="000248BD">
        <w:t>9277</w:t>
      </w:r>
      <w:r>
        <w:t>.</w:t>
      </w:r>
      <w:r w:rsidRPr="00581719">
        <w:t xml:space="preserve">  We received no comments in response to this notice.</w:t>
      </w:r>
    </w:p>
    <w:p w:rsidR="00AB650C" w:rsidRPr="001C692B" w:rsidRDefault="00AB650C" w:rsidP="00751D11">
      <w:pPr>
        <w:tabs>
          <w:tab w:val="left" w:pos="547"/>
          <w:tab w:val="left" w:pos="1080"/>
          <w:tab w:val="left" w:pos="1627"/>
          <w:tab w:val="left" w:pos="2160"/>
          <w:tab w:val="left" w:pos="2880"/>
        </w:tabs>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that preclude consultation every three years with representatives of those from whom information is to be obtained.</w:t>
      </w:r>
    </w:p>
    <w:p w:rsidR="00AB650C" w:rsidRDefault="00AB650C" w:rsidP="008C0745">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Synovate Corporation.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65DED" w:rsidRPr="0038052D" w:rsidRDefault="00AB650C" w:rsidP="00465DED">
      <w:pPr>
        <w:tabs>
          <w:tab w:val="left" w:pos="540"/>
          <w:tab w:val="left" w:pos="1080"/>
          <w:tab w:val="left" w:pos="1620"/>
          <w:tab w:val="left" w:pos="2160"/>
        </w:tabs>
      </w:pPr>
      <w:proofErr w:type="gramStart"/>
      <w:r>
        <w:rPr>
          <w:b/>
          <w:color w:val="000000"/>
        </w:rPr>
        <w:t>10.</w:t>
      </w:r>
      <w:r>
        <w:rPr>
          <w:b/>
          <w:color w:val="000000"/>
        </w:rPr>
        <w:tab/>
      </w:r>
      <w:r w:rsidR="00465DED" w:rsidRPr="00E105B2">
        <w:rPr>
          <w:b/>
          <w:bCs/>
          <w:szCs w:val="24"/>
        </w:rPr>
        <w:t xml:space="preserve">Describe any assurance of </w:t>
      </w:r>
      <w:r w:rsidR="00465DED" w:rsidRPr="00C07C19">
        <w:rPr>
          <w:b/>
          <w:szCs w:val="24"/>
        </w:rPr>
        <w:t>privacy</w:t>
      </w:r>
      <w:r w:rsidR="00465DED" w:rsidRPr="00E105B2">
        <w:rPr>
          <w:b/>
          <w:szCs w:val="24"/>
        </w:rPr>
        <w:t>, to the extent permitted by law,</w:t>
      </w:r>
      <w:r w:rsidR="00465DED" w:rsidRPr="00E105B2">
        <w:rPr>
          <w:b/>
          <w:bCs/>
          <w:szCs w:val="24"/>
        </w:rPr>
        <w:t xml:space="preserve"> provided to respondents and the basis for the assurance in statu</w:t>
      </w:r>
      <w:r w:rsidR="00465DED">
        <w:rPr>
          <w:b/>
          <w:bCs/>
          <w:szCs w:val="24"/>
        </w:rPr>
        <w:t>t</w:t>
      </w:r>
      <w:r w:rsidR="00465DED" w:rsidRPr="00E105B2">
        <w:rPr>
          <w:b/>
          <w:bCs/>
          <w:szCs w:val="24"/>
        </w:rPr>
        <w:t>e, regulation, or agency policy.</w:t>
      </w:r>
      <w:proofErr w:type="gramEnd"/>
      <w:r w:rsidR="007929A9">
        <w:rPr>
          <w:b/>
          <w:bCs/>
          <w:szCs w:val="24"/>
        </w:rPr>
        <w:t xml:space="preserve">   </w:t>
      </w:r>
    </w:p>
    <w:p w:rsidR="00AB650C" w:rsidRDefault="00AB650C" w:rsidP="00465D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465DED" w:rsidRPr="00C07C19">
        <w:rPr>
          <w:color w:val="000000"/>
        </w:rPr>
        <w:t>privac</w:t>
      </w:r>
      <w:r w:rsidRPr="00C07C19">
        <w:rPr>
          <w:color w:val="000000"/>
        </w:rPr>
        <w:t>y</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7929A9" w:rsidRPr="00C07C19">
        <w:rPr>
          <w:color w:val="000000"/>
        </w:rPr>
        <w:t>private</w:t>
      </w:r>
      <w:r w:rsidRPr="00C07C19">
        <w:rPr>
          <w:color w:val="000000"/>
        </w:rPr>
        <w:t>,</w:t>
      </w:r>
      <w:r>
        <w:rPr>
          <w:color w:val="000000"/>
        </w:rPr>
        <w:t xml:space="preserve"> and will have no effect on entitlement to or eligibility for VA </w:t>
      </w:r>
      <w:r w:rsidR="000A4B1D">
        <w:rPr>
          <w:color w:val="000000"/>
        </w:rPr>
        <w:t xml:space="preserve">healthcare </w:t>
      </w:r>
      <w:r>
        <w:rPr>
          <w:color w:val="000000"/>
        </w:rPr>
        <w:t xml:space="preserve">benefits, and that the form does not need to be signed.  The patient completes the questionnaire anonymously (giving neither name nor social security number) and returns it to the contractor collecting data for OQP.  All returned survey documents are destroyed once the dataset created from those documents has been validated.  In the many years that the VA has been conducting similar types of surveys, there has never been a single complaint by a veteran concerning a violation of this </w:t>
      </w:r>
      <w:r w:rsidR="007929A9" w:rsidRPr="00C07C19">
        <w:rPr>
          <w:color w:val="000000"/>
        </w:rPr>
        <w:t>privacy</w:t>
      </w:r>
      <w:r>
        <w:rPr>
          <w:color w:val="000000"/>
        </w:rPr>
        <w:t xml:space="preserve"> pledge.  Since the responses are not individually identifiable, there is no need to store or process these forms in accordance with the Privacy Act.  Nonetheless, the VA adheres to U.S.C. 38, Section 3305, which mandates the </w:t>
      </w:r>
      <w:r w:rsidR="007764E3" w:rsidRPr="00C07C19">
        <w:rPr>
          <w:color w:val="000000"/>
        </w:rPr>
        <w:t>privac</w:t>
      </w:r>
      <w:r w:rsidRPr="00C07C19">
        <w:rPr>
          <w:color w:val="000000"/>
        </w:rPr>
        <w:t>y</w:t>
      </w:r>
      <w:r>
        <w:rPr>
          <w:color w:val="000000"/>
        </w:rPr>
        <w:t xml:space="preserve"> of medical quality-assurance records.</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RDefault="00AB650C" w:rsidP="0083118F">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RDefault="00AB650C" w:rsidP="0083118F">
      <w:pPr>
        <w:pStyle w:val="BodyText3"/>
        <w:tabs>
          <w:tab w:val="left" w:pos="9360"/>
        </w:tabs>
        <w:rPr>
          <w:b w:val="0"/>
          <w:bCs/>
          <w:color w:val="000000"/>
          <w:sz w:val="24"/>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12.</w:t>
      </w:r>
      <w:r>
        <w:rPr>
          <w:b/>
          <w:color w:val="000000"/>
        </w:rPr>
        <w:tab/>
        <w:t>Estimate of the hour burden of the collection of information:</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bl>
      <w:tblPr>
        <w:tblW w:w="9450" w:type="dxa"/>
        <w:tblInd w:w="468" w:type="dxa"/>
        <w:tblLayout w:type="fixed"/>
        <w:tblLook w:val="0040"/>
      </w:tblPr>
      <w:tblGrid>
        <w:gridCol w:w="2160"/>
        <w:gridCol w:w="2040"/>
        <w:gridCol w:w="1680"/>
        <w:gridCol w:w="1050"/>
        <w:gridCol w:w="1260"/>
        <w:gridCol w:w="1260"/>
      </w:tblGrid>
      <w:tr w:rsidR="00AB650C" w:rsidRPr="003C0C86" w:rsidTr="007B747F">
        <w:trPr>
          <w:cantSplit/>
        </w:trPr>
        <w:tc>
          <w:tcPr>
            <w:tcW w:w="2160" w:type="dxa"/>
          </w:tcPr>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bookmarkStart w:id="0" w:name="_Hlk179337871"/>
          </w:p>
          <w:p w:rsidR="00AB650C" w:rsidRPr="003C0C86"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r w:rsidRPr="003C0C86">
              <w:rPr>
                <w:b/>
                <w:bCs/>
                <w:color w:val="000000"/>
                <w:szCs w:val="24"/>
              </w:rPr>
              <w:t>FORM NUMBER</w:t>
            </w:r>
          </w:p>
        </w:tc>
        <w:tc>
          <w:tcPr>
            <w:tcW w:w="2040" w:type="dxa"/>
          </w:tcPr>
          <w:p w:rsidR="00AB650C"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p>
          <w:p w:rsidR="00AB650C" w:rsidRPr="003C0C86"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r w:rsidRPr="003C0C86">
              <w:rPr>
                <w:b/>
                <w:bCs/>
                <w:color w:val="000000"/>
                <w:szCs w:val="24"/>
              </w:rPr>
              <w:t>RESPONDENTS</w:t>
            </w:r>
          </w:p>
        </w:tc>
        <w:tc>
          <w:tcPr>
            <w:tcW w:w="1680" w:type="dxa"/>
          </w:tcPr>
          <w:p w:rsidR="00AB650C"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p>
          <w:p w:rsidR="00AB650C" w:rsidRPr="003C0C86"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r w:rsidRPr="003C0C86">
              <w:rPr>
                <w:b/>
                <w:bCs/>
                <w:color w:val="000000"/>
                <w:szCs w:val="24"/>
              </w:rPr>
              <w:t>RESPONSES</w:t>
            </w:r>
          </w:p>
        </w:tc>
        <w:tc>
          <w:tcPr>
            <w:tcW w:w="1050" w:type="dxa"/>
            <w:vAlign w:val="bottom"/>
          </w:tcPr>
          <w:p w:rsidR="00AB650C" w:rsidRPr="003C0C86"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r w:rsidRPr="003C0C86">
              <w:rPr>
                <w:b/>
                <w:bCs/>
                <w:color w:val="000000"/>
                <w:szCs w:val="24"/>
              </w:rPr>
              <w:t>% ELEC</w:t>
            </w:r>
          </w:p>
        </w:tc>
        <w:tc>
          <w:tcPr>
            <w:tcW w:w="1260" w:type="dxa"/>
          </w:tcPr>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p>
          <w:p w:rsidR="00AB650C" w:rsidRPr="003C0C86"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r w:rsidRPr="003C0C86">
              <w:rPr>
                <w:b/>
                <w:bCs/>
                <w:color w:val="000000"/>
                <w:szCs w:val="24"/>
              </w:rPr>
              <w:t>BURDEN</w:t>
            </w:r>
          </w:p>
        </w:tc>
        <w:tc>
          <w:tcPr>
            <w:tcW w:w="1260" w:type="dxa"/>
          </w:tcPr>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p>
          <w:p w:rsidR="00AB650C" w:rsidRPr="003C0C86"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Cs w:val="24"/>
              </w:rPr>
            </w:pPr>
            <w:r w:rsidRPr="003C0C86">
              <w:rPr>
                <w:b/>
                <w:bCs/>
                <w:color w:val="000000"/>
                <w:szCs w:val="24"/>
              </w:rPr>
              <w:t>HOURS</w:t>
            </w:r>
          </w:p>
        </w:tc>
      </w:tr>
      <w:tr w:rsidR="00AB650C" w:rsidRPr="003C0C86" w:rsidTr="007B747F">
        <w:trPr>
          <w:cantSplit/>
        </w:trPr>
        <w:tc>
          <w:tcPr>
            <w:tcW w:w="2160" w:type="dxa"/>
          </w:tcPr>
          <w:p w:rsidR="00AB650C" w:rsidRPr="003C0C86" w:rsidRDefault="00AB650C"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bookmarkStart w:id="1" w:name="OLE_LINK1"/>
            <w:bookmarkStart w:id="2" w:name="OLE_LINK2"/>
            <w:bookmarkStart w:id="3" w:name="_Hlk178153400"/>
            <w:r w:rsidRPr="003C0C86">
              <w:rPr>
                <w:color w:val="000000"/>
                <w:szCs w:val="24"/>
              </w:rPr>
              <w:t>10-1465-2</w:t>
            </w:r>
            <w:bookmarkEnd w:id="1"/>
            <w:bookmarkEnd w:id="2"/>
          </w:p>
        </w:tc>
        <w:tc>
          <w:tcPr>
            <w:tcW w:w="2040" w:type="dxa"/>
          </w:tcPr>
          <w:p w:rsidR="00AB650C" w:rsidRPr="003C0C86"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75,000</w:t>
            </w:r>
          </w:p>
        </w:tc>
        <w:tc>
          <w:tcPr>
            <w:tcW w:w="1680" w:type="dxa"/>
          </w:tcPr>
          <w:p w:rsidR="00AB650C" w:rsidRPr="003C0C86" w:rsidRDefault="00AB650C"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75</w:t>
            </w:r>
            <w:r w:rsidRPr="003C0C86">
              <w:rPr>
                <w:color w:val="000000"/>
                <w:szCs w:val="24"/>
              </w:rPr>
              <w:t>,</w:t>
            </w:r>
            <w:r>
              <w:rPr>
                <w:color w:val="000000"/>
                <w:szCs w:val="24"/>
              </w:rPr>
              <w:t>0</w:t>
            </w:r>
            <w:r w:rsidRPr="003C0C86">
              <w:rPr>
                <w:color w:val="000000"/>
                <w:szCs w:val="24"/>
              </w:rPr>
              <w:t>00</w:t>
            </w:r>
          </w:p>
        </w:tc>
        <w:tc>
          <w:tcPr>
            <w:tcW w:w="1050" w:type="dxa"/>
          </w:tcPr>
          <w:p w:rsidR="00AB650C" w:rsidRPr="003C0C86"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AB650C" w:rsidRPr="003C0C86" w:rsidRDefault="00AB650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sidRPr="003C0C86">
              <w:rPr>
                <w:color w:val="000000"/>
                <w:szCs w:val="24"/>
              </w:rPr>
              <w:t>15</w:t>
            </w:r>
          </w:p>
        </w:tc>
        <w:tc>
          <w:tcPr>
            <w:tcW w:w="1260" w:type="dxa"/>
          </w:tcPr>
          <w:p w:rsidR="00AB650C" w:rsidRPr="003C0C86" w:rsidRDefault="00AB650C"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sidRPr="003C0C86">
              <w:rPr>
                <w:color w:val="000000"/>
                <w:szCs w:val="24"/>
              </w:rPr>
              <w:t>1</w:t>
            </w:r>
            <w:r>
              <w:rPr>
                <w:color w:val="000000"/>
                <w:szCs w:val="24"/>
              </w:rPr>
              <w:t>8</w:t>
            </w:r>
            <w:r w:rsidRPr="003C0C86">
              <w:rPr>
                <w:color w:val="000000"/>
                <w:szCs w:val="24"/>
              </w:rPr>
              <w:t>,</w:t>
            </w:r>
            <w:r>
              <w:rPr>
                <w:color w:val="000000"/>
                <w:szCs w:val="24"/>
              </w:rPr>
              <w:t>750</w:t>
            </w:r>
          </w:p>
        </w:tc>
      </w:tr>
      <w:tr w:rsidR="00AB650C" w:rsidRPr="003C0C86" w:rsidTr="007B747F">
        <w:trPr>
          <w:cantSplit/>
        </w:trPr>
        <w:tc>
          <w:tcPr>
            <w:tcW w:w="2160" w:type="dxa"/>
          </w:tcPr>
          <w:p w:rsidR="00AB650C" w:rsidRPr="003C0C86" w:rsidRDefault="00AB650C"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10-1465-3</w:t>
            </w:r>
            <w:r w:rsidR="000248BD">
              <w:rPr>
                <w:color w:val="000000"/>
                <w:szCs w:val="24"/>
              </w:rPr>
              <w:t xml:space="preserve"> / </w:t>
            </w:r>
          </w:p>
        </w:tc>
        <w:tc>
          <w:tcPr>
            <w:tcW w:w="2040" w:type="dxa"/>
          </w:tcPr>
          <w:p w:rsidR="00AB650C" w:rsidRPr="003C0C86"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sidRPr="003C0C86">
              <w:rPr>
                <w:color w:val="000000"/>
                <w:szCs w:val="24"/>
              </w:rPr>
              <w:t>23,524</w:t>
            </w:r>
          </w:p>
        </w:tc>
        <w:tc>
          <w:tcPr>
            <w:tcW w:w="1680" w:type="dxa"/>
          </w:tcPr>
          <w:p w:rsidR="00AB650C" w:rsidRPr="003C0C86" w:rsidRDefault="00AB650C"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sidRPr="003C0C86">
              <w:rPr>
                <w:color w:val="000000"/>
                <w:szCs w:val="24"/>
              </w:rPr>
              <w:t>23,524</w:t>
            </w:r>
          </w:p>
        </w:tc>
        <w:tc>
          <w:tcPr>
            <w:tcW w:w="1050" w:type="dxa"/>
          </w:tcPr>
          <w:p w:rsidR="00AB650C" w:rsidRPr="003C0C86"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AB650C" w:rsidRPr="003C0C86" w:rsidRDefault="00AB650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25</w:t>
            </w:r>
          </w:p>
        </w:tc>
        <w:tc>
          <w:tcPr>
            <w:tcW w:w="1260" w:type="dxa"/>
          </w:tcPr>
          <w:p w:rsidR="00AB650C" w:rsidRPr="003C0C86" w:rsidRDefault="00AB650C"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9</w:t>
            </w:r>
            <w:r w:rsidRPr="003C0C86">
              <w:rPr>
                <w:color w:val="000000"/>
                <w:szCs w:val="24"/>
              </w:rPr>
              <w:t>,8</w:t>
            </w:r>
            <w:r>
              <w:rPr>
                <w:color w:val="000000"/>
                <w:szCs w:val="24"/>
              </w:rPr>
              <w:t>0</w:t>
            </w:r>
            <w:r w:rsidRPr="003C0C86">
              <w:rPr>
                <w:color w:val="000000"/>
                <w:szCs w:val="24"/>
              </w:rPr>
              <w:t>2</w:t>
            </w:r>
          </w:p>
        </w:tc>
      </w:tr>
      <w:bookmarkEnd w:id="3"/>
      <w:tr w:rsidR="002C0892" w:rsidRPr="003C0C86" w:rsidTr="007B747F">
        <w:trPr>
          <w:cantSplit/>
        </w:trPr>
        <w:tc>
          <w:tcPr>
            <w:tcW w:w="2160" w:type="dxa"/>
          </w:tcPr>
          <w:p w:rsidR="002C0892" w:rsidRPr="003C0C86" w:rsidRDefault="002C0892"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10-1465-4</w:t>
            </w:r>
          </w:p>
        </w:tc>
        <w:tc>
          <w:tcPr>
            <w:tcW w:w="2040" w:type="dxa"/>
          </w:tcPr>
          <w:p w:rsidR="002C0892" w:rsidRPr="003C0C86" w:rsidRDefault="002C0892"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sidRPr="003C0C86">
              <w:rPr>
                <w:color w:val="000000"/>
                <w:szCs w:val="24"/>
              </w:rPr>
              <w:t>202,720</w:t>
            </w:r>
          </w:p>
        </w:tc>
        <w:tc>
          <w:tcPr>
            <w:tcW w:w="1680" w:type="dxa"/>
          </w:tcPr>
          <w:p w:rsidR="002C0892" w:rsidRPr="003C0C86" w:rsidRDefault="002C0892" w:rsidP="002C0892">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sidRPr="003C0C86">
              <w:rPr>
                <w:color w:val="000000"/>
                <w:szCs w:val="24"/>
              </w:rPr>
              <w:t>202,720</w:t>
            </w:r>
          </w:p>
        </w:tc>
        <w:tc>
          <w:tcPr>
            <w:tcW w:w="1050" w:type="dxa"/>
          </w:tcPr>
          <w:p w:rsidR="002C0892" w:rsidRPr="003C0C86" w:rsidRDefault="002C0892"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2C0892" w:rsidRPr="003C0C86" w:rsidRDefault="002C0892" w:rsidP="002C089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20</w:t>
            </w:r>
          </w:p>
        </w:tc>
        <w:tc>
          <w:tcPr>
            <w:tcW w:w="1260" w:type="dxa"/>
          </w:tcPr>
          <w:p w:rsidR="002C0892" w:rsidRDefault="007E015C" w:rsidP="002C08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67,573</w:t>
            </w:r>
          </w:p>
        </w:tc>
      </w:tr>
      <w:tr w:rsidR="002C0892" w:rsidRPr="003C0C86" w:rsidTr="007B747F">
        <w:trPr>
          <w:cantSplit/>
        </w:trPr>
        <w:tc>
          <w:tcPr>
            <w:tcW w:w="2160" w:type="dxa"/>
          </w:tcPr>
          <w:p w:rsidR="002C0892" w:rsidRPr="003C0C86" w:rsidRDefault="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2040" w:type="dxa"/>
            <w:tcBorders>
              <w:top w:val="single" w:sz="12" w:space="0" w:color="auto"/>
            </w:tcBorders>
          </w:tcPr>
          <w:p w:rsidR="002C0892" w:rsidRPr="003C0C86" w:rsidRDefault="002C0892"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sidRPr="003C0C86">
              <w:rPr>
                <w:color w:val="000000"/>
                <w:szCs w:val="24"/>
              </w:rPr>
              <w:t>301,244</w:t>
            </w:r>
          </w:p>
        </w:tc>
        <w:tc>
          <w:tcPr>
            <w:tcW w:w="1680" w:type="dxa"/>
            <w:tcBorders>
              <w:top w:val="single" w:sz="12" w:space="0" w:color="auto"/>
            </w:tcBorders>
          </w:tcPr>
          <w:p w:rsidR="002C0892" w:rsidRPr="003C0C86" w:rsidRDefault="002C0892"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sidRPr="003C0C86">
              <w:rPr>
                <w:color w:val="000000"/>
                <w:szCs w:val="24"/>
              </w:rPr>
              <w:t>301,244</w:t>
            </w:r>
          </w:p>
        </w:tc>
        <w:tc>
          <w:tcPr>
            <w:tcW w:w="1050" w:type="dxa"/>
            <w:tcBorders>
              <w:top w:val="single" w:sz="12" w:space="0" w:color="auto"/>
            </w:tcBorders>
          </w:tcPr>
          <w:p w:rsidR="002C0892" w:rsidRPr="003C0C86" w:rsidRDefault="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Borders>
              <w:top w:val="single" w:sz="12" w:space="0" w:color="auto"/>
            </w:tcBorders>
          </w:tcPr>
          <w:p w:rsidR="002C0892" w:rsidRPr="00894894" w:rsidRDefault="002C0892"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szCs w:val="24"/>
              </w:rPr>
            </w:pPr>
            <w:r w:rsidRPr="00894894">
              <w:rPr>
                <w:szCs w:val="24"/>
              </w:rPr>
              <w:t xml:space="preserve">60 </w:t>
            </w:r>
          </w:p>
        </w:tc>
        <w:tc>
          <w:tcPr>
            <w:tcW w:w="1260" w:type="dxa"/>
            <w:tcBorders>
              <w:top w:val="single" w:sz="12" w:space="0" w:color="auto"/>
            </w:tcBorders>
          </w:tcPr>
          <w:p w:rsidR="002C0892" w:rsidRPr="003C0C86" w:rsidRDefault="002C0892"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96</w:t>
            </w:r>
            <w:r w:rsidRPr="003C0C86">
              <w:rPr>
                <w:color w:val="000000"/>
                <w:szCs w:val="24"/>
              </w:rPr>
              <w:t>,</w:t>
            </w:r>
            <w:r>
              <w:rPr>
                <w:color w:val="000000"/>
                <w:szCs w:val="24"/>
              </w:rPr>
              <w:t>125</w:t>
            </w:r>
          </w:p>
        </w:tc>
      </w:tr>
      <w:bookmarkEnd w:id="0"/>
    </w:tbl>
    <w:p w:rsidR="000248BD" w:rsidRDefault="000248BD">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b.</w:t>
      </w:r>
      <w:r>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RDefault="00AB650C" w:rsidP="00FE440E">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cost to the respondents for completing these forms is $1,441,875 (96</w:t>
      </w:r>
      <w:r w:rsidRPr="00E02C01">
        <w:rPr>
          <w:color w:val="000000"/>
        </w:rPr>
        <w:t>,</w:t>
      </w:r>
      <w:r>
        <w:rPr>
          <w:color w:val="000000"/>
        </w:rPr>
        <w:t>125 hours X $15 per hour). We do not require any additional record keeping.</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D81E0B">
      <w:pPr>
        <w:pStyle w:val="BodyText3"/>
        <w:tabs>
          <w:tab w:val="clear" w:pos="540"/>
          <w:tab w:val="left" w:pos="720"/>
          <w:tab w:val="left" w:pos="9360"/>
        </w:tabs>
        <w:ind w:left="450" w:hanging="450"/>
        <w:rPr>
          <w:b w:val="0"/>
          <w:color w:val="000000"/>
          <w:sz w:val="24"/>
        </w:rPr>
      </w:pPr>
      <w:r>
        <w:rPr>
          <w:b w:val="0"/>
          <w:color w:val="000000"/>
          <w:sz w:val="24"/>
        </w:rPr>
        <w:tab/>
      </w:r>
      <w:r w:rsidRPr="00D81E0B">
        <w:rPr>
          <w:color w:val="000000"/>
          <w:sz w:val="24"/>
        </w:rPr>
        <w:t>a.</w:t>
      </w:r>
      <w:r>
        <w:rPr>
          <w:b w:val="0"/>
          <w:color w:val="000000"/>
          <w:sz w:val="24"/>
        </w:rPr>
        <w:tab/>
        <w:t xml:space="preserve">There </w:t>
      </w:r>
      <w:proofErr w:type="gramStart"/>
      <w:r>
        <w:rPr>
          <w:b w:val="0"/>
          <w:color w:val="000000"/>
          <w:sz w:val="24"/>
        </w:rPr>
        <w:t>are no capital</w:t>
      </w:r>
      <w:proofErr w:type="gramEnd"/>
      <w:r>
        <w:rPr>
          <w:b w:val="0"/>
          <w:color w:val="000000"/>
          <w:sz w:val="24"/>
        </w:rPr>
        <w:t xml:space="preserve">, start-up, operation or maintenance costs. </w:t>
      </w:r>
    </w:p>
    <w:p w:rsidR="00AB650C" w:rsidRDefault="00AB650C" w:rsidP="00D81E0B">
      <w:pPr>
        <w:pStyle w:val="BodyText3"/>
        <w:tabs>
          <w:tab w:val="clear" w:pos="540"/>
          <w:tab w:val="clear" w:pos="1080"/>
          <w:tab w:val="left" w:pos="720"/>
          <w:tab w:val="left" w:pos="9360"/>
        </w:tabs>
        <w:ind w:left="450" w:hanging="450"/>
        <w:rPr>
          <w:b w:val="0"/>
          <w:color w:val="000000"/>
          <w:sz w:val="24"/>
        </w:rPr>
      </w:pPr>
      <w:r>
        <w:rPr>
          <w:b w:val="0"/>
          <w:color w:val="000000"/>
          <w:sz w:val="24"/>
        </w:rPr>
        <w:tab/>
      </w:r>
      <w:r w:rsidRPr="00D81E0B">
        <w:rPr>
          <w:color w:val="000000"/>
          <w:sz w:val="24"/>
        </w:rPr>
        <w:t>b.</w:t>
      </w:r>
      <w:r w:rsidRPr="00D81E0B">
        <w:rPr>
          <w:color w:val="000000"/>
          <w:sz w:val="24"/>
        </w:rPr>
        <w:tab/>
      </w:r>
      <w:r>
        <w:rPr>
          <w:b w:val="0"/>
          <w:color w:val="000000"/>
          <w:sz w:val="24"/>
        </w:rPr>
        <w:t>Cost estimates are not expected to vary widely.  The only cost is that for the time of the</w:t>
      </w:r>
      <w:r w:rsidR="00800979">
        <w:rPr>
          <w:b w:val="0"/>
          <w:color w:val="000000"/>
          <w:sz w:val="24"/>
        </w:rPr>
        <w:t xml:space="preserve"> </w:t>
      </w:r>
      <w:r w:rsidR="00D81E0B">
        <w:rPr>
          <w:b w:val="0"/>
          <w:color w:val="000000"/>
          <w:sz w:val="24"/>
        </w:rPr>
        <w:t xml:space="preserve">   </w:t>
      </w:r>
      <w:r>
        <w:rPr>
          <w:b w:val="0"/>
          <w:color w:val="000000"/>
          <w:sz w:val="24"/>
        </w:rPr>
        <w:t>respondent.</w:t>
      </w:r>
      <w:r w:rsidR="00D81E0B">
        <w:rPr>
          <w:b w:val="0"/>
          <w:color w:val="000000"/>
          <w:sz w:val="24"/>
        </w:rPr>
        <w:br/>
      </w:r>
      <w:r w:rsidRPr="00D81E0B">
        <w:rPr>
          <w:color w:val="000000"/>
          <w:sz w:val="24"/>
        </w:rPr>
        <w:t>c.</w:t>
      </w:r>
      <w:r>
        <w:rPr>
          <w:b w:val="0"/>
          <w:color w:val="000000"/>
          <w:sz w:val="24"/>
        </w:rPr>
        <w:tab/>
        <w:t>There are no anticipated capital start-up cost components or requests to provide information.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cost to the Government is $12,065,619.02 to the vendor for printing, mailing, and collecting the data.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 of OMB 83-I</w:t>
      </w:r>
    </w:p>
    <w:p w:rsidR="000248BD" w:rsidRDefault="009A1F95" w:rsidP="00D17E21">
      <w:pPr>
        <w:autoSpaceDE w:val="0"/>
        <w:autoSpaceDN w:val="0"/>
        <w:adjustRightInd w:val="0"/>
        <w:rPr>
          <w:szCs w:val="24"/>
        </w:rPr>
      </w:pPr>
      <w:r>
        <w:br/>
      </w:r>
      <w:r w:rsidR="002F23B6">
        <w:t>One</w:t>
      </w:r>
      <w:r>
        <w:t xml:space="preserve"> </w:t>
      </w:r>
      <w:r w:rsidR="00453917">
        <w:t xml:space="preserve">of the </w:t>
      </w:r>
      <w:r>
        <w:t>change</w:t>
      </w:r>
      <w:r w:rsidR="00453917">
        <w:t>s</w:t>
      </w:r>
      <w:r>
        <w:t xml:space="preserve"> to the inpatient survey process is the elimination of </w:t>
      </w:r>
      <w:r w:rsidRPr="005B292C">
        <w:t>VA Form 10-1465-</w:t>
      </w:r>
      <w:r>
        <w:t>1</w:t>
      </w:r>
      <w:r w:rsidRPr="005B292C">
        <w:t xml:space="preserve">, Inpatient </w:t>
      </w:r>
      <w:r>
        <w:lastRenderedPageBreak/>
        <w:t>long</w:t>
      </w:r>
      <w:r w:rsidRPr="005B292C">
        <w:t xml:space="preserve"> form</w:t>
      </w:r>
      <w:r>
        <w:t xml:space="preserve"> that was previously mailed to 10% of the monthly sample.  VHA has identified alternative sources for the information collected from the additional questions on that survey and no longer needs to collect the information via the Inpatient satisfaction survey.  All patients selected for this survey project will now receive VA Form 10-1465-2, Inpatient short form.</w:t>
      </w:r>
      <w:r w:rsidR="00516F1B">
        <w:t xml:space="preserve">  The eliminatio</w:t>
      </w:r>
      <w:r w:rsidR="00032FD7">
        <w:t>n of this form will reduce the a</w:t>
      </w:r>
      <w:r w:rsidR="00516F1B">
        <w:t>nnual burden by approximately 625 hours.</w:t>
      </w:r>
    </w:p>
    <w:p w:rsidR="000248BD" w:rsidRDefault="000248BD" w:rsidP="00D17E21">
      <w:pPr>
        <w:autoSpaceDE w:val="0"/>
        <w:autoSpaceDN w:val="0"/>
        <w:adjustRightInd w:val="0"/>
        <w:rPr>
          <w:szCs w:val="24"/>
        </w:rPr>
      </w:pPr>
    </w:p>
    <w:p w:rsidR="00AB650C" w:rsidRPr="000248BD" w:rsidRDefault="00AB650C" w:rsidP="00D17E21">
      <w:pPr>
        <w:autoSpaceDE w:val="0"/>
        <w:autoSpaceDN w:val="0"/>
        <w:adjustRightInd w:val="0"/>
        <w:rPr>
          <w:b/>
          <w:color w:val="000000"/>
        </w:rPr>
      </w:pPr>
      <w:r w:rsidRPr="000248BD">
        <w:rPr>
          <w:b/>
          <w:color w:val="000000"/>
        </w:rPr>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Information Officer.</w:t>
      </w:r>
    </w:p>
    <w:p w:rsidR="00C07C19" w:rsidRDefault="00C07C19"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46F0" w:rsidRPr="00B246F0" w:rsidRDefault="00B246F0"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246F0">
        <w:rPr>
          <w:color w:val="000000"/>
        </w:rPr>
        <w:t>Beginning in 2011</w:t>
      </w:r>
      <w:r>
        <w:rPr>
          <w:color w:val="000000"/>
        </w:rPr>
        <w:t xml:space="preserve">, the results will be made available to the general public on a VHA hosted website, with the ultimate goal of being released on the CMS Hospital Compare website.  The purpose of this release is to help the general public make informed decisions about their healthcare. </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pStyle w:val="BodyText3"/>
        <w:tabs>
          <w:tab w:val="left" w:pos="9360"/>
        </w:tabs>
        <w:rPr>
          <w:color w:val="000000"/>
          <w:sz w:val="24"/>
        </w:rPr>
      </w:pPr>
      <w:r w:rsidRPr="00E414F7">
        <w:rPr>
          <w:sz w:val="24"/>
        </w:rPr>
        <w:t>17.</w:t>
      </w:r>
      <w:r w:rsidRPr="00E414F7">
        <w:rPr>
          <w:sz w:val="24"/>
        </w:rPr>
        <w:tab/>
      </w:r>
      <w:proofErr w:type="gramStart"/>
      <w:r w:rsidRPr="00E414F7">
        <w:rPr>
          <w:sz w:val="24"/>
        </w:rPr>
        <w:t>If</w:t>
      </w:r>
      <w:proofErr w:type="gramEnd"/>
      <w:r w:rsidRPr="00E414F7">
        <w:rPr>
          <w:sz w:val="24"/>
        </w:rPr>
        <w:t xml:space="preserve"> seeking approval to omit the expiration date for OMB approval of the information</w:t>
      </w:r>
      <w:r>
        <w:rPr>
          <w:color w:val="000000"/>
          <w:sz w:val="24"/>
        </w:rPr>
        <w:t xml:space="preserve"> collection, explain the reasons that display would be inappropriate. </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 and its associated expiration date.</w:t>
      </w: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RDefault="00AB650C" w:rsidP="009F24C6">
      <w:pPr>
        <w:pStyle w:val="BodyText3"/>
        <w:tabs>
          <w:tab w:val="left" w:pos="9360"/>
        </w:tabs>
        <w:rPr>
          <w:color w:val="000000"/>
          <w:sz w:val="24"/>
        </w:rPr>
      </w:pPr>
      <w:proofErr w:type="gramStart"/>
      <w:r>
        <w:rPr>
          <w:color w:val="000000"/>
          <w:sz w:val="24"/>
        </w:rPr>
        <w:t>18.</w:t>
      </w:r>
      <w:r>
        <w:rPr>
          <w:color w:val="000000"/>
          <w:sz w:val="24"/>
        </w:rPr>
        <w:tab/>
        <w:t>Explain each exception to the certification statement identified in Item 19, “Certification for Paperwork Reduction Act Submissions,” of OMB 83-I.</w:t>
      </w:r>
      <w:proofErr w:type="gramEnd"/>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00857966" w:rsidRPr="00857966" w:rsidRDefault="00857966" w:rsidP="00857966">
      <w:pPr>
        <w:tabs>
          <w:tab w:val="left" w:pos="5985"/>
        </w:tabs>
      </w:pPr>
      <w:r>
        <w:tab/>
      </w:r>
    </w:p>
    <w:p w:rsidR="00AB650C" w:rsidRPr="00857966" w:rsidRDefault="00AB650C" w:rsidP="00857966"/>
    <w:sectPr w:rsidR="00AB650C" w:rsidRPr="00857966" w:rsidSect="00A72F05">
      <w:headerReference w:type="default" r:id="rId7"/>
      <w:footerReference w:type="even" r:id="rId8"/>
      <w:footerReference w:type="default" r:id="rId9"/>
      <w:headerReference w:type="first" r:id="rId10"/>
      <w:footerReference w:type="first" r:id="rId11"/>
      <w:type w:val="oddPage"/>
      <w:pgSz w:w="12240" w:h="15840" w:code="1"/>
      <w:pgMar w:top="1008" w:right="1008" w:bottom="1008"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A3A" w:rsidRDefault="00B42A3A">
      <w:r>
        <w:separator/>
      </w:r>
    </w:p>
  </w:endnote>
  <w:endnote w:type="continuationSeparator" w:id="0">
    <w:p w:rsidR="00B42A3A" w:rsidRDefault="00B42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92" w:rsidRDefault="00C2791F">
    <w:pPr>
      <w:pStyle w:val="Footer"/>
      <w:framePr w:wrap="around" w:vAnchor="text" w:hAnchor="margin" w:xAlign="right" w:y="1"/>
      <w:rPr>
        <w:rStyle w:val="PageNumber"/>
      </w:rPr>
    </w:pPr>
    <w:r>
      <w:rPr>
        <w:rStyle w:val="PageNumber"/>
      </w:rPr>
      <w:fldChar w:fldCharType="begin"/>
    </w:r>
    <w:r w:rsidR="002C0892">
      <w:rPr>
        <w:rStyle w:val="PageNumber"/>
      </w:rPr>
      <w:instrText xml:space="preserve">PAGE  </w:instrText>
    </w:r>
    <w:r>
      <w:rPr>
        <w:rStyle w:val="PageNumber"/>
      </w:rPr>
      <w:fldChar w:fldCharType="separate"/>
    </w:r>
    <w:r w:rsidR="002C0892">
      <w:rPr>
        <w:rStyle w:val="PageNumber"/>
        <w:noProof/>
      </w:rPr>
      <w:t>1</w:t>
    </w:r>
    <w:r>
      <w:rPr>
        <w:rStyle w:val="PageNumber"/>
      </w:rPr>
      <w:fldChar w:fldCharType="end"/>
    </w:r>
  </w:p>
  <w:p w:rsidR="002C0892" w:rsidRDefault="002C08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92" w:rsidRDefault="002C0892">
    <w:pPr>
      <w:pStyle w:val="Footer"/>
      <w:tabs>
        <w:tab w:val="clear" w:pos="4320"/>
        <w:tab w:val="clear" w:pos="8640"/>
        <w:tab w:val="right" w:pos="10080"/>
      </w:tabs>
      <w:ind w:right="360"/>
    </w:pPr>
    <w:r>
      <w:rPr>
        <w:sz w:val="18"/>
      </w:rPr>
      <w:tab/>
    </w:r>
    <w:r>
      <w:t xml:space="preserve">Page </w:t>
    </w:r>
    <w:r w:rsidR="00C2791F">
      <w:rPr>
        <w:rStyle w:val="PageNumber"/>
      </w:rPr>
      <w:fldChar w:fldCharType="begin"/>
    </w:r>
    <w:r>
      <w:rPr>
        <w:rStyle w:val="PageNumber"/>
      </w:rPr>
      <w:instrText xml:space="preserve"> PAGE </w:instrText>
    </w:r>
    <w:r w:rsidR="00C2791F">
      <w:rPr>
        <w:rStyle w:val="PageNumber"/>
      </w:rPr>
      <w:fldChar w:fldCharType="separate"/>
    </w:r>
    <w:r w:rsidR="007A54E5">
      <w:rPr>
        <w:rStyle w:val="PageNumber"/>
        <w:noProof/>
      </w:rPr>
      <w:t>6</w:t>
    </w:r>
    <w:r w:rsidR="00C2791F">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92" w:rsidRDefault="002C0892">
    <w:pPr>
      <w:pStyle w:val="Footer"/>
      <w:tabs>
        <w:tab w:val="clear" w:pos="4320"/>
        <w:tab w:val="clear" w:pos="8640"/>
        <w:tab w:val="right" w:pos="10080"/>
      </w:tabs>
    </w:pPr>
    <w:r>
      <w:tab/>
      <w:t xml:space="preserve">Page </w:t>
    </w:r>
    <w:r w:rsidR="00C2791F">
      <w:rPr>
        <w:rStyle w:val="PageNumber"/>
      </w:rPr>
      <w:fldChar w:fldCharType="begin"/>
    </w:r>
    <w:r>
      <w:rPr>
        <w:rStyle w:val="PageNumber"/>
      </w:rPr>
      <w:instrText xml:space="preserve"> PAGE </w:instrText>
    </w:r>
    <w:r w:rsidR="00C2791F">
      <w:rPr>
        <w:rStyle w:val="PageNumber"/>
      </w:rPr>
      <w:fldChar w:fldCharType="separate"/>
    </w:r>
    <w:r w:rsidR="00C07C19">
      <w:rPr>
        <w:rStyle w:val="PageNumber"/>
        <w:noProof/>
      </w:rPr>
      <w:t>1</w:t>
    </w:r>
    <w:r w:rsidR="00C2791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A3A" w:rsidRDefault="00B42A3A">
      <w:r>
        <w:separator/>
      </w:r>
    </w:p>
  </w:footnote>
  <w:footnote w:type="continuationSeparator" w:id="0">
    <w:p w:rsidR="00B42A3A" w:rsidRDefault="00B42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92" w:rsidRDefault="002C0892" w:rsidP="00581565">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2C0892" w:rsidRDefault="002C0892" w:rsidP="00581565">
    <w:pPr>
      <w:pStyle w:val="Header"/>
      <w:jc w:val="center"/>
      <w:rPr>
        <w:rFonts w:ascii="Times New Roman" w:hAnsi="Times New Roman"/>
        <w:b/>
        <w:bCs/>
        <w:sz w:val="24"/>
      </w:rPr>
    </w:pPr>
    <w:r>
      <w:rPr>
        <w:rFonts w:ascii="Times New Roman" w:hAnsi="Times New Roman"/>
        <w:b/>
        <w:bCs/>
        <w:sz w:val="24"/>
      </w:rPr>
      <w:t>NATION-WIDE CUSTOMER SATISFACTION SURVEYS</w:t>
    </w:r>
  </w:p>
  <w:p w:rsidR="002C0892" w:rsidRDefault="002C0892" w:rsidP="005815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92" w:rsidRDefault="002C0892">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2C0892" w:rsidRDefault="002C0892">
    <w:pPr>
      <w:pStyle w:val="Header"/>
      <w:jc w:val="center"/>
      <w:rPr>
        <w:rFonts w:ascii="Times New Roman" w:hAnsi="Times New Roman"/>
        <w:b/>
        <w:bCs/>
        <w:sz w:val="24"/>
      </w:rPr>
    </w:pPr>
    <w:r>
      <w:rPr>
        <w:rFonts w:ascii="Times New Roman" w:hAnsi="Times New Roman"/>
        <w:b/>
        <w:bCs/>
        <w:sz w:val="24"/>
      </w:rPr>
      <w:t>NATION-WIDE CUSTOMER SATISFACTION SURVEYS</w:t>
    </w:r>
  </w:p>
  <w:p w:rsidR="002C0892" w:rsidRDefault="002C0892">
    <w:pPr>
      <w:pStyle w:val="Header"/>
      <w:jc w:val="center"/>
      <w:rPr>
        <w:rFonts w:ascii="Times New Roman" w:hAnsi="Times New Roman"/>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59F"/>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28934E23"/>
    <w:multiLevelType w:val="hybridMultilevel"/>
    <w:tmpl w:val="4FDAC37A"/>
    <w:lvl w:ilvl="0" w:tplc="63460836">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62C412D"/>
    <w:multiLevelType w:val="multilevel"/>
    <w:tmpl w:val="4FDAC37A"/>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07A64"/>
    <w:rsid w:val="00003E87"/>
    <w:rsid w:val="00006F44"/>
    <w:rsid w:val="000122B7"/>
    <w:rsid w:val="00013744"/>
    <w:rsid w:val="00015EF2"/>
    <w:rsid w:val="000248BD"/>
    <w:rsid w:val="00030096"/>
    <w:rsid w:val="00032FD7"/>
    <w:rsid w:val="00041D63"/>
    <w:rsid w:val="000544DF"/>
    <w:rsid w:val="00054C26"/>
    <w:rsid w:val="00061FA2"/>
    <w:rsid w:val="00065D81"/>
    <w:rsid w:val="00073F59"/>
    <w:rsid w:val="0008454F"/>
    <w:rsid w:val="00087678"/>
    <w:rsid w:val="000909EE"/>
    <w:rsid w:val="00090DB3"/>
    <w:rsid w:val="00092782"/>
    <w:rsid w:val="000A4B1D"/>
    <w:rsid w:val="000A517F"/>
    <w:rsid w:val="000A5BA0"/>
    <w:rsid w:val="000D7734"/>
    <w:rsid w:val="000F1B3A"/>
    <w:rsid w:val="001013D1"/>
    <w:rsid w:val="001024C7"/>
    <w:rsid w:val="001358B2"/>
    <w:rsid w:val="00135A32"/>
    <w:rsid w:val="001408FB"/>
    <w:rsid w:val="00142A2D"/>
    <w:rsid w:val="001560AF"/>
    <w:rsid w:val="001635AC"/>
    <w:rsid w:val="00180B08"/>
    <w:rsid w:val="0019493B"/>
    <w:rsid w:val="001970EF"/>
    <w:rsid w:val="001A183C"/>
    <w:rsid w:val="001A363B"/>
    <w:rsid w:val="001A5C54"/>
    <w:rsid w:val="001B6017"/>
    <w:rsid w:val="001C1195"/>
    <w:rsid w:val="001C692B"/>
    <w:rsid w:val="001D1491"/>
    <w:rsid w:val="001D3CC0"/>
    <w:rsid w:val="001E72C0"/>
    <w:rsid w:val="002055A0"/>
    <w:rsid w:val="00223841"/>
    <w:rsid w:val="00226B61"/>
    <w:rsid w:val="002330AF"/>
    <w:rsid w:val="002420ED"/>
    <w:rsid w:val="0025265A"/>
    <w:rsid w:val="00252DAC"/>
    <w:rsid w:val="002559A3"/>
    <w:rsid w:val="002674F0"/>
    <w:rsid w:val="00275BB7"/>
    <w:rsid w:val="00284A32"/>
    <w:rsid w:val="00286432"/>
    <w:rsid w:val="002A72C3"/>
    <w:rsid w:val="002B256B"/>
    <w:rsid w:val="002C0892"/>
    <w:rsid w:val="002D4067"/>
    <w:rsid w:val="002D5C07"/>
    <w:rsid w:val="002E0B19"/>
    <w:rsid w:val="002E54BA"/>
    <w:rsid w:val="002E6AEA"/>
    <w:rsid w:val="002F23B6"/>
    <w:rsid w:val="003070C6"/>
    <w:rsid w:val="00307D39"/>
    <w:rsid w:val="00311093"/>
    <w:rsid w:val="00312557"/>
    <w:rsid w:val="003155DE"/>
    <w:rsid w:val="00323638"/>
    <w:rsid w:val="0033304E"/>
    <w:rsid w:val="00336DDC"/>
    <w:rsid w:val="00370995"/>
    <w:rsid w:val="00371F33"/>
    <w:rsid w:val="00372165"/>
    <w:rsid w:val="00386D39"/>
    <w:rsid w:val="003A6858"/>
    <w:rsid w:val="003C0C86"/>
    <w:rsid w:val="003C1D03"/>
    <w:rsid w:val="003C6FA3"/>
    <w:rsid w:val="003D0041"/>
    <w:rsid w:val="003D29F1"/>
    <w:rsid w:val="003D2D28"/>
    <w:rsid w:val="003E0C31"/>
    <w:rsid w:val="003E395C"/>
    <w:rsid w:val="003F2EE9"/>
    <w:rsid w:val="00407A64"/>
    <w:rsid w:val="00417C4A"/>
    <w:rsid w:val="00425DD3"/>
    <w:rsid w:val="004272A9"/>
    <w:rsid w:val="00453917"/>
    <w:rsid w:val="00465DED"/>
    <w:rsid w:val="0047009C"/>
    <w:rsid w:val="004816B5"/>
    <w:rsid w:val="00490986"/>
    <w:rsid w:val="00496E40"/>
    <w:rsid w:val="004A2811"/>
    <w:rsid w:val="004B34FD"/>
    <w:rsid w:val="004B3D43"/>
    <w:rsid w:val="004C147E"/>
    <w:rsid w:val="004C6D27"/>
    <w:rsid w:val="004D1BE0"/>
    <w:rsid w:val="004D619F"/>
    <w:rsid w:val="004E6C43"/>
    <w:rsid w:val="005073E0"/>
    <w:rsid w:val="005121AD"/>
    <w:rsid w:val="0051425C"/>
    <w:rsid w:val="00516F1B"/>
    <w:rsid w:val="00531A39"/>
    <w:rsid w:val="0054089B"/>
    <w:rsid w:val="005425DA"/>
    <w:rsid w:val="00581565"/>
    <w:rsid w:val="00581719"/>
    <w:rsid w:val="00581DE6"/>
    <w:rsid w:val="005920F0"/>
    <w:rsid w:val="00594F84"/>
    <w:rsid w:val="00596F51"/>
    <w:rsid w:val="005B292C"/>
    <w:rsid w:val="005B4A33"/>
    <w:rsid w:val="005C3027"/>
    <w:rsid w:val="005C70F5"/>
    <w:rsid w:val="005F1C1D"/>
    <w:rsid w:val="005F328D"/>
    <w:rsid w:val="005F6A88"/>
    <w:rsid w:val="005F7A54"/>
    <w:rsid w:val="00606C76"/>
    <w:rsid w:val="006255AE"/>
    <w:rsid w:val="006264A7"/>
    <w:rsid w:val="00635293"/>
    <w:rsid w:val="006461B4"/>
    <w:rsid w:val="00650B01"/>
    <w:rsid w:val="00662A65"/>
    <w:rsid w:val="00682EF6"/>
    <w:rsid w:val="00684878"/>
    <w:rsid w:val="00690B40"/>
    <w:rsid w:val="00693FB7"/>
    <w:rsid w:val="00694742"/>
    <w:rsid w:val="006A7122"/>
    <w:rsid w:val="006C1AA1"/>
    <w:rsid w:val="006C3534"/>
    <w:rsid w:val="006C514A"/>
    <w:rsid w:val="006E245D"/>
    <w:rsid w:val="006F26B7"/>
    <w:rsid w:val="006F2F83"/>
    <w:rsid w:val="006F3828"/>
    <w:rsid w:val="00700989"/>
    <w:rsid w:val="00706310"/>
    <w:rsid w:val="007065EC"/>
    <w:rsid w:val="00714D6A"/>
    <w:rsid w:val="007232B7"/>
    <w:rsid w:val="00723823"/>
    <w:rsid w:val="00726D77"/>
    <w:rsid w:val="007346CD"/>
    <w:rsid w:val="007424BF"/>
    <w:rsid w:val="0074779C"/>
    <w:rsid w:val="00751988"/>
    <w:rsid w:val="00751D11"/>
    <w:rsid w:val="00762271"/>
    <w:rsid w:val="00770C6B"/>
    <w:rsid w:val="007764E3"/>
    <w:rsid w:val="0078466C"/>
    <w:rsid w:val="007865AA"/>
    <w:rsid w:val="007929A9"/>
    <w:rsid w:val="00795D0C"/>
    <w:rsid w:val="007A54E5"/>
    <w:rsid w:val="007B747F"/>
    <w:rsid w:val="007B79CC"/>
    <w:rsid w:val="007C5EA3"/>
    <w:rsid w:val="007E015C"/>
    <w:rsid w:val="007E58E1"/>
    <w:rsid w:val="007E7744"/>
    <w:rsid w:val="00800979"/>
    <w:rsid w:val="00814EB7"/>
    <w:rsid w:val="008164CD"/>
    <w:rsid w:val="008202C7"/>
    <w:rsid w:val="00824B97"/>
    <w:rsid w:val="0083118F"/>
    <w:rsid w:val="00840585"/>
    <w:rsid w:val="00845E4C"/>
    <w:rsid w:val="008465CB"/>
    <w:rsid w:val="00857966"/>
    <w:rsid w:val="00872EBB"/>
    <w:rsid w:val="0087789B"/>
    <w:rsid w:val="0089070B"/>
    <w:rsid w:val="00890DB3"/>
    <w:rsid w:val="0089233C"/>
    <w:rsid w:val="00894894"/>
    <w:rsid w:val="00897BAE"/>
    <w:rsid w:val="008C0745"/>
    <w:rsid w:val="008C5433"/>
    <w:rsid w:val="008D05CA"/>
    <w:rsid w:val="008E07E7"/>
    <w:rsid w:val="008E2343"/>
    <w:rsid w:val="008E2761"/>
    <w:rsid w:val="008F0AEB"/>
    <w:rsid w:val="008F7783"/>
    <w:rsid w:val="00902198"/>
    <w:rsid w:val="0091411C"/>
    <w:rsid w:val="009170E6"/>
    <w:rsid w:val="00920E9B"/>
    <w:rsid w:val="00922559"/>
    <w:rsid w:val="00941B63"/>
    <w:rsid w:val="009549FF"/>
    <w:rsid w:val="0096294C"/>
    <w:rsid w:val="00966523"/>
    <w:rsid w:val="00967C20"/>
    <w:rsid w:val="00990254"/>
    <w:rsid w:val="009A1F95"/>
    <w:rsid w:val="009A3447"/>
    <w:rsid w:val="009A6F96"/>
    <w:rsid w:val="009B07BD"/>
    <w:rsid w:val="009B1675"/>
    <w:rsid w:val="009B73CB"/>
    <w:rsid w:val="009C3737"/>
    <w:rsid w:val="009C6919"/>
    <w:rsid w:val="009E58F1"/>
    <w:rsid w:val="009F24C6"/>
    <w:rsid w:val="009F3E00"/>
    <w:rsid w:val="00A03516"/>
    <w:rsid w:val="00A205AC"/>
    <w:rsid w:val="00A379B1"/>
    <w:rsid w:val="00A72F05"/>
    <w:rsid w:val="00A8198B"/>
    <w:rsid w:val="00AA6181"/>
    <w:rsid w:val="00AA7624"/>
    <w:rsid w:val="00AB4E9A"/>
    <w:rsid w:val="00AB650C"/>
    <w:rsid w:val="00AC0D2D"/>
    <w:rsid w:val="00B01D36"/>
    <w:rsid w:val="00B0437C"/>
    <w:rsid w:val="00B14514"/>
    <w:rsid w:val="00B214BF"/>
    <w:rsid w:val="00B246F0"/>
    <w:rsid w:val="00B351CA"/>
    <w:rsid w:val="00B42A3A"/>
    <w:rsid w:val="00B45930"/>
    <w:rsid w:val="00B46244"/>
    <w:rsid w:val="00B52E7D"/>
    <w:rsid w:val="00B53FFA"/>
    <w:rsid w:val="00B614F5"/>
    <w:rsid w:val="00B6270F"/>
    <w:rsid w:val="00B75507"/>
    <w:rsid w:val="00B76389"/>
    <w:rsid w:val="00B84C85"/>
    <w:rsid w:val="00BA55C8"/>
    <w:rsid w:val="00BA7FB7"/>
    <w:rsid w:val="00BD4509"/>
    <w:rsid w:val="00BF74B0"/>
    <w:rsid w:val="00BF7B1F"/>
    <w:rsid w:val="00C0457F"/>
    <w:rsid w:val="00C07C19"/>
    <w:rsid w:val="00C1270F"/>
    <w:rsid w:val="00C15483"/>
    <w:rsid w:val="00C15BE3"/>
    <w:rsid w:val="00C2165C"/>
    <w:rsid w:val="00C2390F"/>
    <w:rsid w:val="00C2791F"/>
    <w:rsid w:val="00C3753F"/>
    <w:rsid w:val="00C51362"/>
    <w:rsid w:val="00C74A74"/>
    <w:rsid w:val="00C822A6"/>
    <w:rsid w:val="00C82F9C"/>
    <w:rsid w:val="00C92F17"/>
    <w:rsid w:val="00CC3AB9"/>
    <w:rsid w:val="00CC674C"/>
    <w:rsid w:val="00CD2B23"/>
    <w:rsid w:val="00CE79EB"/>
    <w:rsid w:val="00D02585"/>
    <w:rsid w:val="00D02BF8"/>
    <w:rsid w:val="00D117DC"/>
    <w:rsid w:val="00D13ED2"/>
    <w:rsid w:val="00D17E21"/>
    <w:rsid w:val="00D2302C"/>
    <w:rsid w:val="00D23ACC"/>
    <w:rsid w:val="00D46D43"/>
    <w:rsid w:val="00D50DE8"/>
    <w:rsid w:val="00D51794"/>
    <w:rsid w:val="00D6245D"/>
    <w:rsid w:val="00D64014"/>
    <w:rsid w:val="00D80DFB"/>
    <w:rsid w:val="00D81E0B"/>
    <w:rsid w:val="00D94FCF"/>
    <w:rsid w:val="00DB3627"/>
    <w:rsid w:val="00DB7B50"/>
    <w:rsid w:val="00DD590C"/>
    <w:rsid w:val="00DE6632"/>
    <w:rsid w:val="00DF1C8E"/>
    <w:rsid w:val="00DF2439"/>
    <w:rsid w:val="00E02C01"/>
    <w:rsid w:val="00E150D0"/>
    <w:rsid w:val="00E15661"/>
    <w:rsid w:val="00E24DEF"/>
    <w:rsid w:val="00E414F7"/>
    <w:rsid w:val="00E42612"/>
    <w:rsid w:val="00E46134"/>
    <w:rsid w:val="00E461CA"/>
    <w:rsid w:val="00E54EA0"/>
    <w:rsid w:val="00E9678C"/>
    <w:rsid w:val="00EB3CE4"/>
    <w:rsid w:val="00ED4488"/>
    <w:rsid w:val="00F11635"/>
    <w:rsid w:val="00F147A6"/>
    <w:rsid w:val="00F170A5"/>
    <w:rsid w:val="00F32FCB"/>
    <w:rsid w:val="00F34F6C"/>
    <w:rsid w:val="00F501DB"/>
    <w:rsid w:val="00F51FB8"/>
    <w:rsid w:val="00F52825"/>
    <w:rsid w:val="00F63BBE"/>
    <w:rsid w:val="00F711B5"/>
    <w:rsid w:val="00F8103D"/>
    <w:rsid w:val="00F810EF"/>
    <w:rsid w:val="00F846C0"/>
    <w:rsid w:val="00F91BB6"/>
    <w:rsid w:val="00F97BA6"/>
    <w:rsid w:val="00FB23B6"/>
    <w:rsid w:val="00FC024D"/>
    <w:rsid w:val="00FD0DAC"/>
    <w:rsid w:val="00FD56A1"/>
    <w:rsid w:val="00FE440E"/>
    <w:rsid w:val="00FE7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s>
</file>

<file path=word/webSettings.xml><?xml version="1.0" encoding="utf-8"?>
<w:webSettings xmlns:r="http://schemas.openxmlformats.org/officeDocument/2006/relationships" xmlns:w="http://schemas.openxmlformats.org/wordprocessingml/2006/main">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3361</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21813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subject/>
  <dc:creator>Jim Flaherty</dc:creator>
  <cp:keywords/>
  <dc:description/>
  <cp:lastModifiedBy>vhacoharvec</cp:lastModifiedBy>
  <cp:revision>4</cp:revision>
  <cp:lastPrinted>2010-02-22T14:15:00Z</cp:lastPrinted>
  <dcterms:created xsi:type="dcterms:W3CDTF">2011-02-09T14:51:00Z</dcterms:created>
  <dcterms:modified xsi:type="dcterms:W3CDTF">2011-02-09T14:53:00Z</dcterms:modified>
</cp:coreProperties>
</file>