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086D" w:rsidRPr="00EE7638" w:rsidRDefault="00E2086D" w:rsidP="00E2086D">
      <w:pPr>
        <w:pStyle w:val="CovMainHeading"/>
        <w:spacing w:after="0"/>
        <w:ind w:left="0"/>
        <w:rPr>
          <w:sz w:val="40"/>
          <w:szCs w:val="40"/>
        </w:rPr>
      </w:pPr>
      <w:bookmarkStart w:id="0" w:name="_Toc164484936"/>
    </w:p>
    <w:p w:rsidR="00E2086D" w:rsidRDefault="00115E9F" w:rsidP="00E2086D">
      <w:pPr>
        <w:pStyle w:val="CovMainHeading"/>
        <w:spacing w:after="360"/>
        <w:ind w:left="1195"/>
        <w:rPr>
          <w:b w:val="0"/>
          <w:caps w:val="0"/>
          <w:smallCaps/>
          <w:sz w:val="52"/>
          <w:szCs w:val="52"/>
        </w:rPr>
      </w:pPr>
      <w:r>
        <w:rPr>
          <w:b w:val="0"/>
          <w:caps w:val="0"/>
          <w:smallCaps/>
          <w:sz w:val="52"/>
          <w:szCs w:val="52"/>
        </w:rPr>
        <w:t>Assessment</w:t>
      </w:r>
      <w:r w:rsidR="00E2086D" w:rsidRPr="00E2086D">
        <w:rPr>
          <w:b w:val="0"/>
          <w:caps w:val="0"/>
          <w:smallCaps/>
          <w:sz w:val="52"/>
          <w:szCs w:val="52"/>
        </w:rPr>
        <w:t xml:space="preserve"> of the Language Resource Centers Program - </w:t>
      </w:r>
      <w:r w:rsidR="00E2086D">
        <w:rPr>
          <w:b w:val="0"/>
          <w:caps w:val="0"/>
          <w:smallCaps/>
          <w:sz w:val="52"/>
          <w:szCs w:val="52"/>
        </w:rPr>
        <w:br/>
      </w:r>
      <w:r w:rsidR="00E2086D" w:rsidRPr="00E2086D">
        <w:rPr>
          <w:b w:val="0"/>
          <w:caps w:val="0"/>
          <w:smallCaps/>
          <w:sz w:val="52"/>
          <w:szCs w:val="52"/>
        </w:rPr>
        <w:t>OMB Clearance Request</w:t>
      </w:r>
    </w:p>
    <w:p w:rsidR="00891284" w:rsidRPr="00EE7638" w:rsidRDefault="00891284" w:rsidP="00E2086D">
      <w:pPr>
        <w:pStyle w:val="CovMainHeading"/>
        <w:spacing w:after="360"/>
        <w:ind w:left="1195"/>
        <w:rPr>
          <w:b w:val="0"/>
          <w:caps w:val="0"/>
          <w:smallCaps/>
          <w:sz w:val="52"/>
          <w:szCs w:val="52"/>
        </w:rPr>
      </w:pPr>
    </w:p>
    <w:p w:rsidR="00E2086D" w:rsidRPr="00EE7638" w:rsidRDefault="00E2086D" w:rsidP="00E2086D">
      <w:pPr>
        <w:jc w:val="right"/>
      </w:pPr>
    </w:p>
    <w:p w:rsidR="00E2086D" w:rsidRPr="008B392C" w:rsidRDefault="00E2086D" w:rsidP="00E2086D">
      <w:pPr>
        <w:jc w:val="right"/>
        <w:rPr>
          <w:rFonts w:ascii="Times New Roman Bold" w:hAnsi="Times New Roman Bold" w:hint="eastAsia"/>
          <w:b/>
          <w:smallCaps/>
          <w:color w:val="386190"/>
          <w:sz w:val="34"/>
          <w:szCs w:val="34"/>
        </w:rPr>
      </w:pPr>
    </w:p>
    <w:p w:rsidR="00E2086D" w:rsidRDefault="00E2086D" w:rsidP="00E2086D">
      <w:pPr>
        <w:jc w:val="right"/>
      </w:pPr>
    </w:p>
    <w:p w:rsidR="00E2086D" w:rsidRDefault="00E2086D" w:rsidP="00E2086D">
      <w:pPr>
        <w:jc w:val="right"/>
      </w:pPr>
    </w:p>
    <w:p w:rsidR="00E2086D" w:rsidRPr="00EE7638" w:rsidRDefault="00115E9F" w:rsidP="00E2086D">
      <w:pPr>
        <w:pStyle w:val="CovDate"/>
        <w:spacing w:after="0"/>
        <w:rPr>
          <w:sz w:val="32"/>
          <w:szCs w:val="32"/>
        </w:rPr>
      </w:pPr>
      <w:r>
        <w:rPr>
          <w:sz w:val="32"/>
          <w:szCs w:val="32"/>
        </w:rPr>
        <w:t>October</w:t>
      </w:r>
      <w:r w:rsidR="00F246FE">
        <w:rPr>
          <w:sz w:val="32"/>
          <w:szCs w:val="32"/>
        </w:rPr>
        <w:t xml:space="preserve"> </w:t>
      </w:r>
      <w:r w:rsidR="00D41122">
        <w:rPr>
          <w:sz w:val="32"/>
          <w:szCs w:val="32"/>
        </w:rPr>
        <w:t>3</w:t>
      </w:r>
      <w:r w:rsidR="006633AE">
        <w:rPr>
          <w:sz w:val="32"/>
          <w:szCs w:val="32"/>
        </w:rPr>
        <w:t>0</w:t>
      </w:r>
      <w:r w:rsidR="00E2086D" w:rsidRPr="00EE7638">
        <w:rPr>
          <w:sz w:val="32"/>
          <w:szCs w:val="32"/>
        </w:rPr>
        <w:t>, 200</w:t>
      </w:r>
      <w:r w:rsidR="000B59BB">
        <w:rPr>
          <w:sz w:val="32"/>
          <w:szCs w:val="32"/>
        </w:rPr>
        <w:t>9</w:t>
      </w:r>
    </w:p>
    <w:p w:rsidR="00E2086D" w:rsidRDefault="00E2086D" w:rsidP="00E2086D">
      <w:pPr>
        <w:jc w:val="right"/>
      </w:pPr>
    </w:p>
    <w:p w:rsidR="00E2086D" w:rsidRDefault="00E2086D" w:rsidP="00E2086D">
      <w:pPr>
        <w:jc w:val="right"/>
      </w:pPr>
    </w:p>
    <w:p w:rsidR="00E2086D" w:rsidRPr="00E2086D" w:rsidRDefault="00E2086D" w:rsidP="00E2086D">
      <w:pPr>
        <w:pStyle w:val="CovAddresses"/>
        <w:spacing w:after="0"/>
      </w:pPr>
    </w:p>
    <w:p w:rsidR="00E2086D" w:rsidRPr="00E2086D" w:rsidRDefault="00E2086D" w:rsidP="00E2086D">
      <w:pPr>
        <w:pStyle w:val="CovAddresses"/>
        <w:spacing w:after="0"/>
      </w:pPr>
    </w:p>
    <w:p w:rsidR="00E2086D" w:rsidRPr="00E2086D" w:rsidRDefault="00E2086D" w:rsidP="00E2086D">
      <w:pPr>
        <w:pStyle w:val="CovAddresses"/>
        <w:spacing w:after="0"/>
      </w:pPr>
    </w:p>
    <w:p w:rsidR="00E2086D" w:rsidRDefault="00E2086D" w:rsidP="00E2086D">
      <w:pPr>
        <w:pStyle w:val="CovAddresses"/>
        <w:spacing w:after="0"/>
      </w:pPr>
    </w:p>
    <w:p w:rsidR="009E08BF" w:rsidRDefault="009E08BF" w:rsidP="00E2086D">
      <w:pPr>
        <w:pStyle w:val="CovAddresses"/>
        <w:spacing w:after="0"/>
      </w:pPr>
    </w:p>
    <w:p w:rsidR="009E08BF" w:rsidRDefault="009E08BF" w:rsidP="00E2086D">
      <w:pPr>
        <w:pStyle w:val="CovAddresses"/>
        <w:spacing w:after="0"/>
      </w:pPr>
    </w:p>
    <w:p w:rsidR="009E08BF" w:rsidRDefault="009E08BF" w:rsidP="00E2086D">
      <w:pPr>
        <w:pStyle w:val="CovAddresses"/>
        <w:spacing w:after="0"/>
      </w:pPr>
    </w:p>
    <w:p w:rsidR="003F3FEA" w:rsidRDefault="003F3FEA" w:rsidP="00E2086D">
      <w:pPr>
        <w:pStyle w:val="CovAddresses"/>
        <w:spacing w:after="0"/>
      </w:pPr>
    </w:p>
    <w:p w:rsidR="003F3FEA" w:rsidRPr="003F3FEA" w:rsidRDefault="003F3FEA" w:rsidP="00E2086D">
      <w:pPr>
        <w:pStyle w:val="CovAddresses"/>
        <w:spacing w:after="0"/>
      </w:pPr>
    </w:p>
    <w:p w:rsidR="00E2086D" w:rsidRPr="008B392C" w:rsidRDefault="00E2086D" w:rsidP="00E2086D">
      <w:pPr>
        <w:jc w:val="right"/>
        <w:rPr>
          <w:lang w:val="de-DE"/>
        </w:rPr>
      </w:pPr>
    </w:p>
    <w:p w:rsidR="00E2086D" w:rsidRDefault="00E2086D" w:rsidP="00E2086D">
      <w:pPr>
        <w:pStyle w:val="CovAddressesLast"/>
        <w:spacing w:after="0"/>
      </w:pPr>
      <w:r>
        <w:t>U.S. Department of Education</w:t>
      </w:r>
    </w:p>
    <w:p w:rsidR="00C33470" w:rsidRDefault="00E2086D" w:rsidP="00E2086D">
      <w:pPr>
        <w:pStyle w:val="CovAddressesLast"/>
        <w:spacing w:after="0"/>
      </w:pPr>
      <w:r w:rsidRPr="00E2086D">
        <w:t>International Education Programs Service</w:t>
      </w:r>
    </w:p>
    <w:p w:rsidR="003F3FEA" w:rsidRDefault="00E2086D" w:rsidP="00E2086D">
      <w:pPr>
        <w:pStyle w:val="CovAddressesLast"/>
        <w:spacing w:after="0"/>
      </w:pPr>
      <w:r w:rsidRPr="00E2086D">
        <w:t>1990 K St</w:t>
      </w:r>
      <w:r w:rsidR="003F3FEA">
        <w:t>reet</w:t>
      </w:r>
      <w:r w:rsidRPr="00E2086D">
        <w:t>, NW</w:t>
      </w:r>
    </w:p>
    <w:p w:rsidR="00E2086D" w:rsidRDefault="00E2086D" w:rsidP="00E2086D">
      <w:pPr>
        <w:pStyle w:val="CovAddressesLast"/>
        <w:spacing w:after="0"/>
      </w:pPr>
      <w:r w:rsidRPr="00E2086D">
        <w:t xml:space="preserve">Washington, DC </w:t>
      </w:r>
      <w:r w:rsidR="003F3FEA">
        <w:t xml:space="preserve"> </w:t>
      </w:r>
      <w:r w:rsidRPr="00E2086D">
        <w:t>20006</w:t>
      </w:r>
      <w:r w:rsidR="009E08BF">
        <w:t>-8521</w:t>
      </w:r>
    </w:p>
    <w:p w:rsidR="00E2086D" w:rsidRDefault="00E2086D" w:rsidP="00E2086D">
      <w:pPr>
        <w:pStyle w:val="CovAddressesLast"/>
        <w:spacing w:after="0"/>
      </w:pPr>
    </w:p>
    <w:p w:rsidR="00E2086D" w:rsidRDefault="00E2086D" w:rsidP="00E2086D">
      <w:pPr>
        <w:jc w:val="right"/>
      </w:pPr>
    </w:p>
    <w:p w:rsidR="00E2086D" w:rsidRPr="00EE7638" w:rsidRDefault="00E2086D" w:rsidP="00E2086D">
      <w:pPr>
        <w:jc w:val="right"/>
      </w:pPr>
    </w:p>
    <w:p w:rsidR="00E2086D" w:rsidRPr="004E2F52" w:rsidRDefault="00E2086D" w:rsidP="00E2086D">
      <w:pPr>
        <w:jc w:val="right"/>
        <w:rPr>
          <w:rFonts w:ascii="Times New Roman Bold" w:hAnsi="Times New Roman Bold" w:hint="eastAsia"/>
          <w:b/>
        </w:rPr>
      </w:pPr>
    </w:p>
    <w:p w:rsidR="00DE3698" w:rsidRPr="00DE3698" w:rsidRDefault="00DE3698" w:rsidP="00DE3698"/>
    <w:p w:rsidR="00DE3698" w:rsidRDefault="00DE3698" w:rsidP="00746922">
      <w:pPr>
        <w:pStyle w:val="HEAD1"/>
        <w:rPr>
          <w:rFonts w:eastAsia="Times New Roman"/>
        </w:rPr>
        <w:sectPr w:rsidR="00DE3698" w:rsidSect="002114DA">
          <w:headerReference w:type="default" r:id="rId8"/>
          <w:footerReference w:type="default" r:id="rId9"/>
          <w:headerReference w:type="first" r:id="rId10"/>
          <w:pgSz w:w="12240" w:h="15840" w:code="1"/>
          <w:pgMar w:top="432" w:right="864" w:bottom="360" w:left="720" w:header="720" w:footer="720" w:gutter="0"/>
          <w:pgNumType w:start="1"/>
          <w:cols w:space="720"/>
          <w:titlePg/>
        </w:sectPr>
      </w:pPr>
    </w:p>
    <w:p w:rsidR="00286A93" w:rsidRPr="00540DC8" w:rsidRDefault="00286A93" w:rsidP="00286A93">
      <w:pPr>
        <w:spacing w:before="120" w:after="120"/>
        <w:jc w:val="center"/>
        <w:rPr>
          <w:rFonts w:ascii="Times New Roman Bold" w:hAnsi="Times New Roman Bold" w:hint="eastAsia"/>
          <w:b/>
          <w:caps/>
          <w:sz w:val="32"/>
          <w:szCs w:val="32"/>
        </w:rPr>
      </w:pPr>
      <w:r w:rsidRPr="00540DC8">
        <w:rPr>
          <w:rFonts w:ascii="Times New Roman Bold" w:hAnsi="Times New Roman Bold"/>
          <w:b/>
          <w:caps/>
          <w:sz w:val="32"/>
          <w:szCs w:val="32"/>
        </w:rPr>
        <w:lastRenderedPageBreak/>
        <w:t>Table of Contents</w:t>
      </w:r>
    </w:p>
    <w:p w:rsidR="00286A93" w:rsidRPr="00921314" w:rsidRDefault="00286A93" w:rsidP="00286A93">
      <w:pPr>
        <w:rPr>
          <w:sz w:val="12"/>
          <w:szCs w:val="12"/>
        </w:rPr>
      </w:pPr>
    </w:p>
    <w:p w:rsidR="002B1716" w:rsidRDefault="00452519">
      <w:pPr>
        <w:pStyle w:val="TOC1"/>
        <w:rPr>
          <w:rFonts w:asciiTheme="minorHAnsi" w:eastAsiaTheme="minorEastAsia" w:hAnsiTheme="minorHAnsi" w:cstheme="minorBidi"/>
          <w:b w:val="0"/>
          <w:bCs w:val="0"/>
          <w:caps w:val="0"/>
          <w:sz w:val="22"/>
          <w:szCs w:val="22"/>
        </w:rPr>
      </w:pPr>
      <w:r w:rsidRPr="00452519">
        <w:fldChar w:fldCharType="begin"/>
      </w:r>
      <w:r w:rsidR="006E07FF" w:rsidRPr="00DA5F65">
        <w:instrText xml:space="preserve"> TOC \h \z \t "HEAD1,1,HEAD3,3,HEAD-2,2,Head4,4" </w:instrText>
      </w:r>
      <w:r w:rsidRPr="00452519">
        <w:fldChar w:fldCharType="separate"/>
      </w:r>
      <w:hyperlink w:anchor="_Toc242167235" w:history="1">
        <w:r w:rsidR="002B1716" w:rsidRPr="00307339">
          <w:rPr>
            <w:rStyle w:val="Hyperlink"/>
          </w:rPr>
          <w:t>Introduction and overview</w:t>
        </w:r>
        <w:r w:rsidR="002B1716">
          <w:rPr>
            <w:webHidden/>
          </w:rPr>
          <w:tab/>
        </w:r>
        <w:r>
          <w:rPr>
            <w:webHidden/>
          </w:rPr>
          <w:fldChar w:fldCharType="begin"/>
        </w:r>
        <w:r w:rsidR="002B1716">
          <w:rPr>
            <w:webHidden/>
          </w:rPr>
          <w:instrText xml:space="preserve"> PAGEREF _Toc242167235 \h </w:instrText>
        </w:r>
        <w:r>
          <w:rPr>
            <w:webHidden/>
          </w:rPr>
        </w:r>
        <w:r>
          <w:rPr>
            <w:webHidden/>
          </w:rPr>
          <w:fldChar w:fldCharType="separate"/>
        </w:r>
        <w:r w:rsidR="002B1716">
          <w:rPr>
            <w:webHidden/>
          </w:rPr>
          <w:t>1</w:t>
        </w:r>
        <w:r>
          <w:rPr>
            <w:webHidden/>
          </w:rPr>
          <w:fldChar w:fldCharType="end"/>
        </w:r>
      </w:hyperlink>
    </w:p>
    <w:p w:rsidR="002B1716" w:rsidRDefault="00452519">
      <w:pPr>
        <w:pStyle w:val="TOC2"/>
        <w:rPr>
          <w:rFonts w:asciiTheme="minorHAnsi" w:eastAsiaTheme="minorEastAsia" w:hAnsiTheme="minorHAnsi" w:cstheme="minorBidi"/>
          <w:smallCaps w:val="0"/>
        </w:rPr>
      </w:pPr>
      <w:hyperlink w:anchor="_Toc242167236" w:history="1">
        <w:r w:rsidR="002B1716" w:rsidRPr="00307339">
          <w:rPr>
            <w:rStyle w:val="Hyperlink"/>
          </w:rPr>
          <w:t>Introduction</w:t>
        </w:r>
        <w:r w:rsidR="002B1716">
          <w:rPr>
            <w:webHidden/>
          </w:rPr>
          <w:tab/>
        </w:r>
        <w:r>
          <w:rPr>
            <w:webHidden/>
          </w:rPr>
          <w:fldChar w:fldCharType="begin"/>
        </w:r>
        <w:r w:rsidR="002B1716">
          <w:rPr>
            <w:webHidden/>
          </w:rPr>
          <w:instrText xml:space="preserve"> PAGEREF _Toc242167236 \h </w:instrText>
        </w:r>
        <w:r>
          <w:rPr>
            <w:webHidden/>
          </w:rPr>
        </w:r>
        <w:r>
          <w:rPr>
            <w:webHidden/>
          </w:rPr>
          <w:fldChar w:fldCharType="separate"/>
        </w:r>
        <w:r w:rsidR="002B1716">
          <w:rPr>
            <w:webHidden/>
          </w:rPr>
          <w:t>1</w:t>
        </w:r>
        <w:r>
          <w:rPr>
            <w:webHidden/>
          </w:rPr>
          <w:fldChar w:fldCharType="end"/>
        </w:r>
      </w:hyperlink>
    </w:p>
    <w:p w:rsidR="002B1716" w:rsidRDefault="00452519">
      <w:pPr>
        <w:pStyle w:val="TOC2"/>
        <w:rPr>
          <w:rFonts w:asciiTheme="minorHAnsi" w:eastAsiaTheme="minorEastAsia" w:hAnsiTheme="minorHAnsi" w:cstheme="minorBidi"/>
          <w:smallCaps w:val="0"/>
        </w:rPr>
      </w:pPr>
      <w:hyperlink w:anchor="_Toc242167237" w:history="1">
        <w:r w:rsidR="002B1716" w:rsidRPr="00307339">
          <w:rPr>
            <w:rStyle w:val="Hyperlink"/>
          </w:rPr>
          <w:t>Background</w:t>
        </w:r>
        <w:r w:rsidR="002B1716">
          <w:rPr>
            <w:webHidden/>
          </w:rPr>
          <w:tab/>
        </w:r>
        <w:r>
          <w:rPr>
            <w:webHidden/>
          </w:rPr>
          <w:fldChar w:fldCharType="begin"/>
        </w:r>
        <w:r w:rsidR="002B1716">
          <w:rPr>
            <w:webHidden/>
          </w:rPr>
          <w:instrText xml:space="preserve"> PAGEREF _Toc242167237 \h </w:instrText>
        </w:r>
        <w:r>
          <w:rPr>
            <w:webHidden/>
          </w:rPr>
        </w:r>
        <w:r>
          <w:rPr>
            <w:webHidden/>
          </w:rPr>
          <w:fldChar w:fldCharType="separate"/>
        </w:r>
        <w:r w:rsidR="002B1716">
          <w:rPr>
            <w:webHidden/>
          </w:rPr>
          <w:t>1</w:t>
        </w:r>
        <w:r>
          <w:rPr>
            <w:webHidden/>
          </w:rPr>
          <w:fldChar w:fldCharType="end"/>
        </w:r>
      </w:hyperlink>
    </w:p>
    <w:p w:rsidR="002B1716" w:rsidRDefault="00452519">
      <w:pPr>
        <w:pStyle w:val="TOC2"/>
        <w:rPr>
          <w:rFonts w:asciiTheme="minorHAnsi" w:eastAsiaTheme="minorEastAsia" w:hAnsiTheme="minorHAnsi" w:cstheme="minorBidi"/>
          <w:smallCaps w:val="0"/>
        </w:rPr>
      </w:pPr>
      <w:hyperlink w:anchor="_Toc242167238" w:history="1">
        <w:r w:rsidR="002B1716" w:rsidRPr="00307339">
          <w:rPr>
            <w:rStyle w:val="Hyperlink"/>
          </w:rPr>
          <w:t>Study Objectives</w:t>
        </w:r>
        <w:r w:rsidR="002B1716">
          <w:rPr>
            <w:webHidden/>
          </w:rPr>
          <w:tab/>
        </w:r>
        <w:r>
          <w:rPr>
            <w:webHidden/>
          </w:rPr>
          <w:fldChar w:fldCharType="begin"/>
        </w:r>
        <w:r w:rsidR="002B1716">
          <w:rPr>
            <w:webHidden/>
          </w:rPr>
          <w:instrText xml:space="preserve"> PAGEREF _Toc242167238 \h </w:instrText>
        </w:r>
        <w:r>
          <w:rPr>
            <w:webHidden/>
          </w:rPr>
        </w:r>
        <w:r>
          <w:rPr>
            <w:webHidden/>
          </w:rPr>
          <w:fldChar w:fldCharType="separate"/>
        </w:r>
        <w:r w:rsidR="002B1716">
          <w:rPr>
            <w:webHidden/>
          </w:rPr>
          <w:t>2</w:t>
        </w:r>
        <w:r>
          <w:rPr>
            <w:webHidden/>
          </w:rPr>
          <w:fldChar w:fldCharType="end"/>
        </w:r>
      </w:hyperlink>
    </w:p>
    <w:p w:rsidR="002B1716" w:rsidRDefault="00452519">
      <w:pPr>
        <w:pStyle w:val="TOC2"/>
        <w:rPr>
          <w:rFonts w:asciiTheme="minorHAnsi" w:eastAsiaTheme="minorEastAsia" w:hAnsiTheme="minorHAnsi" w:cstheme="minorBidi"/>
          <w:smallCaps w:val="0"/>
        </w:rPr>
      </w:pPr>
      <w:hyperlink w:anchor="_Toc242167239" w:history="1">
        <w:r w:rsidR="002B1716" w:rsidRPr="00307339">
          <w:rPr>
            <w:rStyle w:val="Hyperlink"/>
          </w:rPr>
          <w:t>Data Collection and Instrumentation</w:t>
        </w:r>
        <w:r w:rsidR="002B1716">
          <w:rPr>
            <w:webHidden/>
          </w:rPr>
          <w:tab/>
        </w:r>
        <w:r>
          <w:rPr>
            <w:webHidden/>
          </w:rPr>
          <w:fldChar w:fldCharType="begin"/>
        </w:r>
        <w:r w:rsidR="002B1716">
          <w:rPr>
            <w:webHidden/>
          </w:rPr>
          <w:instrText xml:space="preserve"> PAGEREF _Toc242167239 \h </w:instrText>
        </w:r>
        <w:r>
          <w:rPr>
            <w:webHidden/>
          </w:rPr>
        </w:r>
        <w:r>
          <w:rPr>
            <w:webHidden/>
          </w:rPr>
          <w:fldChar w:fldCharType="separate"/>
        </w:r>
        <w:r w:rsidR="002B1716">
          <w:rPr>
            <w:webHidden/>
          </w:rPr>
          <w:t>2</w:t>
        </w:r>
        <w:r>
          <w:rPr>
            <w:webHidden/>
          </w:rPr>
          <w:fldChar w:fldCharType="end"/>
        </w:r>
      </w:hyperlink>
    </w:p>
    <w:p w:rsidR="002B1716" w:rsidRDefault="00452519">
      <w:pPr>
        <w:pStyle w:val="TOC3"/>
        <w:rPr>
          <w:rFonts w:asciiTheme="minorHAnsi" w:eastAsiaTheme="minorEastAsia" w:hAnsiTheme="minorHAnsi" w:cstheme="minorBidi"/>
          <w:i w:val="0"/>
          <w:iCs w:val="0"/>
        </w:rPr>
      </w:pPr>
      <w:hyperlink w:anchor="_Toc242167240" w:history="1">
        <w:r w:rsidR="002B1716" w:rsidRPr="00307339">
          <w:rPr>
            <w:rStyle w:val="Hyperlink"/>
          </w:rPr>
          <w:t>Survey of LRC Project Directors</w:t>
        </w:r>
        <w:r w:rsidR="002B1716">
          <w:rPr>
            <w:webHidden/>
          </w:rPr>
          <w:tab/>
        </w:r>
        <w:r>
          <w:rPr>
            <w:webHidden/>
          </w:rPr>
          <w:fldChar w:fldCharType="begin"/>
        </w:r>
        <w:r w:rsidR="002B1716">
          <w:rPr>
            <w:webHidden/>
          </w:rPr>
          <w:instrText xml:space="preserve"> PAGEREF _Toc242167240 \h </w:instrText>
        </w:r>
        <w:r>
          <w:rPr>
            <w:webHidden/>
          </w:rPr>
        </w:r>
        <w:r>
          <w:rPr>
            <w:webHidden/>
          </w:rPr>
          <w:fldChar w:fldCharType="separate"/>
        </w:r>
        <w:r w:rsidR="002B1716">
          <w:rPr>
            <w:webHidden/>
          </w:rPr>
          <w:t>4</w:t>
        </w:r>
        <w:r>
          <w:rPr>
            <w:webHidden/>
          </w:rPr>
          <w:fldChar w:fldCharType="end"/>
        </w:r>
      </w:hyperlink>
    </w:p>
    <w:p w:rsidR="002B1716" w:rsidRDefault="00452519">
      <w:pPr>
        <w:pStyle w:val="TOC3"/>
        <w:rPr>
          <w:rFonts w:asciiTheme="minorHAnsi" w:eastAsiaTheme="minorEastAsia" w:hAnsiTheme="minorHAnsi" w:cstheme="minorBidi"/>
          <w:i w:val="0"/>
          <w:iCs w:val="0"/>
        </w:rPr>
      </w:pPr>
      <w:hyperlink w:anchor="_Toc242167241" w:history="1">
        <w:r w:rsidR="002B1716" w:rsidRPr="00307339">
          <w:rPr>
            <w:rStyle w:val="Hyperlink"/>
          </w:rPr>
          <w:t>Survey of Constituents</w:t>
        </w:r>
        <w:r w:rsidR="002B1716">
          <w:rPr>
            <w:webHidden/>
          </w:rPr>
          <w:tab/>
        </w:r>
        <w:r>
          <w:rPr>
            <w:webHidden/>
          </w:rPr>
          <w:fldChar w:fldCharType="begin"/>
        </w:r>
        <w:r w:rsidR="002B1716">
          <w:rPr>
            <w:webHidden/>
          </w:rPr>
          <w:instrText xml:space="preserve"> PAGEREF _Toc242167241 \h </w:instrText>
        </w:r>
        <w:r>
          <w:rPr>
            <w:webHidden/>
          </w:rPr>
        </w:r>
        <w:r>
          <w:rPr>
            <w:webHidden/>
          </w:rPr>
          <w:fldChar w:fldCharType="separate"/>
        </w:r>
        <w:r w:rsidR="002B1716">
          <w:rPr>
            <w:webHidden/>
          </w:rPr>
          <w:t>4</w:t>
        </w:r>
        <w:r>
          <w:rPr>
            <w:webHidden/>
          </w:rPr>
          <w:fldChar w:fldCharType="end"/>
        </w:r>
      </w:hyperlink>
    </w:p>
    <w:p w:rsidR="002B1716" w:rsidRDefault="00452519">
      <w:pPr>
        <w:pStyle w:val="TOC4"/>
        <w:rPr>
          <w:rFonts w:asciiTheme="minorHAnsi" w:eastAsiaTheme="minorEastAsia" w:hAnsiTheme="minorHAnsi" w:cstheme="minorBidi"/>
        </w:rPr>
      </w:pPr>
      <w:hyperlink w:anchor="_Toc242167242" w:history="1">
        <w:r w:rsidR="002B1716" w:rsidRPr="00307339">
          <w:rPr>
            <w:rStyle w:val="Hyperlink"/>
          </w:rPr>
          <w:t>Constituent Survey for NADSFL Members</w:t>
        </w:r>
        <w:r w:rsidR="002B1716">
          <w:rPr>
            <w:webHidden/>
          </w:rPr>
          <w:tab/>
        </w:r>
        <w:r>
          <w:rPr>
            <w:webHidden/>
          </w:rPr>
          <w:fldChar w:fldCharType="begin"/>
        </w:r>
        <w:r w:rsidR="002B1716">
          <w:rPr>
            <w:webHidden/>
          </w:rPr>
          <w:instrText xml:space="preserve"> PAGEREF _Toc242167242 \h </w:instrText>
        </w:r>
        <w:r>
          <w:rPr>
            <w:webHidden/>
          </w:rPr>
        </w:r>
        <w:r>
          <w:rPr>
            <w:webHidden/>
          </w:rPr>
          <w:fldChar w:fldCharType="separate"/>
        </w:r>
        <w:r w:rsidR="002B1716">
          <w:rPr>
            <w:webHidden/>
          </w:rPr>
          <w:t>5</w:t>
        </w:r>
        <w:r>
          <w:rPr>
            <w:webHidden/>
          </w:rPr>
          <w:fldChar w:fldCharType="end"/>
        </w:r>
      </w:hyperlink>
    </w:p>
    <w:p w:rsidR="002B1716" w:rsidRDefault="00452519">
      <w:pPr>
        <w:pStyle w:val="TOC4"/>
        <w:rPr>
          <w:rFonts w:asciiTheme="minorHAnsi" w:eastAsiaTheme="minorEastAsia" w:hAnsiTheme="minorHAnsi" w:cstheme="minorBidi"/>
        </w:rPr>
      </w:pPr>
      <w:hyperlink w:anchor="_Toc242167243" w:history="1">
        <w:r w:rsidR="002B1716" w:rsidRPr="00307339">
          <w:rPr>
            <w:rStyle w:val="Hyperlink"/>
          </w:rPr>
          <w:t>Constituent Survey for Postsecondary Summer Workshop Participants</w:t>
        </w:r>
        <w:r w:rsidR="002B1716">
          <w:rPr>
            <w:webHidden/>
          </w:rPr>
          <w:tab/>
        </w:r>
        <w:r>
          <w:rPr>
            <w:webHidden/>
          </w:rPr>
          <w:fldChar w:fldCharType="begin"/>
        </w:r>
        <w:r w:rsidR="002B1716">
          <w:rPr>
            <w:webHidden/>
          </w:rPr>
          <w:instrText xml:space="preserve"> PAGEREF _Toc242167243 \h </w:instrText>
        </w:r>
        <w:r>
          <w:rPr>
            <w:webHidden/>
          </w:rPr>
        </w:r>
        <w:r>
          <w:rPr>
            <w:webHidden/>
          </w:rPr>
          <w:fldChar w:fldCharType="separate"/>
        </w:r>
        <w:r w:rsidR="002B1716">
          <w:rPr>
            <w:webHidden/>
          </w:rPr>
          <w:t>5</w:t>
        </w:r>
        <w:r>
          <w:rPr>
            <w:webHidden/>
          </w:rPr>
          <w:fldChar w:fldCharType="end"/>
        </w:r>
      </w:hyperlink>
    </w:p>
    <w:p w:rsidR="002B1716" w:rsidRDefault="00452519">
      <w:pPr>
        <w:pStyle w:val="TOC1"/>
        <w:rPr>
          <w:rFonts w:asciiTheme="minorHAnsi" w:eastAsiaTheme="minorEastAsia" w:hAnsiTheme="minorHAnsi" w:cstheme="minorBidi"/>
          <w:b w:val="0"/>
          <w:bCs w:val="0"/>
          <w:caps w:val="0"/>
          <w:sz w:val="22"/>
          <w:szCs w:val="22"/>
        </w:rPr>
      </w:pPr>
      <w:hyperlink w:anchor="_Toc242167244" w:history="1">
        <w:r w:rsidR="002B1716" w:rsidRPr="00307339">
          <w:rPr>
            <w:rStyle w:val="Hyperlink"/>
          </w:rPr>
          <w:t>Supporting Statement for Paperwork Reduction Act</w:t>
        </w:r>
        <w:r w:rsidR="002B1716">
          <w:rPr>
            <w:webHidden/>
          </w:rPr>
          <w:tab/>
        </w:r>
        <w:r>
          <w:rPr>
            <w:webHidden/>
          </w:rPr>
          <w:fldChar w:fldCharType="begin"/>
        </w:r>
        <w:r w:rsidR="002B1716">
          <w:rPr>
            <w:webHidden/>
          </w:rPr>
          <w:instrText xml:space="preserve"> PAGEREF _Toc242167244 \h </w:instrText>
        </w:r>
        <w:r>
          <w:rPr>
            <w:webHidden/>
          </w:rPr>
        </w:r>
        <w:r>
          <w:rPr>
            <w:webHidden/>
          </w:rPr>
          <w:fldChar w:fldCharType="separate"/>
        </w:r>
        <w:r w:rsidR="002B1716">
          <w:rPr>
            <w:webHidden/>
          </w:rPr>
          <w:t>7</w:t>
        </w:r>
        <w:r>
          <w:rPr>
            <w:webHidden/>
          </w:rPr>
          <w:fldChar w:fldCharType="end"/>
        </w:r>
      </w:hyperlink>
    </w:p>
    <w:p w:rsidR="002B1716" w:rsidRDefault="00452519">
      <w:pPr>
        <w:pStyle w:val="TOC2"/>
        <w:rPr>
          <w:rFonts w:asciiTheme="minorHAnsi" w:eastAsiaTheme="minorEastAsia" w:hAnsiTheme="minorHAnsi" w:cstheme="minorBidi"/>
          <w:smallCaps w:val="0"/>
        </w:rPr>
      </w:pPr>
      <w:hyperlink w:anchor="_Toc242167245" w:history="1">
        <w:r w:rsidR="002B1716" w:rsidRPr="00307339">
          <w:rPr>
            <w:rStyle w:val="Hyperlink"/>
          </w:rPr>
          <w:t>A. Justification</w:t>
        </w:r>
        <w:r w:rsidR="002B1716">
          <w:rPr>
            <w:webHidden/>
          </w:rPr>
          <w:tab/>
        </w:r>
        <w:r>
          <w:rPr>
            <w:webHidden/>
          </w:rPr>
          <w:fldChar w:fldCharType="begin"/>
        </w:r>
        <w:r w:rsidR="002B1716">
          <w:rPr>
            <w:webHidden/>
          </w:rPr>
          <w:instrText xml:space="preserve"> PAGEREF _Toc242167245 \h </w:instrText>
        </w:r>
        <w:r>
          <w:rPr>
            <w:webHidden/>
          </w:rPr>
        </w:r>
        <w:r>
          <w:rPr>
            <w:webHidden/>
          </w:rPr>
          <w:fldChar w:fldCharType="separate"/>
        </w:r>
        <w:r w:rsidR="002B1716">
          <w:rPr>
            <w:webHidden/>
          </w:rPr>
          <w:t>7</w:t>
        </w:r>
        <w:r>
          <w:rPr>
            <w:webHidden/>
          </w:rPr>
          <w:fldChar w:fldCharType="end"/>
        </w:r>
      </w:hyperlink>
    </w:p>
    <w:p w:rsidR="002B1716" w:rsidRDefault="00452519">
      <w:pPr>
        <w:pStyle w:val="TOC2"/>
        <w:rPr>
          <w:rFonts w:asciiTheme="minorHAnsi" w:eastAsiaTheme="minorEastAsia" w:hAnsiTheme="minorHAnsi" w:cstheme="minorBidi"/>
          <w:smallCaps w:val="0"/>
        </w:rPr>
      </w:pPr>
      <w:hyperlink w:anchor="_Toc242167246" w:history="1">
        <w:r w:rsidR="002B1716" w:rsidRPr="00307339">
          <w:rPr>
            <w:rStyle w:val="Hyperlink"/>
          </w:rPr>
          <w:t>B. Description of Statistical Methods</w:t>
        </w:r>
        <w:r w:rsidR="002B1716">
          <w:rPr>
            <w:webHidden/>
          </w:rPr>
          <w:tab/>
        </w:r>
        <w:r>
          <w:rPr>
            <w:webHidden/>
          </w:rPr>
          <w:fldChar w:fldCharType="begin"/>
        </w:r>
        <w:r w:rsidR="002B1716">
          <w:rPr>
            <w:webHidden/>
          </w:rPr>
          <w:instrText xml:space="preserve"> PAGEREF _Toc242167246 \h </w:instrText>
        </w:r>
        <w:r>
          <w:rPr>
            <w:webHidden/>
          </w:rPr>
        </w:r>
        <w:r>
          <w:rPr>
            <w:webHidden/>
          </w:rPr>
          <w:fldChar w:fldCharType="separate"/>
        </w:r>
        <w:r w:rsidR="002B1716">
          <w:rPr>
            <w:webHidden/>
          </w:rPr>
          <w:t>13</w:t>
        </w:r>
        <w:r>
          <w:rPr>
            <w:webHidden/>
          </w:rPr>
          <w:fldChar w:fldCharType="end"/>
        </w:r>
      </w:hyperlink>
    </w:p>
    <w:p w:rsidR="00286A93" w:rsidRDefault="00452519" w:rsidP="00286A93">
      <w:r w:rsidRPr="00DA5F65">
        <w:rPr>
          <w:szCs w:val="24"/>
        </w:rPr>
        <w:fldChar w:fldCharType="end"/>
      </w:r>
    </w:p>
    <w:p w:rsidR="00286A93" w:rsidRPr="00286A93" w:rsidRDefault="00286A93" w:rsidP="00286A93"/>
    <w:p w:rsidR="00286A93" w:rsidRPr="00286A93" w:rsidRDefault="00286A93" w:rsidP="00286A93"/>
    <w:p w:rsidR="00286A93" w:rsidRDefault="00286A93" w:rsidP="00746922">
      <w:pPr>
        <w:pStyle w:val="HEAD1"/>
        <w:rPr>
          <w:rFonts w:eastAsia="Times New Roman"/>
        </w:rPr>
        <w:sectPr w:rsidR="00286A93" w:rsidSect="002114DA">
          <w:headerReference w:type="default" r:id="rId11"/>
          <w:footerReference w:type="default" r:id="rId12"/>
          <w:pgSz w:w="12240" w:h="15840"/>
          <w:pgMar w:top="1440" w:right="1440" w:bottom="1440" w:left="1440" w:header="720" w:footer="720" w:gutter="0"/>
          <w:pgNumType w:fmt="lowerRoman" w:start="1"/>
          <w:cols w:space="720"/>
        </w:sectPr>
      </w:pPr>
    </w:p>
    <w:p w:rsidR="00746922" w:rsidRPr="00565F6E" w:rsidRDefault="00746922" w:rsidP="00746922">
      <w:pPr>
        <w:pStyle w:val="HEAD1"/>
        <w:rPr>
          <w:rFonts w:eastAsia="Times New Roman"/>
        </w:rPr>
      </w:pPr>
      <w:bookmarkStart w:id="1" w:name="_Toc213670757"/>
      <w:bookmarkStart w:id="2" w:name="_Toc242167235"/>
      <w:r w:rsidRPr="00565F6E">
        <w:rPr>
          <w:rFonts w:eastAsia="Times New Roman"/>
        </w:rPr>
        <w:lastRenderedPageBreak/>
        <w:t>Introduction and overview</w:t>
      </w:r>
      <w:bookmarkEnd w:id="0"/>
      <w:bookmarkEnd w:id="1"/>
      <w:bookmarkEnd w:id="2"/>
    </w:p>
    <w:p w:rsidR="00746922" w:rsidRPr="005814CA" w:rsidRDefault="00746922" w:rsidP="00286A93">
      <w:pPr>
        <w:pStyle w:val="HEAD-2"/>
      </w:pPr>
      <w:bookmarkStart w:id="3" w:name="_Toc164484937"/>
      <w:bookmarkStart w:id="4" w:name="_Toc242167236"/>
      <w:r w:rsidRPr="005814CA">
        <w:t>Introduction</w:t>
      </w:r>
      <w:bookmarkEnd w:id="3"/>
      <w:bookmarkEnd w:id="4"/>
    </w:p>
    <w:p w:rsidR="00DE6CD0" w:rsidRDefault="00746922" w:rsidP="004D4B6E">
      <w:pPr>
        <w:spacing w:after="120" w:line="360" w:lineRule="auto"/>
        <w:ind w:firstLine="720"/>
        <w:rPr>
          <w:szCs w:val="24"/>
        </w:rPr>
      </w:pPr>
      <w:r w:rsidRPr="005814CA">
        <w:rPr>
          <w:szCs w:val="24"/>
        </w:rPr>
        <w:t>The American Institutes for Research (AIR), under contract with the U.S. Department of Education, International Education Program</w:t>
      </w:r>
      <w:r w:rsidR="003A73CA">
        <w:rPr>
          <w:szCs w:val="24"/>
        </w:rPr>
        <w:t>s</w:t>
      </w:r>
      <w:r w:rsidRPr="005814CA">
        <w:rPr>
          <w:szCs w:val="24"/>
        </w:rPr>
        <w:t xml:space="preserve"> Service (IEPS), requests clearance for data collection </w:t>
      </w:r>
      <w:r w:rsidR="003A73CA">
        <w:rPr>
          <w:szCs w:val="24"/>
        </w:rPr>
        <w:t xml:space="preserve">to conduct an </w:t>
      </w:r>
      <w:r w:rsidR="00115E9F">
        <w:rPr>
          <w:szCs w:val="24"/>
        </w:rPr>
        <w:t>assessment</w:t>
      </w:r>
      <w:r w:rsidRPr="005814CA">
        <w:rPr>
          <w:szCs w:val="24"/>
        </w:rPr>
        <w:t xml:space="preserve"> of the </w:t>
      </w:r>
      <w:r w:rsidR="00965126" w:rsidRPr="005814CA">
        <w:rPr>
          <w:szCs w:val="24"/>
        </w:rPr>
        <w:t>Language Resource Centers (LRC) Program</w:t>
      </w:r>
      <w:r w:rsidRPr="005814CA">
        <w:rPr>
          <w:szCs w:val="24"/>
        </w:rPr>
        <w:t xml:space="preserve">. The study will </w:t>
      </w:r>
      <w:r w:rsidR="00965126" w:rsidRPr="005814CA">
        <w:rPr>
          <w:szCs w:val="24"/>
        </w:rPr>
        <w:t xml:space="preserve">survey </w:t>
      </w:r>
      <w:r w:rsidR="003A73CA">
        <w:rPr>
          <w:szCs w:val="24"/>
        </w:rPr>
        <w:t>Program Directors at</w:t>
      </w:r>
      <w:r w:rsidR="00965126" w:rsidRPr="005814CA">
        <w:rPr>
          <w:szCs w:val="24"/>
        </w:rPr>
        <w:t xml:space="preserve"> LRCs and </w:t>
      </w:r>
      <w:r w:rsidR="003A73CA">
        <w:rPr>
          <w:szCs w:val="24"/>
        </w:rPr>
        <w:t>key</w:t>
      </w:r>
      <w:r w:rsidR="00965126" w:rsidRPr="005814CA">
        <w:rPr>
          <w:szCs w:val="24"/>
        </w:rPr>
        <w:t xml:space="preserve"> constituents </w:t>
      </w:r>
      <w:r w:rsidR="003A73CA">
        <w:rPr>
          <w:szCs w:val="24"/>
        </w:rPr>
        <w:t xml:space="preserve">of LRC products </w:t>
      </w:r>
      <w:r w:rsidRPr="005814CA">
        <w:rPr>
          <w:szCs w:val="24"/>
        </w:rPr>
        <w:t xml:space="preserve">to </w:t>
      </w:r>
      <w:r w:rsidR="00DE6CD0">
        <w:rPr>
          <w:szCs w:val="24"/>
        </w:rPr>
        <w:t>gather information on the implementation</w:t>
      </w:r>
      <w:r w:rsidR="00DE6CD0" w:rsidRPr="005814CA">
        <w:rPr>
          <w:szCs w:val="24"/>
        </w:rPr>
        <w:t xml:space="preserve"> of the </w:t>
      </w:r>
      <w:r w:rsidR="003A6745">
        <w:rPr>
          <w:szCs w:val="24"/>
        </w:rPr>
        <w:t>LRC</w:t>
      </w:r>
      <w:r w:rsidR="00DE6CD0" w:rsidRPr="005814CA">
        <w:rPr>
          <w:szCs w:val="24"/>
        </w:rPr>
        <w:t xml:space="preserve"> </w:t>
      </w:r>
      <w:r w:rsidR="00DE6CD0">
        <w:rPr>
          <w:szCs w:val="24"/>
        </w:rPr>
        <w:t>P</w:t>
      </w:r>
      <w:r w:rsidR="00DE6CD0" w:rsidRPr="005814CA">
        <w:rPr>
          <w:szCs w:val="24"/>
        </w:rPr>
        <w:t>rogram</w:t>
      </w:r>
      <w:r w:rsidR="00DE6CD0">
        <w:rPr>
          <w:szCs w:val="24"/>
        </w:rPr>
        <w:t xml:space="preserve"> and inform program improvement</w:t>
      </w:r>
      <w:r w:rsidR="00DE6CD0" w:rsidRPr="005814CA">
        <w:rPr>
          <w:szCs w:val="24"/>
        </w:rPr>
        <w:t>.</w:t>
      </w:r>
      <w:r w:rsidR="00DE6CD0">
        <w:rPr>
          <w:szCs w:val="24"/>
        </w:rPr>
        <w:t xml:space="preserve"> </w:t>
      </w:r>
    </w:p>
    <w:p w:rsidR="00746922" w:rsidRPr="008905A5" w:rsidRDefault="00746922" w:rsidP="004D4B6E">
      <w:pPr>
        <w:spacing w:after="120" w:line="360" w:lineRule="auto"/>
        <w:ind w:firstLine="720"/>
        <w:rPr>
          <w:szCs w:val="24"/>
        </w:rPr>
      </w:pPr>
      <w:r w:rsidRPr="008905A5">
        <w:rPr>
          <w:szCs w:val="24"/>
        </w:rPr>
        <w:t xml:space="preserve">This document contains three sections.  The first section is a description of the </w:t>
      </w:r>
      <w:r w:rsidR="00115E9F">
        <w:rPr>
          <w:szCs w:val="24"/>
        </w:rPr>
        <w:t>assessment</w:t>
      </w:r>
      <w:r w:rsidR="00A90DBE" w:rsidRPr="008905A5">
        <w:rPr>
          <w:szCs w:val="24"/>
        </w:rPr>
        <w:t xml:space="preserve"> of </w:t>
      </w:r>
      <w:r w:rsidR="00A90DBE">
        <w:rPr>
          <w:szCs w:val="24"/>
        </w:rPr>
        <w:t>the Language Resource Centers Program</w:t>
      </w:r>
      <w:r w:rsidR="00A90DBE" w:rsidRPr="008905A5">
        <w:rPr>
          <w:szCs w:val="24"/>
        </w:rPr>
        <w:t xml:space="preserve"> </w:t>
      </w:r>
      <w:r w:rsidRPr="008905A5">
        <w:rPr>
          <w:szCs w:val="24"/>
        </w:rPr>
        <w:t>and provides context on</w:t>
      </w:r>
      <w:r>
        <w:rPr>
          <w:szCs w:val="24"/>
        </w:rPr>
        <w:t xml:space="preserve"> the data collection instrument</w:t>
      </w:r>
      <w:r w:rsidRPr="008905A5">
        <w:rPr>
          <w:szCs w:val="24"/>
        </w:rPr>
        <w:t xml:space="preserve"> for which we are seeking clearance.  The second section contains Parts A and B of the supporting statement for the Paperwork Reduction Act Submission.  The </w:t>
      </w:r>
      <w:r w:rsidR="00B72BB3">
        <w:rPr>
          <w:szCs w:val="24"/>
        </w:rPr>
        <w:t>appendices</w:t>
      </w:r>
      <w:r>
        <w:rPr>
          <w:szCs w:val="24"/>
        </w:rPr>
        <w:t xml:space="preserve"> contain the instrument</w:t>
      </w:r>
      <w:r w:rsidR="003A73CA">
        <w:rPr>
          <w:szCs w:val="24"/>
        </w:rPr>
        <w:t>s</w:t>
      </w:r>
      <w:r w:rsidRPr="008905A5">
        <w:rPr>
          <w:szCs w:val="24"/>
        </w:rPr>
        <w:t xml:space="preserve"> for which we are requesting clearance</w:t>
      </w:r>
      <w:r w:rsidR="00B72BB3">
        <w:rPr>
          <w:szCs w:val="24"/>
        </w:rPr>
        <w:t>, along with additional supporting documentation</w:t>
      </w:r>
      <w:r w:rsidRPr="008905A5">
        <w:rPr>
          <w:szCs w:val="24"/>
        </w:rPr>
        <w:t>.</w:t>
      </w:r>
    </w:p>
    <w:p w:rsidR="00746922" w:rsidRPr="008905A5" w:rsidRDefault="00746922" w:rsidP="00286A93">
      <w:pPr>
        <w:pStyle w:val="HEAD-2"/>
      </w:pPr>
      <w:bookmarkStart w:id="5" w:name="_Toc164484938"/>
      <w:bookmarkStart w:id="6" w:name="_Toc242167237"/>
      <w:r w:rsidRPr="008905A5">
        <w:t>Background</w:t>
      </w:r>
      <w:bookmarkEnd w:id="5"/>
      <w:bookmarkEnd w:id="6"/>
    </w:p>
    <w:p w:rsidR="00FE0855" w:rsidRPr="00FE0855" w:rsidRDefault="00FE0855" w:rsidP="00DA5F65">
      <w:pPr>
        <w:spacing w:after="120" w:line="360" w:lineRule="auto"/>
        <w:ind w:firstLine="720"/>
        <w:rPr>
          <w:szCs w:val="24"/>
        </w:rPr>
      </w:pPr>
      <w:r w:rsidRPr="00FE0855">
        <w:rPr>
          <w:szCs w:val="24"/>
        </w:rPr>
        <w:t xml:space="preserve">In establishing the Language Resource Centers (LRC) Program as part of the reauthorization of the Title VI Higher Education Act in 1986, Congress acknowledged the critical need to strengthen foreign language instruction in the </w:t>
      </w:r>
      <w:smartTag w:uri="urn:schemas-microsoft-com:office:smarttags" w:element="country-region">
        <w:smartTag w:uri="urn:schemas-microsoft-com:office:smarttags" w:element="place">
          <w:r w:rsidRPr="00FE0855">
            <w:rPr>
              <w:szCs w:val="24"/>
            </w:rPr>
            <w:t>United States</w:t>
          </w:r>
        </w:smartTag>
      </w:smartTag>
      <w:r w:rsidRPr="00FE0855">
        <w:rPr>
          <w:szCs w:val="24"/>
        </w:rPr>
        <w:t>. As with the original authorization of the Act in 1958—which was in response to world events that challenged assumptions about the preparedness of the United States to compete with other nations</w:t>
      </w:r>
      <w:bookmarkStart w:id="7" w:name="OLE_LINK5"/>
      <w:bookmarkStart w:id="8" w:name="OLE_LINK6"/>
      <w:r w:rsidRPr="00FE0855">
        <w:rPr>
          <w:szCs w:val="24"/>
        </w:rPr>
        <w:t>—</w:t>
      </w:r>
      <w:bookmarkEnd w:id="7"/>
      <w:bookmarkEnd w:id="8"/>
      <w:r w:rsidRPr="00FE0855">
        <w:rPr>
          <w:szCs w:val="24"/>
        </w:rPr>
        <w:t xml:space="preserve">the LRC Program was designed to ensure that American students gained the skills necessary to communicate across borders. Twenty-two years after the authorization of the Program, the need to train students in foreign languages in order to compete in the global marketplace is more essential than ever. In a world in which the military, economic, and environmental security of the </w:t>
      </w:r>
      <w:smartTag w:uri="urn:schemas-microsoft-com:office:smarttags" w:element="country-region">
        <w:smartTag w:uri="urn:schemas-microsoft-com:office:smarttags" w:element="place">
          <w:r w:rsidRPr="00FE0855">
            <w:rPr>
              <w:szCs w:val="24"/>
            </w:rPr>
            <w:t>United States</w:t>
          </w:r>
        </w:smartTag>
      </w:smartTag>
      <w:r w:rsidRPr="00FE0855">
        <w:rPr>
          <w:szCs w:val="24"/>
        </w:rPr>
        <w:t xml:space="preserve"> are closely intertwined with other nations, it is imperative that American students are proficient in the multitude of languages spoken around the globe.</w:t>
      </w:r>
    </w:p>
    <w:p w:rsidR="00FE0855" w:rsidRPr="00FE0855" w:rsidRDefault="00FE0855" w:rsidP="009D1DE0">
      <w:pPr>
        <w:spacing w:after="120" w:line="360" w:lineRule="auto"/>
        <w:ind w:firstLine="720"/>
        <w:rPr>
          <w:szCs w:val="24"/>
        </w:rPr>
      </w:pPr>
      <w:r w:rsidRPr="00FE0855">
        <w:rPr>
          <w:szCs w:val="24"/>
        </w:rPr>
        <w:t xml:space="preserve">Since the first LRC competition in 1990, the Program has made great strides in bolstering the foreign language capacity of the </w:t>
      </w:r>
      <w:smartTag w:uri="urn:schemas-microsoft-com:office:smarttags" w:element="place">
        <w:smartTag w:uri="urn:schemas-microsoft-com:office:smarttags" w:element="country-region">
          <w:r w:rsidRPr="00FE0855">
            <w:rPr>
              <w:szCs w:val="24"/>
            </w:rPr>
            <w:t>United States</w:t>
          </w:r>
        </w:smartTag>
      </w:smartTag>
      <w:r w:rsidRPr="00FE0855">
        <w:rPr>
          <w:szCs w:val="24"/>
        </w:rPr>
        <w:t xml:space="preserve">. As noted in the recent report from the </w:t>
      </w:r>
      <w:r w:rsidRPr="00FE0855">
        <w:rPr>
          <w:szCs w:val="24"/>
        </w:rPr>
        <w:lastRenderedPageBreak/>
        <w:t xml:space="preserve">National Academy of Sciences (NAS) reviewing the Title VI and Fulbright-Hays programs, instruction in less commonly taught languages has increased and numerous teaching materials have been developed for use in a </w:t>
      </w:r>
      <w:r w:rsidRPr="0002694A">
        <w:rPr>
          <w:szCs w:val="24"/>
        </w:rPr>
        <w:t>variety of educational settings.</w:t>
      </w:r>
      <w:r w:rsidRPr="0002694A">
        <w:rPr>
          <w:rStyle w:val="FootnoteReference"/>
          <w:szCs w:val="24"/>
        </w:rPr>
        <w:footnoteReference w:id="1"/>
      </w:r>
      <w:r w:rsidRPr="00FE0855">
        <w:rPr>
          <w:szCs w:val="24"/>
        </w:rPr>
        <w:t xml:space="preserve">  The NAS noted, however, that the 14 Title VI programs, including the Language Resource Centers, had yet to comprehensively </w:t>
      </w:r>
      <w:r w:rsidR="00115E9F">
        <w:rPr>
          <w:szCs w:val="24"/>
        </w:rPr>
        <w:t>assess</w:t>
      </w:r>
      <w:r w:rsidRPr="00FE0855">
        <w:rPr>
          <w:szCs w:val="24"/>
        </w:rPr>
        <w:t xml:space="preserve"> the degree to which the projects funded under the statute had demonstrated an effect on international education and foreign language instruction in the United States. Consequently, the level of preparedness of </w:t>
      </w:r>
      <w:smartTag w:uri="urn:schemas-microsoft-com:office:smarttags" w:element="country-region">
        <w:smartTag w:uri="urn:schemas-microsoft-com:office:smarttags" w:element="place">
          <w:r w:rsidRPr="00FE0855">
            <w:rPr>
              <w:szCs w:val="24"/>
            </w:rPr>
            <w:t>U.S.</w:t>
          </w:r>
        </w:smartTag>
      </w:smartTag>
      <w:r w:rsidRPr="00FE0855">
        <w:rPr>
          <w:szCs w:val="24"/>
        </w:rPr>
        <w:t xml:space="preserve"> students to compete globally remains unclear.</w:t>
      </w:r>
    </w:p>
    <w:p w:rsidR="00746922" w:rsidRPr="008905A5" w:rsidRDefault="00746922" w:rsidP="00286A93">
      <w:pPr>
        <w:pStyle w:val="HEAD-2"/>
      </w:pPr>
      <w:bookmarkStart w:id="9" w:name="_Toc77066328"/>
      <w:bookmarkStart w:id="10" w:name="_Toc164484939"/>
      <w:bookmarkStart w:id="11" w:name="_Toc242167238"/>
      <w:r w:rsidRPr="008905A5">
        <w:t>Study Objectives</w:t>
      </w:r>
      <w:bookmarkEnd w:id="9"/>
      <w:bookmarkEnd w:id="10"/>
      <w:bookmarkEnd w:id="11"/>
    </w:p>
    <w:p w:rsidR="00764468" w:rsidRDefault="00746922" w:rsidP="00406C1D">
      <w:pPr>
        <w:spacing w:after="120" w:line="360" w:lineRule="auto"/>
        <w:ind w:firstLine="720"/>
        <w:rPr>
          <w:szCs w:val="24"/>
        </w:rPr>
      </w:pPr>
      <w:r w:rsidRPr="00404815">
        <w:rPr>
          <w:szCs w:val="24"/>
        </w:rPr>
        <w:t xml:space="preserve">The primary objectives of the study are </w:t>
      </w:r>
      <w:r w:rsidR="00DE6CD0">
        <w:rPr>
          <w:szCs w:val="24"/>
        </w:rPr>
        <w:t xml:space="preserve">to </w:t>
      </w:r>
      <w:r w:rsidR="00DE6CD0">
        <w:t xml:space="preserve">a) describe the activities conducted with LRC funding </w:t>
      </w:r>
      <w:r w:rsidR="00406C1D">
        <w:t>since inception</w:t>
      </w:r>
      <w:r w:rsidR="00DE6CD0">
        <w:t>, b) examin</w:t>
      </w:r>
      <w:r w:rsidR="00406C1D">
        <w:t>e</w:t>
      </w:r>
      <w:r w:rsidR="00DE6CD0">
        <w:t xml:space="preserve"> the individual </w:t>
      </w:r>
      <w:r w:rsidR="00DE6CD0" w:rsidRPr="002C1436">
        <w:t xml:space="preserve">project outcomes associated with each of the </w:t>
      </w:r>
      <w:r w:rsidR="00DE6CD0">
        <w:t xml:space="preserve">Centers, and c) assess </w:t>
      </w:r>
      <w:r w:rsidR="00DE6CD0" w:rsidRPr="002C1436">
        <w:t xml:space="preserve">the </w:t>
      </w:r>
      <w:r w:rsidR="00406C1D">
        <w:t>contributions</w:t>
      </w:r>
      <w:r w:rsidR="00DE6CD0">
        <w:t xml:space="preserve"> of the </w:t>
      </w:r>
      <w:r w:rsidR="00406C1D">
        <w:t>L</w:t>
      </w:r>
      <w:r w:rsidR="00DE6CD0" w:rsidRPr="002C1436">
        <w:t>RC program</w:t>
      </w:r>
      <w:r w:rsidR="00DE6CD0">
        <w:t xml:space="preserve"> </w:t>
      </w:r>
      <w:r w:rsidR="00406C1D">
        <w:t>to the implementation of the study of modern foreign languages in the United States</w:t>
      </w:r>
      <w:r w:rsidR="00DE6CD0" w:rsidRPr="002C1436">
        <w:t xml:space="preserve">. </w:t>
      </w:r>
      <w:r w:rsidR="00DE6CD0">
        <w:t xml:space="preserve"> </w:t>
      </w:r>
    </w:p>
    <w:p w:rsidR="00746922" w:rsidRPr="008905A5" w:rsidRDefault="00746922" w:rsidP="00286A93">
      <w:pPr>
        <w:pStyle w:val="HEAD-2"/>
      </w:pPr>
      <w:bookmarkStart w:id="12" w:name="_Toc77066331"/>
      <w:bookmarkStart w:id="13" w:name="_Toc164484940"/>
      <w:bookmarkStart w:id="14" w:name="_Toc242167239"/>
      <w:r w:rsidRPr="008905A5">
        <w:t>Data Collection and Instrumentation</w:t>
      </w:r>
      <w:bookmarkEnd w:id="12"/>
      <w:bookmarkEnd w:id="13"/>
      <w:bookmarkEnd w:id="14"/>
    </w:p>
    <w:p w:rsidR="00746922" w:rsidRDefault="00746922" w:rsidP="004D4B6E">
      <w:pPr>
        <w:pStyle w:val="BodyTextIndent3"/>
        <w:spacing w:line="360" w:lineRule="auto"/>
        <w:ind w:left="0" w:firstLine="720"/>
        <w:rPr>
          <w:sz w:val="24"/>
          <w:szCs w:val="24"/>
        </w:rPr>
      </w:pPr>
      <w:r w:rsidRPr="008C19E3">
        <w:rPr>
          <w:sz w:val="24"/>
          <w:szCs w:val="24"/>
        </w:rPr>
        <w:t xml:space="preserve">The </w:t>
      </w:r>
      <w:r w:rsidR="00115E9F">
        <w:rPr>
          <w:sz w:val="24"/>
          <w:szCs w:val="24"/>
        </w:rPr>
        <w:t>Assessment</w:t>
      </w:r>
      <w:r w:rsidRPr="008C19E3">
        <w:rPr>
          <w:sz w:val="24"/>
          <w:szCs w:val="24"/>
        </w:rPr>
        <w:t xml:space="preserve"> </w:t>
      </w:r>
      <w:r w:rsidR="003A73CA">
        <w:rPr>
          <w:sz w:val="24"/>
          <w:szCs w:val="24"/>
        </w:rPr>
        <w:t xml:space="preserve">of the </w:t>
      </w:r>
      <w:r w:rsidR="008C19E3" w:rsidRPr="008C19E3">
        <w:rPr>
          <w:sz w:val="24"/>
          <w:szCs w:val="24"/>
        </w:rPr>
        <w:t xml:space="preserve">Language Resource Centers Program </w:t>
      </w:r>
      <w:r w:rsidRPr="000551E7">
        <w:rPr>
          <w:sz w:val="24"/>
          <w:szCs w:val="24"/>
        </w:rPr>
        <w:t xml:space="preserve">will </w:t>
      </w:r>
      <w:r>
        <w:rPr>
          <w:sz w:val="24"/>
          <w:szCs w:val="24"/>
        </w:rPr>
        <w:t>use</w:t>
      </w:r>
      <w:r w:rsidRPr="000551E7">
        <w:rPr>
          <w:sz w:val="24"/>
          <w:szCs w:val="24"/>
        </w:rPr>
        <w:t xml:space="preserve"> </w:t>
      </w:r>
      <w:r>
        <w:rPr>
          <w:sz w:val="24"/>
          <w:szCs w:val="24"/>
        </w:rPr>
        <w:t>the following</w:t>
      </w:r>
      <w:r w:rsidRPr="000551E7">
        <w:rPr>
          <w:sz w:val="24"/>
          <w:szCs w:val="24"/>
        </w:rPr>
        <w:t xml:space="preserve"> data collection</w:t>
      </w:r>
      <w:r>
        <w:rPr>
          <w:sz w:val="24"/>
          <w:szCs w:val="24"/>
        </w:rPr>
        <w:t xml:space="preserve"> </w:t>
      </w:r>
      <w:r w:rsidR="008262C8">
        <w:rPr>
          <w:sz w:val="24"/>
          <w:szCs w:val="24"/>
        </w:rPr>
        <w:t>strategies</w:t>
      </w:r>
      <w:r w:rsidRPr="000551E7">
        <w:rPr>
          <w:sz w:val="24"/>
          <w:szCs w:val="24"/>
        </w:rPr>
        <w:t>:</w:t>
      </w:r>
    </w:p>
    <w:p w:rsidR="00844EB1" w:rsidRPr="002C2F0D" w:rsidRDefault="002C2F0D" w:rsidP="00487E09">
      <w:pPr>
        <w:numPr>
          <w:ilvl w:val="0"/>
          <w:numId w:val="9"/>
        </w:numPr>
        <w:spacing w:after="120" w:line="274" w:lineRule="auto"/>
        <w:rPr>
          <w:szCs w:val="24"/>
        </w:rPr>
      </w:pPr>
      <w:r w:rsidRPr="002C2F0D">
        <w:rPr>
          <w:b/>
          <w:szCs w:val="24"/>
        </w:rPr>
        <w:t>Review of Secondary Data</w:t>
      </w:r>
      <w:r w:rsidRPr="002C2F0D">
        <w:rPr>
          <w:szCs w:val="24"/>
        </w:rPr>
        <w:t>.  AIR will collect both qualitative and quantitative data from LRCs in order to document the range of activities and products they create and disseminate</w:t>
      </w:r>
      <w:r>
        <w:rPr>
          <w:szCs w:val="24"/>
        </w:rPr>
        <w:t>.</w:t>
      </w:r>
      <w:r w:rsidR="003A73CA">
        <w:rPr>
          <w:szCs w:val="24"/>
        </w:rPr>
        <w:t xml:space="preserve">  These data will be in the form of interim and annual reports and extant evaluations conducted by the LRCs</w:t>
      </w:r>
      <w:r w:rsidR="008262C8">
        <w:rPr>
          <w:szCs w:val="24"/>
        </w:rPr>
        <w:t>.</w:t>
      </w:r>
    </w:p>
    <w:p w:rsidR="005E03CA" w:rsidRPr="005E03CA" w:rsidRDefault="005E03CA" w:rsidP="00487E09">
      <w:pPr>
        <w:numPr>
          <w:ilvl w:val="0"/>
          <w:numId w:val="8"/>
        </w:numPr>
        <w:spacing w:after="120" w:line="274" w:lineRule="auto"/>
        <w:rPr>
          <w:szCs w:val="24"/>
        </w:rPr>
      </w:pPr>
      <w:r w:rsidRPr="003A73CA">
        <w:rPr>
          <w:b/>
          <w:szCs w:val="24"/>
        </w:rPr>
        <w:t>Survey</w:t>
      </w:r>
      <w:r w:rsidR="008B28BE" w:rsidRPr="003A73CA">
        <w:rPr>
          <w:b/>
          <w:szCs w:val="24"/>
        </w:rPr>
        <w:t xml:space="preserve"> of</w:t>
      </w:r>
      <w:r w:rsidRPr="003A73CA">
        <w:rPr>
          <w:b/>
          <w:szCs w:val="24"/>
        </w:rPr>
        <w:t xml:space="preserve"> LRC</w:t>
      </w:r>
      <w:r w:rsidR="003A73CA" w:rsidRPr="003A73CA">
        <w:rPr>
          <w:b/>
          <w:szCs w:val="24"/>
        </w:rPr>
        <w:t xml:space="preserve"> Project Director</w:t>
      </w:r>
      <w:r w:rsidRPr="003A73CA">
        <w:rPr>
          <w:b/>
          <w:szCs w:val="24"/>
        </w:rPr>
        <w:t>s.</w:t>
      </w:r>
      <w:r w:rsidRPr="005E03CA">
        <w:rPr>
          <w:b/>
          <w:szCs w:val="24"/>
        </w:rPr>
        <w:t xml:space="preserve">  </w:t>
      </w:r>
      <w:r w:rsidRPr="005E03CA">
        <w:rPr>
          <w:szCs w:val="24"/>
        </w:rPr>
        <w:t xml:space="preserve">AIR will survey </w:t>
      </w:r>
      <w:r w:rsidR="003A73CA">
        <w:rPr>
          <w:szCs w:val="24"/>
        </w:rPr>
        <w:t xml:space="preserve">all 16 </w:t>
      </w:r>
      <w:r w:rsidRPr="005E03CA">
        <w:rPr>
          <w:szCs w:val="24"/>
        </w:rPr>
        <w:t>LRC</w:t>
      </w:r>
      <w:r w:rsidR="003A73CA">
        <w:rPr>
          <w:szCs w:val="24"/>
        </w:rPr>
        <w:t xml:space="preserve"> Project Director</w:t>
      </w:r>
      <w:r w:rsidRPr="005E03CA">
        <w:rPr>
          <w:szCs w:val="24"/>
        </w:rPr>
        <w:t>s in order to collect additional information about activities and products created by the Centers not captured during the review of secondary data.  Moreover, program administrators will be queried about the evaluations Centers have conducted of their activities and the performance measures they use as part of their evaluations.</w:t>
      </w:r>
    </w:p>
    <w:p w:rsidR="006F4E0F" w:rsidRPr="006F4E0F" w:rsidRDefault="005E03CA" w:rsidP="00487E09">
      <w:pPr>
        <w:numPr>
          <w:ilvl w:val="0"/>
          <w:numId w:val="8"/>
        </w:numPr>
        <w:spacing w:line="274" w:lineRule="auto"/>
        <w:rPr>
          <w:szCs w:val="24"/>
        </w:rPr>
      </w:pPr>
      <w:r w:rsidRPr="006F4E0F">
        <w:rPr>
          <w:b/>
          <w:szCs w:val="24"/>
        </w:rPr>
        <w:t>Survey</w:t>
      </w:r>
      <w:r w:rsidR="008B28BE" w:rsidRPr="006F4E0F">
        <w:rPr>
          <w:b/>
          <w:szCs w:val="24"/>
        </w:rPr>
        <w:t xml:space="preserve"> of</w:t>
      </w:r>
      <w:r w:rsidRPr="006F4E0F">
        <w:rPr>
          <w:b/>
          <w:szCs w:val="24"/>
        </w:rPr>
        <w:t xml:space="preserve"> </w:t>
      </w:r>
      <w:r w:rsidR="006F4E0F" w:rsidRPr="006F4E0F">
        <w:rPr>
          <w:b/>
          <w:szCs w:val="24"/>
        </w:rPr>
        <w:t>LRC</w:t>
      </w:r>
      <w:r w:rsidRPr="006F4E0F">
        <w:rPr>
          <w:b/>
          <w:szCs w:val="24"/>
        </w:rPr>
        <w:t xml:space="preserve"> Constituents.</w:t>
      </w:r>
      <w:r w:rsidRPr="005E03CA">
        <w:rPr>
          <w:b/>
          <w:szCs w:val="24"/>
        </w:rPr>
        <w:t xml:space="preserve">  </w:t>
      </w:r>
      <w:r w:rsidRPr="005E03CA">
        <w:rPr>
          <w:szCs w:val="24"/>
        </w:rPr>
        <w:t xml:space="preserve">AIR will survey the key constituents of LRCs in order to </w:t>
      </w:r>
      <w:r w:rsidR="00406C1D">
        <w:rPr>
          <w:szCs w:val="24"/>
        </w:rPr>
        <w:t xml:space="preserve">gather information on </w:t>
      </w:r>
      <w:r w:rsidRPr="005E03CA">
        <w:rPr>
          <w:szCs w:val="24"/>
        </w:rPr>
        <w:t xml:space="preserve">1) constituent </w:t>
      </w:r>
      <w:r w:rsidRPr="005E03CA">
        <w:rPr>
          <w:i/>
          <w:szCs w:val="24"/>
        </w:rPr>
        <w:t>awareness</w:t>
      </w:r>
      <w:r w:rsidRPr="005E03CA">
        <w:rPr>
          <w:szCs w:val="24"/>
        </w:rPr>
        <w:t xml:space="preserve"> of the products and services disseminated by LRCs, 2) the </w:t>
      </w:r>
      <w:r w:rsidRPr="005E03CA">
        <w:rPr>
          <w:i/>
          <w:szCs w:val="24"/>
        </w:rPr>
        <w:t>frequency</w:t>
      </w:r>
      <w:r w:rsidRPr="005E03CA">
        <w:rPr>
          <w:szCs w:val="24"/>
        </w:rPr>
        <w:t xml:space="preserve"> with which constituents use these products and services, and </w:t>
      </w:r>
      <w:r w:rsidRPr="005E03CA">
        <w:rPr>
          <w:szCs w:val="24"/>
        </w:rPr>
        <w:lastRenderedPageBreak/>
        <w:t xml:space="preserve">3) constituent </w:t>
      </w:r>
      <w:r w:rsidR="00115E9F">
        <w:rPr>
          <w:szCs w:val="24"/>
        </w:rPr>
        <w:t>assessment</w:t>
      </w:r>
      <w:r w:rsidRPr="005E03CA">
        <w:rPr>
          <w:szCs w:val="24"/>
        </w:rPr>
        <w:t xml:space="preserve">s of their </w:t>
      </w:r>
      <w:r w:rsidRPr="005E03CA">
        <w:rPr>
          <w:i/>
          <w:szCs w:val="24"/>
        </w:rPr>
        <w:t>utility</w:t>
      </w:r>
      <w:r w:rsidRPr="005E03CA">
        <w:rPr>
          <w:szCs w:val="24"/>
        </w:rPr>
        <w:t xml:space="preserve">. </w:t>
      </w:r>
      <w:r w:rsidR="006F4E0F">
        <w:rPr>
          <w:szCs w:val="24"/>
        </w:rPr>
        <w:t xml:space="preserve">Two groups of key constituents will be surveyed:  district supervisors who belong to the National Association of District Supervisors of Foreign Languages (NADSFL), and participants at LRC </w:t>
      </w:r>
      <w:r w:rsidR="003F53B3">
        <w:rPr>
          <w:szCs w:val="24"/>
        </w:rPr>
        <w:t>S</w:t>
      </w:r>
      <w:r w:rsidR="006F4E0F">
        <w:rPr>
          <w:szCs w:val="24"/>
        </w:rPr>
        <w:t>ummer workshops that focus on the postsecondary level.  While many of the questions will overlap, two separate survey instruments will be developed for each constituent group.  The purpose of surveying these two separate groups is to gather data on LRC effectiveness at both the K-12 and postsecondary levels.  Focusing on one without the other would miss a critical component of the LRCs</w:t>
      </w:r>
      <w:r w:rsidR="00115E9F">
        <w:rPr>
          <w:szCs w:val="24"/>
        </w:rPr>
        <w:t>’</w:t>
      </w:r>
      <w:r w:rsidR="006F4E0F">
        <w:rPr>
          <w:szCs w:val="24"/>
        </w:rPr>
        <w:t xml:space="preserve"> mandate.</w:t>
      </w:r>
    </w:p>
    <w:p w:rsidR="00746922" w:rsidRDefault="00746922" w:rsidP="006F4E0F">
      <w:pPr>
        <w:spacing w:line="360" w:lineRule="auto"/>
        <w:ind w:left="720"/>
        <w:rPr>
          <w:szCs w:val="24"/>
        </w:rPr>
      </w:pPr>
    </w:p>
    <w:p w:rsidR="00406C1D" w:rsidRDefault="00746922" w:rsidP="00D827FB">
      <w:pPr>
        <w:spacing w:after="180" w:line="360" w:lineRule="auto"/>
        <w:ind w:firstLine="720"/>
        <w:rPr>
          <w:szCs w:val="24"/>
        </w:rPr>
      </w:pPr>
      <w:r w:rsidRPr="008905A5">
        <w:rPr>
          <w:szCs w:val="24"/>
        </w:rPr>
        <w:t xml:space="preserve">Exhibit </w:t>
      </w:r>
      <w:r>
        <w:rPr>
          <w:szCs w:val="24"/>
        </w:rPr>
        <w:t>1</w:t>
      </w:r>
      <w:r w:rsidRPr="008905A5">
        <w:rPr>
          <w:szCs w:val="24"/>
        </w:rPr>
        <w:t xml:space="preserve"> provides a schematic represen</w:t>
      </w:r>
      <w:r>
        <w:rPr>
          <w:szCs w:val="24"/>
        </w:rPr>
        <w:t xml:space="preserve">tation of </w:t>
      </w:r>
      <w:r w:rsidR="005B7506">
        <w:rPr>
          <w:szCs w:val="24"/>
        </w:rPr>
        <w:t>the</w:t>
      </w:r>
      <w:r>
        <w:rPr>
          <w:szCs w:val="24"/>
        </w:rPr>
        <w:t xml:space="preserve"> proposed study design</w:t>
      </w:r>
      <w:r w:rsidRPr="008905A5">
        <w:rPr>
          <w:szCs w:val="24"/>
        </w:rPr>
        <w:t xml:space="preserve"> to gather information on </w:t>
      </w:r>
      <w:r w:rsidR="005B7506">
        <w:rPr>
          <w:szCs w:val="24"/>
        </w:rPr>
        <w:t>the LRC</w:t>
      </w:r>
      <w:r w:rsidR="00406C1D">
        <w:rPr>
          <w:szCs w:val="24"/>
        </w:rPr>
        <w:t xml:space="preserve"> program</w:t>
      </w:r>
      <w:r w:rsidRPr="008905A5">
        <w:rPr>
          <w:szCs w:val="24"/>
        </w:rPr>
        <w:t xml:space="preserve">.  As noted in the Exhibit, AIR will prepare a final report at the conclusion of the data collection and analysis tasks.  The </w:t>
      </w:r>
      <w:r w:rsidR="00406C1D" w:rsidRPr="00A91264">
        <w:rPr>
          <w:szCs w:val="24"/>
        </w:rPr>
        <w:t xml:space="preserve">results from the study </w:t>
      </w:r>
      <w:r w:rsidR="00406C1D">
        <w:rPr>
          <w:szCs w:val="24"/>
        </w:rPr>
        <w:t>will</w:t>
      </w:r>
      <w:r w:rsidR="00406C1D" w:rsidRPr="00A91264">
        <w:rPr>
          <w:szCs w:val="24"/>
        </w:rPr>
        <w:t xml:space="preserve"> be used to </w:t>
      </w:r>
      <w:r w:rsidR="00406C1D">
        <w:rPr>
          <w:szCs w:val="24"/>
        </w:rPr>
        <w:t xml:space="preserve">learn what is being accomplished by the </w:t>
      </w:r>
      <w:r w:rsidR="00B72BB3">
        <w:rPr>
          <w:szCs w:val="24"/>
        </w:rPr>
        <w:t>LRC</w:t>
      </w:r>
      <w:r w:rsidR="00406C1D">
        <w:rPr>
          <w:szCs w:val="24"/>
        </w:rPr>
        <w:t xml:space="preserve"> Program</w:t>
      </w:r>
      <w:r w:rsidR="00B72BB3">
        <w:rPr>
          <w:szCs w:val="24"/>
        </w:rPr>
        <w:t>, whether its products are being used by its core constituents,</w:t>
      </w:r>
      <w:r w:rsidR="00406C1D">
        <w:rPr>
          <w:szCs w:val="24"/>
        </w:rPr>
        <w:t xml:space="preserve"> and to inform program improvement in the future.</w:t>
      </w:r>
    </w:p>
    <w:p w:rsidR="00746922" w:rsidRDefault="00746922" w:rsidP="00E075E8">
      <w:pPr>
        <w:pStyle w:val="Exhibit"/>
      </w:pPr>
      <w:bookmarkStart w:id="15" w:name="_Toc140892785"/>
      <w:r w:rsidRPr="00C95EB6">
        <w:t xml:space="preserve">Exhibit 1. </w:t>
      </w:r>
      <w:bookmarkEnd w:id="15"/>
      <w:r w:rsidRPr="00C95EB6">
        <w:t>Study Overview</w:t>
      </w:r>
    </w:p>
    <w:p w:rsidR="00302E0F" w:rsidRPr="00E075E8" w:rsidRDefault="00302E0F" w:rsidP="00E075E8">
      <w:pPr>
        <w:rPr>
          <w:sz w:val="16"/>
          <w:szCs w:val="16"/>
        </w:rPr>
      </w:pPr>
    </w:p>
    <w:p w:rsidR="00302E0F" w:rsidRPr="003C53F4" w:rsidRDefault="002C368B" w:rsidP="00E075E8">
      <w:pPr>
        <w:jc w:val="center"/>
      </w:pPr>
      <w:r w:rsidRPr="002C368B">
        <w:rPr>
          <w:noProof/>
        </w:rPr>
        <w:drawing>
          <wp:inline distT="0" distB="0" distL="0" distR="0">
            <wp:extent cx="5943600" cy="4418330"/>
            <wp:effectExtent l="1905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610600" cy="6400800"/>
                      <a:chOff x="228600" y="152400"/>
                      <a:chExt cx="8610600" cy="6400800"/>
                    </a:xfrm>
                  </a:grpSpPr>
                  <a:grpSp>
                    <a:nvGrpSpPr>
                      <a:cNvPr id="2050" name="Group 41"/>
                      <a:cNvGrpSpPr>
                        <a:grpSpLocks/>
                      </a:cNvGrpSpPr>
                    </a:nvGrpSpPr>
                    <a:grpSpPr bwMode="auto">
                      <a:xfrm>
                        <a:off x="228600" y="152400"/>
                        <a:ext cx="8610600" cy="6400800"/>
                        <a:chOff x="228600" y="152400"/>
                        <a:chExt cx="8610600" cy="6400800"/>
                      </a:xfrm>
                    </a:grpSpPr>
                    <a:sp>
                      <a:nvSpPr>
                        <a:cNvPr id="2051" name="Oval 4"/>
                        <a:cNvSpPr>
                          <a:spLocks noChangeArrowheads="1"/>
                        </a:cNvSpPr>
                      </a:nvSpPr>
                      <a:spPr bwMode="auto">
                        <a:xfrm>
                          <a:off x="304800" y="152400"/>
                          <a:ext cx="2667000" cy="685800"/>
                        </a:xfrm>
                        <a:prstGeom prst="ellipse">
                          <a:avLst/>
                        </a:prstGeom>
                        <a:solidFill>
                          <a:srgbClr val="FFFF00"/>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Times New Roman" pitchFamily="18" charset="0"/>
                              </a:rPr>
                              <a:t>Phase 1:</a:t>
                            </a:r>
                          </a:p>
                          <a:p>
                            <a:pPr algn="ctr"/>
                            <a:r>
                              <a:rPr lang="en-US" sz="1200">
                                <a:latin typeface="Times New Roman" pitchFamily="18" charset="0"/>
                              </a:rPr>
                              <a:t>Review Secondary Data</a:t>
                            </a:r>
                          </a:p>
                        </a:txBody>
                        <a:useSpRect/>
                      </a:txSp>
                    </a:sp>
                    <a:sp>
                      <a:nvSpPr>
                        <a:cNvPr id="2052" name="Oval 5"/>
                        <a:cNvSpPr>
                          <a:spLocks noChangeArrowheads="1"/>
                        </a:cNvSpPr>
                      </a:nvSpPr>
                      <a:spPr bwMode="auto">
                        <a:xfrm>
                          <a:off x="3200400" y="152400"/>
                          <a:ext cx="2743200" cy="685800"/>
                        </a:xfrm>
                        <a:prstGeom prst="ellipse">
                          <a:avLst/>
                        </a:prstGeom>
                        <a:solidFill>
                          <a:srgbClr val="FFFF00"/>
                        </a:solidFill>
                        <a:ln w="9525">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Times New Roman" pitchFamily="18" charset="0"/>
                              </a:rPr>
                              <a:t>Phase 2:</a:t>
                            </a:r>
                          </a:p>
                          <a:p>
                            <a:pPr algn="ctr"/>
                            <a:r>
                              <a:rPr lang="en-US" sz="1200">
                                <a:latin typeface="Times New Roman" pitchFamily="18" charset="0"/>
                              </a:rPr>
                              <a:t>Survey of LRCs</a:t>
                            </a:r>
                          </a:p>
                        </a:txBody>
                        <a:useSpRect/>
                      </a:txSp>
                    </a:sp>
                    <a:sp>
                      <a:nvSpPr>
                        <a:cNvPr id="2053" name="Oval 7"/>
                        <a:cNvSpPr>
                          <a:spLocks noChangeArrowheads="1"/>
                        </a:cNvSpPr>
                      </a:nvSpPr>
                      <a:spPr bwMode="auto">
                        <a:xfrm>
                          <a:off x="6096000" y="152400"/>
                          <a:ext cx="2743200" cy="685800"/>
                        </a:xfrm>
                        <a:prstGeom prst="ellipse">
                          <a:avLst/>
                        </a:prstGeom>
                        <a:solidFill>
                          <a:srgbClr val="FFFF00"/>
                        </a:solidFill>
                        <a:ln w="9525" cap="rnd">
                          <a:solidFill>
                            <a:schemeClr val="tx1"/>
                          </a:solidFill>
                          <a:round/>
                          <a:headEnd/>
                          <a:tailEnd/>
                        </a:ln>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en-US" sz="1200">
                                <a:latin typeface="Times New Roman" pitchFamily="18" charset="0"/>
                              </a:rPr>
                              <a:t>Phase 3:</a:t>
                            </a:r>
                          </a:p>
                          <a:p>
                            <a:pPr algn="ctr"/>
                            <a:r>
                              <a:rPr lang="en-US" sz="1200">
                                <a:latin typeface="Times New Roman" pitchFamily="18" charset="0"/>
                              </a:rPr>
                              <a:t>Survey of Constituents</a:t>
                            </a:r>
                          </a:p>
                        </a:txBody>
                        <a:useSpRect/>
                      </a:txSp>
                    </a:sp>
                    <a:sp>
                      <a:nvSpPr>
                        <a:cNvPr id="2056" name="Rectangle 8"/>
                        <a:cNvSpPr>
                          <a:spLocks noChangeArrowheads="1"/>
                        </a:cNvSpPr>
                      </a:nvSpPr>
                      <a:spPr bwMode="auto">
                        <a:xfrm>
                          <a:off x="228600" y="990600"/>
                          <a:ext cx="1295400" cy="381000"/>
                        </a:xfrm>
                        <a:prstGeom prst="rect">
                          <a:avLst/>
                        </a:prstGeom>
                        <a:solidFill>
                          <a:srgbClr val="FFFF00"/>
                        </a:solidFill>
                        <a:ln w="9525">
                          <a:solidFill>
                            <a:schemeClr val="tx1"/>
                          </a:solidFill>
                          <a:miter lim="800000"/>
                          <a:headEnd/>
                          <a:tailEnd/>
                        </a:ln>
                        <a:effectLst>
                          <a:outerShdw dist="45791" dir="3378596" algn="ctr" rotWithShape="0">
                            <a:schemeClr val="bg2"/>
                          </a:outerShdw>
                        </a:effectLst>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Qualitative Data</a:t>
                            </a:r>
                          </a:p>
                        </a:txBody>
                        <a:useSpRect/>
                      </a:txSp>
                    </a:sp>
                    <a:sp>
                      <a:nvSpPr>
                        <a:cNvPr id="2057" name="Rectangle 9"/>
                        <a:cNvSpPr>
                          <a:spLocks noChangeArrowheads="1"/>
                        </a:cNvSpPr>
                      </a:nvSpPr>
                      <a:spPr bwMode="auto">
                        <a:xfrm>
                          <a:off x="1828800" y="990600"/>
                          <a:ext cx="1295400" cy="381000"/>
                        </a:xfrm>
                        <a:prstGeom prst="rect">
                          <a:avLst/>
                        </a:prstGeom>
                        <a:solidFill>
                          <a:srgbClr val="FFFF00"/>
                        </a:solidFill>
                        <a:ln w="9525">
                          <a:solidFill>
                            <a:schemeClr val="tx1"/>
                          </a:solidFill>
                          <a:miter lim="800000"/>
                          <a:headEnd/>
                          <a:tailEnd/>
                        </a:ln>
                        <a:effectLst>
                          <a:outerShdw dist="45791" dir="3378596" algn="ctr" rotWithShape="0">
                            <a:schemeClr val="bg2"/>
                          </a:outerShdw>
                        </a:effectLst>
                      </a:spPr>
                      <a:txSp>
                        <a:txBody>
                          <a:bodyPr wrap="none" anchor="ct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Quantitative Data</a:t>
                            </a:r>
                          </a:p>
                        </a:txBody>
                        <a:useSpRect/>
                      </a:txSp>
                    </a:sp>
                    <a:sp>
                      <a:nvSpPr>
                        <a:cNvPr id="2" name="Line 10"/>
                        <a:cNvSpPr>
                          <a:spLocks noChangeShapeType="1"/>
                        </a:cNvSpPr>
                      </a:nvSpPr>
                      <a:spPr bwMode="auto">
                        <a:xfrm>
                          <a:off x="914400" y="1371600"/>
                          <a:ext cx="0" cy="38100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3" name="Line 11"/>
                        <a:cNvSpPr>
                          <a:spLocks noChangeShapeType="1"/>
                        </a:cNvSpPr>
                      </a:nvSpPr>
                      <a:spPr bwMode="auto">
                        <a:xfrm>
                          <a:off x="2514600" y="1371600"/>
                          <a:ext cx="0" cy="381000"/>
                        </a:xfrm>
                        <a:prstGeom prst="line">
                          <a:avLst/>
                        </a:prstGeom>
                        <a:noFill/>
                        <a:ln w="9525">
                          <a:solidFill>
                            <a:schemeClr val="tx1"/>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1" name="Rectangle 13"/>
                        <a:cNvSpPr>
                          <a:spLocks noChangeArrowheads="1"/>
                        </a:cNvSpPr>
                      </a:nvSpPr>
                      <a:spPr bwMode="auto">
                        <a:xfrm>
                          <a:off x="228600" y="17526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dirty="0">
                                <a:latin typeface="Times New Roman" pitchFamily="18" charset="0"/>
                              </a:rPr>
                              <a:t>Develop coding scheme</a:t>
                            </a:r>
                            <a:endParaRPr lang="en-US" dirty="0"/>
                          </a:p>
                        </a:txBody>
                        <a:useSpRect/>
                      </a:txSp>
                    </a:sp>
                    <a:sp>
                      <a:nvSpPr>
                        <a:cNvPr id="2062" name="Rectangle 14"/>
                        <a:cNvSpPr>
                          <a:spLocks noChangeArrowheads="1"/>
                        </a:cNvSpPr>
                      </a:nvSpPr>
                      <a:spPr bwMode="auto">
                        <a:xfrm>
                          <a:off x="1828800" y="17526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Review data documentation</a:t>
                            </a:r>
                            <a:endParaRPr lang="en-US"/>
                          </a:p>
                        </a:txBody>
                        <a:useSpRect/>
                      </a:txSp>
                    </a:sp>
                    <a:sp>
                      <a:nvSpPr>
                        <a:cNvPr id="2060" name="Line 15"/>
                        <a:cNvSpPr>
                          <a:spLocks noChangeShapeType="1"/>
                        </a:cNvSpPr>
                      </a:nvSpPr>
                      <a:spPr bwMode="auto">
                        <a:xfrm>
                          <a:off x="914400" y="22479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4" name="Line 16"/>
                        <a:cNvSpPr>
                          <a:spLocks noChangeShapeType="1"/>
                        </a:cNvSpPr>
                      </a:nvSpPr>
                      <a:spPr bwMode="auto">
                        <a:xfrm>
                          <a:off x="2514600" y="22479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5" name="Rectangle 17"/>
                        <a:cNvSpPr>
                          <a:spLocks noChangeArrowheads="1"/>
                        </a:cNvSpPr>
                      </a:nvSpPr>
                      <a:spPr bwMode="auto">
                        <a:xfrm>
                          <a:off x="228600" y="25908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Review and code materials</a:t>
                            </a:r>
                            <a:endParaRPr lang="en-US"/>
                          </a:p>
                        </a:txBody>
                        <a:useSpRect/>
                      </a:txSp>
                    </a:sp>
                    <a:sp>
                      <a:nvSpPr>
                        <a:cNvPr id="2066" name="Rectangle 18"/>
                        <a:cNvSpPr>
                          <a:spLocks noChangeArrowheads="1"/>
                        </a:cNvSpPr>
                      </a:nvSpPr>
                      <a:spPr bwMode="auto">
                        <a:xfrm>
                          <a:off x="1828800" y="25908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Extract relevant data into database</a:t>
                            </a:r>
                            <a:endParaRPr lang="en-US"/>
                          </a:p>
                        </a:txBody>
                        <a:useSpRect/>
                      </a:txSp>
                    </a:sp>
                    <a:sp>
                      <a:nvSpPr>
                        <a:cNvPr id="2064" name="Line 19"/>
                        <a:cNvSpPr>
                          <a:spLocks noChangeShapeType="1"/>
                        </a:cNvSpPr>
                      </a:nvSpPr>
                      <a:spPr bwMode="auto">
                        <a:xfrm>
                          <a:off x="914400" y="30861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8" name="Rectangle 20"/>
                        <a:cNvSpPr>
                          <a:spLocks noChangeArrowheads="1"/>
                        </a:cNvSpPr>
                      </a:nvSpPr>
                      <a:spPr bwMode="auto">
                        <a:xfrm>
                          <a:off x="228600" y="34290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Enter data in database</a:t>
                            </a:r>
                            <a:endParaRPr lang="en-US"/>
                          </a:p>
                        </a:txBody>
                        <a:useSpRect/>
                      </a:txSp>
                    </a:sp>
                    <a:sp>
                      <a:nvSpPr>
                        <a:cNvPr id="5" name="Line 21"/>
                        <a:cNvSpPr>
                          <a:spLocks noChangeShapeType="1"/>
                        </a:cNvSpPr>
                      </a:nvSpPr>
                      <a:spPr bwMode="auto">
                        <a:xfrm>
                          <a:off x="914400" y="3924300"/>
                          <a:ext cx="0" cy="571500"/>
                        </a:xfrm>
                        <a:prstGeom prst="line">
                          <a:avLst/>
                        </a:prstGeom>
                        <a:noFill/>
                        <a:ln w="9525">
                          <a:solidFill>
                            <a:srgbClr val="000000"/>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67" name="Line 22"/>
                        <a:cNvSpPr>
                          <a:spLocks noChangeShapeType="1"/>
                        </a:cNvSpPr>
                      </a:nvSpPr>
                      <a:spPr bwMode="auto">
                        <a:xfrm>
                          <a:off x="914400" y="4495800"/>
                          <a:ext cx="304800" cy="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1" name="Rectangle 23"/>
                        <a:cNvSpPr>
                          <a:spLocks noChangeArrowheads="1"/>
                        </a:cNvSpPr>
                      </a:nvSpPr>
                      <a:spPr bwMode="auto">
                        <a:xfrm>
                          <a:off x="1219200" y="4191000"/>
                          <a:ext cx="990600" cy="6858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Merge data into single database</a:t>
                            </a:r>
                            <a:endParaRPr lang="en-US"/>
                          </a:p>
                        </a:txBody>
                        <a:useSpRect/>
                      </a:txSp>
                    </a:sp>
                    <a:sp>
                      <a:nvSpPr>
                        <a:cNvPr id="2069" name="Line 24"/>
                        <a:cNvSpPr>
                          <a:spLocks noChangeShapeType="1"/>
                        </a:cNvSpPr>
                      </a:nvSpPr>
                      <a:spPr bwMode="auto">
                        <a:xfrm>
                          <a:off x="2514600" y="3048000"/>
                          <a:ext cx="0" cy="1447800"/>
                        </a:xfrm>
                        <a:prstGeom prst="line">
                          <a:avLst/>
                        </a:prstGeom>
                        <a:noFill/>
                        <a:ln w="9525">
                          <a:solidFill>
                            <a:srgbClr val="000000"/>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0" name="Line 25"/>
                        <a:cNvSpPr>
                          <a:spLocks noChangeShapeType="1"/>
                        </a:cNvSpPr>
                      </a:nvSpPr>
                      <a:spPr bwMode="auto">
                        <a:xfrm flipH="1">
                          <a:off x="2209800" y="4495800"/>
                          <a:ext cx="304800" cy="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6" name="Line 26"/>
                        <a:cNvSpPr>
                          <a:spLocks noChangeShapeType="1"/>
                        </a:cNvSpPr>
                      </a:nvSpPr>
                      <a:spPr bwMode="auto">
                        <a:xfrm>
                          <a:off x="1752600" y="4876800"/>
                          <a:ext cx="0" cy="914400"/>
                        </a:xfrm>
                        <a:prstGeom prst="line">
                          <a:avLst/>
                        </a:prstGeom>
                        <a:noFill/>
                        <a:ln w="9525">
                          <a:solidFill>
                            <a:srgbClr val="000000"/>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2" name="Line 27"/>
                        <a:cNvSpPr>
                          <a:spLocks noChangeShapeType="1"/>
                        </a:cNvSpPr>
                      </a:nvSpPr>
                      <a:spPr bwMode="auto">
                        <a:xfrm>
                          <a:off x="1752600" y="5791200"/>
                          <a:ext cx="1752600" cy="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6" name="Rectangle 28"/>
                        <a:cNvSpPr>
                          <a:spLocks noChangeArrowheads="1"/>
                        </a:cNvSpPr>
                      </a:nvSpPr>
                      <a:spPr bwMode="auto">
                        <a:xfrm>
                          <a:off x="4038600" y="9906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Identify key measures</a:t>
                            </a:r>
                            <a:endParaRPr lang="en-US"/>
                          </a:p>
                        </a:txBody>
                        <a:useSpRect/>
                      </a:txSp>
                    </a:sp>
                    <a:sp>
                      <a:nvSpPr>
                        <a:cNvPr id="2074" name="Line 29"/>
                        <a:cNvSpPr>
                          <a:spLocks noChangeShapeType="1"/>
                        </a:cNvSpPr>
                      </a:nvSpPr>
                      <a:spPr bwMode="auto">
                        <a:xfrm>
                          <a:off x="4724400" y="14859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78" name="Rectangle 30"/>
                        <a:cNvSpPr>
                          <a:spLocks noChangeArrowheads="1"/>
                        </a:cNvSpPr>
                      </a:nvSpPr>
                      <a:spPr bwMode="auto">
                        <a:xfrm>
                          <a:off x="4038600" y="18288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Develop survey instrument</a:t>
                            </a:r>
                            <a:endParaRPr lang="en-US"/>
                          </a:p>
                        </a:txBody>
                        <a:useSpRect/>
                      </a:txSp>
                    </a:sp>
                    <a:sp>
                      <a:nvSpPr>
                        <a:cNvPr id="7" name="Line 31"/>
                        <a:cNvSpPr>
                          <a:spLocks noChangeShapeType="1"/>
                        </a:cNvSpPr>
                      </a:nvSpPr>
                      <a:spPr bwMode="auto">
                        <a:xfrm>
                          <a:off x="4724400" y="23241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0" name="Rectangle 32"/>
                        <a:cNvSpPr>
                          <a:spLocks noChangeArrowheads="1"/>
                        </a:cNvSpPr>
                      </a:nvSpPr>
                      <a:spPr bwMode="auto">
                        <a:xfrm>
                          <a:off x="4038600" y="26670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a:latin typeface="Times New Roman" pitchFamily="18" charset="0"/>
                              </a:rPr>
                              <a:t>Administer survey</a:t>
                            </a:r>
                            <a:endParaRPr lang="en-US"/>
                          </a:p>
                        </a:txBody>
                        <a:useSpRect/>
                      </a:txSp>
                    </a:sp>
                    <a:sp>
                      <a:nvSpPr>
                        <a:cNvPr id="8" name="Line 33"/>
                        <a:cNvSpPr>
                          <a:spLocks noChangeShapeType="1"/>
                        </a:cNvSpPr>
                      </a:nvSpPr>
                      <a:spPr bwMode="auto">
                        <a:xfrm>
                          <a:off x="4724400" y="31623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2" name="Rectangle 34"/>
                        <a:cNvSpPr>
                          <a:spLocks noChangeArrowheads="1"/>
                        </a:cNvSpPr>
                      </a:nvSpPr>
                      <a:spPr bwMode="auto">
                        <a:xfrm>
                          <a:off x="4038600" y="3505200"/>
                          <a:ext cx="1295400" cy="3429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dirty="0">
                                <a:latin typeface="Times New Roman" pitchFamily="18" charset="0"/>
                              </a:rPr>
                              <a:t>Analyze data</a:t>
                            </a:r>
                            <a:endParaRPr lang="en-US" dirty="0"/>
                          </a:p>
                        </a:txBody>
                        <a:useSpRect/>
                      </a:txSp>
                    </a:sp>
                    <a:sp>
                      <a:nvSpPr>
                        <a:cNvPr id="9" name="Line 35"/>
                        <a:cNvSpPr>
                          <a:spLocks noChangeShapeType="1"/>
                        </a:cNvSpPr>
                      </a:nvSpPr>
                      <a:spPr bwMode="auto">
                        <a:xfrm>
                          <a:off x="4724400" y="3886200"/>
                          <a:ext cx="0" cy="11430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1" name="AutoShape 36"/>
                        <a:cNvSpPr>
                          <a:spLocks noChangeArrowheads="1"/>
                        </a:cNvSpPr>
                      </a:nvSpPr>
                      <a:spPr bwMode="auto">
                        <a:xfrm>
                          <a:off x="3505200" y="5029200"/>
                          <a:ext cx="2438400" cy="1524000"/>
                        </a:xfrm>
                        <a:prstGeom prst="diamond">
                          <a:avLst/>
                        </a:prstGeom>
                        <a:solidFill>
                          <a:srgbClr val="FFFF00"/>
                        </a:solidFill>
                        <a:ln w="9525">
                          <a:solidFill>
                            <a:srgbClr val="000000"/>
                          </a:solidFill>
                          <a:miter lim="800000"/>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endParaRPr lang="en-US" sz="1200">
                              <a:latin typeface="Times New Roman" pitchFamily="18" charset="0"/>
                            </a:endParaRPr>
                          </a:p>
                          <a:p>
                            <a:pPr algn="ctr"/>
                            <a:r>
                              <a:rPr lang="en-US" sz="1200" b="1">
                                <a:latin typeface="Times New Roman" pitchFamily="18" charset="0"/>
                              </a:rPr>
                              <a:t>Write Final Report</a:t>
                            </a:r>
                            <a:endParaRPr lang="en-US"/>
                          </a:p>
                        </a:txBody>
                        <a:useSpRect/>
                      </a:txSp>
                    </a:sp>
                    <a:sp>
                      <a:nvSpPr>
                        <a:cNvPr id="2085" name="Rectangle 37"/>
                        <a:cNvSpPr>
                          <a:spLocks noChangeArrowheads="1"/>
                        </a:cNvSpPr>
                      </a:nvSpPr>
                      <a:spPr bwMode="auto">
                        <a:xfrm>
                          <a:off x="6934200" y="990600"/>
                          <a:ext cx="1295400" cy="838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dirty="0">
                                <a:latin typeface="Times New Roman" pitchFamily="18" charset="0"/>
                              </a:rPr>
                              <a:t>Review data collected from secondary sources and LRCs</a:t>
                            </a:r>
                            <a:endParaRPr lang="en-US" dirty="0"/>
                          </a:p>
                        </a:txBody>
                        <a:useSpRect/>
                      </a:txSp>
                    </a:sp>
                    <a:sp>
                      <a:nvSpPr>
                        <a:cNvPr id="2083" name="Line 38"/>
                        <a:cNvSpPr>
                          <a:spLocks noChangeShapeType="1"/>
                        </a:cNvSpPr>
                      </a:nvSpPr>
                      <a:spPr bwMode="auto">
                        <a:xfrm>
                          <a:off x="7620000" y="1828800"/>
                          <a:ext cx="0" cy="3810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7" name="Rectangle 39"/>
                        <a:cNvSpPr>
                          <a:spLocks noChangeArrowheads="1"/>
                        </a:cNvSpPr>
                      </a:nvSpPr>
                      <a:spPr bwMode="auto">
                        <a:xfrm>
                          <a:off x="6934200" y="2209800"/>
                          <a:ext cx="1295400" cy="1219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dirty="0">
                                <a:latin typeface="Times New Roman" pitchFamily="18" charset="0"/>
                              </a:rPr>
                              <a:t>Develop survey instruments (District Supervisors and Workshop Attendees)</a:t>
                            </a:r>
                            <a:endParaRPr lang="en-US" dirty="0"/>
                          </a:p>
                        </a:txBody>
                        <a:useSpRect/>
                      </a:txSp>
                    </a:sp>
                    <a:sp>
                      <a:nvSpPr>
                        <a:cNvPr id="10" name="Line 40"/>
                        <a:cNvSpPr>
                          <a:spLocks noChangeShapeType="1"/>
                        </a:cNvSpPr>
                      </a:nvSpPr>
                      <a:spPr bwMode="auto">
                        <a:xfrm>
                          <a:off x="7620000" y="34290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89" name="Rectangle 41"/>
                        <a:cNvSpPr>
                          <a:spLocks noChangeArrowheads="1"/>
                        </a:cNvSpPr>
                      </a:nvSpPr>
                      <a:spPr bwMode="auto">
                        <a:xfrm>
                          <a:off x="6934200" y="3771900"/>
                          <a:ext cx="1295400" cy="45720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r>
                              <a:rPr lang="en-US" sz="1200" dirty="0">
                                <a:latin typeface="Times New Roman" pitchFamily="18" charset="0"/>
                              </a:rPr>
                              <a:t>Administer survey</a:t>
                            </a:r>
                            <a:endParaRPr lang="en-US" dirty="0"/>
                          </a:p>
                        </a:txBody>
                        <a:useSpRect/>
                      </a:txSp>
                    </a:sp>
                    <a:sp>
                      <a:nvSpPr>
                        <a:cNvPr id="11" name="Line 42"/>
                        <a:cNvSpPr>
                          <a:spLocks noChangeShapeType="1"/>
                        </a:cNvSpPr>
                      </a:nvSpPr>
                      <a:spPr bwMode="auto">
                        <a:xfrm>
                          <a:off x="7620000" y="4267200"/>
                          <a:ext cx="0" cy="342900"/>
                        </a:xfrm>
                        <a:prstGeom prst="line">
                          <a:avLst/>
                        </a:prstGeom>
                        <a:noFill/>
                        <a:ln w="9525">
                          <a:solidFill>
                            <a:srgbClr val="000000"/>
                          </a:solidFill>
                          <a:round/>
                          <a:headEnd/>
                          <a:tailEnd type="triangle" w="med" len="me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sp>
                      <a:nvSpPr>
                        <a:cNvPr id="2091" name="Rectangle 43"/>
                        <a:cNvSpPr>
                          <a:spLocks noChangeArrowheads="1"/>
                        </a:cNvSpPr>
                      </a:nvSpPr>
                      <a:spPr bwMode="auto">
                        <a:xfrm>
                          <a:off x="6934200" y="4610100"/>
                          <a:ext cx="1295400" cy="640080"/>
                        </a:xfrm>
                        <a:prstGeom prst="rect">
                          <a:avLst/>
                        </a:prstGeom>
                        <a:solidFill>
                          <a:srgbClr val="FFFF00"/>
                        </a:solidFill>
                        <a:ln w="9525">
                          <a:solidFill>
                            <a:srgbClr val="000000"/>
                          </a:solidFill>
                          <a:miter lim="800000"/>
                          <a:headEnd/>
                          <a:tailEnd/>
                        </a:ln>
                        <a:effectLst>
                          <a:outerShdw dist="45791" dir="3378596" algn="ctr" rotWithShape="0">
                            <a:srgbClr val="808080"/>
                          </a:outerShdw>
                        </a:effectLst>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defRPr/>
                            </a:pPr>
                            <a:endParaRPr lang="en-US" sz="1200" dirty="0" smtClean="0">
                              <a:latin typeface="Times New Roman" pitchFamily="18" charset="0"/>
                            </a:endParaRPr>
                          </a:p>
                          <a:p>
                            <a:pPr algn="ctr">
                              <a:defRPr/>
                            </a:pPr>
                            <a:r>
                              <a:rPr lang="en-US" sz="1200" dirty="0" smtClean="0">
                                <a:latin typeface="Times New Roman" pitchFamily="18" charset="0"/>
                              </a:rPr>
                              <a:t>Analyze </a:t>
                            </a:r>
                            <a:r>
                              <a:rPr lang="en-US" sz="1200" dirty="0">
                                <a:latin typeface="Times New Roman" pitchFamily="18" charset="0"/>
                              </a:rPr>
                              <a:t>data </a:t>
                            </a:r>
                            <a:endParaRPr lang="en-US" dirty="0"/>
                          </a:p>
                        </a:txBody>
                        <a:useSpRect/>
                      </a:txSp>
                    </a:sp>
                    <a:sp>
                      <a:nvSpPr>
                        <a:cNvPr id="12" name="Line 42"/>
                        <a:cNvSpPr>
                          <a:spLocks noChangeShapeType="1"/>
                        </a:cNvSpPr>
                      </a:nvSpPr>
                      <a:spPr bwMode="auto">
                        <a:xfrm>
                          <a:off x="7620000" y="5270175"/>
                          <a:ext cx="0" cy="530352"/>
                        </a:xfrm>
                        <a:prstGeom prst="line">
                          <a:avLst/>
                        </a:prstGeom>
                        <a:noFill/>
                        <a:ln w="9525">
                          <a:solidFill>
                            <a:srgbClr val="000000"/>
                          </a:solidFill>
                          <a:round/>
                          <a:headEnd/>
                          <a:tailEnd/>
                        </a:ln>
                      </a:spPr>
                      <a:txSp>
                        <a:txBody>
                          <a:bodyPr/>
                          <a:lstStyle>
                            <a:defPPr>
                              <a:defRPr lang="en-US"/>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en-US"/>
                          </a:p>
                        </a:txBody>
                        <a:useSpRect/>
                      </a:txSp>
                    </a:sp>
                    <a:cxnSp>
                      <a:nvCxnSpPr>
                        <a:cNvPr id="49" name="Straight Connector 48"/>
                        <a:cNvCxnSpPr>
                          <a:stCxn id="0" idx="1"/>
                          <a:endCxn id="0" idx="3"/>
                        </a:cNvCxnSpPr>
                      </a:nvCxnSpPr>
                      <a:spPr>
                        <a:xfrm rot="16200000" flipV="1">
                          <a:off x="6781800" y="4953001"/>
                          <a:ext cx="3175" cy="1676400"/>
                        </a:xfrm>
                        <a:prstGeom prst="line">
                          <a:avLst/>
                        </a:prstGeom>
                        <a:ln>
                          <a:solidFill>
                            <a:schemeClr val="tx1"/>
                          </a:solidFill>
                          <a:tailEnd type="triangle"/>
                        </a:ln>
                      </a:spPr>
                      <a:style>
                        <a:lnRef idx="1">
                          <a:schemeClr val="accent1"/>
                        </a:lnRef>
                        <a:fillRef idx="0">
                          <a:schemeClr val="accent1"/>
                        </a:fillRef>
                        <a:effectRef idx="0">
                          <a:schemeClr val="accent1"/>
                        </a:effectRef>
                        <a:fontRef idx="minor">
                          <a:schemeClr val="tx1"/>
                        </a:fontRef>
                      </a:style>
                    </a:cxnSp>
                  </a:grpSp>
                </lc:lockedCanvas>
              </a:graphicData>
            </a:graphic>
          </wp:inline>
        </w:drawing>
      </w:r>
    </w:p>
    <w:p w:rsidR="00746922" w:rsidRPr="003B5EDA" w:rsidRDefault="00746922" w:rsidP="003C53F4">
      <w:pPr>
        <w:pStyle w:val="HEAD3"/>
      </w:pPr>
      <w:bookmarkStart w:id="16" w:name="_Toc140898315"/>
      <w:bookmarkStart w:id="17" w:name="_Toc140898785"/>
      <w:bookmarkStart w:id="18" w:name="_Toc164484941"/>
      <w:bookmarkStart w:id="19" w:name="_Toc213670758"/>
      <w:bookmarkStart w:id="20" w:name="_Toc242167240"/>
      <w:r w:rsidRPr="00C36631">
        <w:lastRenderedPageBreak/>
        <w:t>Survey</w:t>
      </w:r>
      <w:bookmarkEnd w:id="16"/>
      <w:bookmarkEnd w:id="17"/>
      <w:bookmarkEnd w:id="18"/>
      <w:r w:rsidR="00EF2EBD" w:rsidRPr="00C36631">
        <w:t xml:space="preserve"> of LRC</w:t>
      </w:r>
      <w:r w:rsidR="00C36631" w:rsidRPr="00C36631">
        <w:t xml:space="preserve"> Project Director</w:t>
      </w:r>
      <w:r w:rsidR="00EF2EBD" w:rsidRPr="00C36631">
        <w:t>s</w:t>
      </w:r>
      <w:bookmarkEnd w:id="19"/>
      <w:bookmarkEnd w:id="20"/>
    </w:p>
    <w:p w:rsidR="000A6FE2" w:rsidRDefault="000A6FE2" w:rsidP="00746922">
      <w:pPr>
        <w:pStyle w:val="BodyTextIndent3"/>
        <w:spacing w:line="360" w:lineRule="auto"/>
        <w:ind w:left="0" w:firstLine="720"/>
        <w:rPr>
          <w:sz w:val="24"/>
          <w:szCs w:val="24"/>
        </w:rPr>
      </w:pPr>
      <w:bookmarkStart w:id="21" w:name="_Toc140490206"/>
      <w:bookmarkStart w:id="22" w:name="_Toc140490301"/>
      <w:bookmarkStart w:id="23" w:name="_Toc140491080"/>
      <w:bookmarkStart w:id="24" w:name="_Toc140898258"/>
      <w:bookmarkStart w:id="25" w:name="_Toc140898317"/>
      <w:bookmarkStart w:id="26" w:name="_Toc140898787"/>
      <w:r>
        <w:rPr>
          <w:sz w:val="24"/>
          <w:szCs w:val="24"/>
        </w:rPr>
        <w:t xml:space="preserve">AIR </w:t>
      </w:r>
      <w:r w:rsidR="00E8698A">
        <w:rPr>
          <w:sz w:val="24"/>
          <w:szCs w:val="24"/>
        </w:rPr>
        <w:t>has</w:t>
      </w:r>
      <w:r>
        <w:rPr>
          <w:sz w:val="24"/>
          <w:szCs w:val="24"/>
        </w:rPr>
        <w:t xml:space="preserve"> work</w:t>
      </w:r>
      <w:r w:rsidR="00E8698A">
        <w:rPr>
          <w:sz w:val="24"/>
          <w:szCs w:val="24"/>
        </w:rPr>
        <w:t>ed</w:t>
      </w:r>
      <w:r>
        <w:rPr>
          <w:sz w:val="24"/>
          <w:szCs w:val="24"/>
        </w:rPr>
        <w:t xml:space="preserve"> together with</w:t>
      </w:r>
      <w:r w:rsidRPr="000A6FE2">
        <w:rPr>
          <w:sz w:val="24"/>
          <w:szCs w:val="24"/>
        </w:rPr>
        <w:t xml:space="preserve"> IEPS staff</w:t>
      </w:r>
      <w:r w:rsidR="00EE5347">
        <w:rPr>
          <w:sz w:val="24"/>
          <w:szCs w:val="24"/>
        </w:rPr>
        <w:t>,</w:t>
      </w:r>
      <w:r w:rsidRPr="000A6FE2">
        <w:rPr>
          <w:sz w:val="24"/>
          <w:szCs w:val="24"/>
        </w:rPr>
        <w:t xml:space="preserve"> the </w:t>
      </w:r>
      <w:r w:rsidR="008262C8">
        <w:rPr>
          <w:sz w:val="24"/>
          <w:szCs w:val="24"/>
        </w:rPr>
        <w:t>Technical Advisory Group (</w:t>
      </w:r>
      <w:r w:rsidRPr="000A6FE2">
        <w:rPr>
          <w:sz w:val="24"/>
          <w:szCs w:val="24"/>
        </w:rPr>
        <w:t>TAG</w:t>
      </w:r>
      <w:r w:rsidR="008262C8">
        <w:rPr>
          <w:sz w:val="24"/>
          <w:szCs w:val="24"/>
        </w:rPr>
        <w:t>)</w:t>
      </w:r>
      <w:r w:rsidR="00EE5347">
        <w:rPr>
          <w:sz w:val="24"/>
          <w:szCs w:val="24"/>
        </w:rPr>
        <w:t xml:space="preserve"> and our expert consultant to </w:t>
      </w:r>
      <w:r w:rsidRPr="000A6FE2">
        <w:rPr>
          <w:sz w:val="24"/>
          <w:szCs w:val="24"/>
        </w:rPr>
        <w:t xml:space="preserve">develop a survey instrument to be administered to </w:t>
      </w:r>
      <w:r w:rsidR="00E8698A">
        <w:rPr>
          <w:sz w:val="24"/>
          <w:szCs w:val="24"/>
        </w:rPr>
        <w:t>P</w:t>
      </w:r>
      <w:r w:rsidRPr="000A6FE2">
        <w:rPr>
          <w:sz w:val="24"/>
          <w:szCs w:val="24"/>
        </w:rPr>
        <w:t xml:space="preserve">rogram </w:t>
      </w:r>
      <w:r w:rsidR="00E8698A">
        <w:rPr>
          <w:sz w:val="24"/>
          <w:szCs w:val="24"/>
        </w:rPr>
        <w:t xml:space="preserve">Directors </w:t>
      </w:r>
      <w:r w:rsidRPr="000A6FE2">
        <w:rPr>
          <w:sz w:val="24"/>
          <w:szCs w:val="24"/>
        </w:rPr>
        <w:t xml:space="preserve">at each of the 16 </w:t>
      </w:r>
      <w:r w:rsidR="00EE5347">
        <w:rPr>
          <w:sz w:val="24"/>
          <w:szCs w:val="24"/>
        </w:rPr>
        <w:t>L</w:t>
      </w:r>
      <w:r w:rsidR="00E8698A">
        <w:rPr>
          <w:sz w:val="24"/>
          <w:szCs w:val="24"/>
        </w:rPr>
        <w:t>anguage</w:t>
      </w:r>
      <w:r w:rsidR="00EE5347">
        <w:rPr>
          <w:sz w:val="24"/>
          <w:szCs w:val="24"/>
        </w:rPr>
        <w:t xml:space="preserve"> Resource </w:t>
      </w:r>
      <w:r w:rsidRPr="000A6FE2">
        <w:rPr>
          <w:sz w:val="24"/>
          <w:szCs w:val="24"/>
        </w:rPr>
        <w:t xml:space="preserve">Centers. The focal areas covered in the survey will be </w:t>
      </w:r>
      <w:r w:rsidRPr="008262C8">
        <w:rPr>
          <w:sz w:val="24"/>
          <w:szCs w:val="24"/>
        </w:rPr>
        <w:t>1)</w:t>
      </w:r>
      <w:r w:rsidR="008262C8">
        <w:rPr>
          <w:sz w:val="24"/>
          <w:szCs w:val="24"/>
        </w:rPr>
        <w:t xml:space="preserve"> the staffing, funding, and management of the Centers, 2)</w:t>
      </w:r>
      <w:r w:rsidRPr="008262C8">
        <w:rPr>
          <w:sz w:val="24"/>
          <w:szCs w:val="24"/>
        </w:rPr>
        <w:t xml:space="preserve"> the products and services created by a Center since receiving Title VI funding, </w:t>
      </w:r>
      <w:r w:rsidR="008262C8">
        <w:rPr>
          <w:sz w:val="24"/>
          <w:szCs w:val="24"/>
        </w:rPr>
        <w:t>3</w:t>
      </w:r>
      <w:r w:rsidRPr="008262C8">
        <w:rPr>
          <w:sz w:val="24"/>
          <w:szCs w:val="24"/>
        </w:rPr>
        <w:t xml:space="preserve">) a description of the performance measures used by </w:t>
      </w:r>
      <w:r w:rsidR="008262C8">
        <w:rPr>
          <w:sz w:val="24"/>
          <w:szCs w:val="24"/>
        </w:rPr>
        <w:t>Centers</w:t>
      </w:r>
      <w:r w:rsidRPr="008262C8">
        <w:rPr>
          <w:sz w:val="24"/>
          <w:szCs w:val="24"/>
        </w:rPr>
        <w:t xml:space="preserve"> to evaluate their program, </w:t>
      </w:r>
      <w:r w:rsidR="008262C8">
        <w:rPr>
          <w:sz w:val="24"/>
          <w:szCs w:val="24"/>
        </w:rPr>
        <w:t>4</w:t>
      </w:r>
      <w:r w:rsidRPr="008262C8">
        <w:rPr>
          <w:sz w:val="24"/>
          <w:szCs w:val="24"/>
        </w:rPr>
        <w:t>) the results of any evaluations conducted by the Center</w:t>
      </w:r>
      <w:r w:rsidR="008262C8">
        <w:rPr>
          <w:sz w:val="24"/>
          <w:szCs w:val="24"/>
        </w:rPr>
        <w:t>s, and 5) an assessment of the successes and challenges facing the Centers and the LRC Program as a whole</w:t>
      </w:r>
      <w:r w:rsidRPr="008262C8">
        <w:rPr>
          <w:sz w:val="24"/>
          <w:szCs w:val="24"/>
        </w:rPr>
        <w:t>.</w:t>
      </w:r>
      <w:r w:rsidRPr="000A6FE2">
        <w:rPr>
          <w:sz w:val="24"/>
          <w:szCs w:val="24"/>
        </w:rPr>
        <w:t xml:space="preserve"> The survey will combine both open-ended and close-ended questions in order to allow administrators the opportunity to </w:t>
      </w:r>
      <w:r w:rsidR="001E27C6">
        <w:rPr>
          <w:sz w:val="24"/>
          <w:szCs w:val="24"/>
        </w:rPr>
        <w:t>elaborate upon their responses.</w:t>
      </w:r>
    </w:p>
    <w:p w:rsidR="008729A4" w:rsidRDefault="00746922" w:rsidP="008729A4">
      <w:pPr>
        <w:pStyle w:val="BodyTextIndent3"/>
        <w:spacing w:line="360" w:lineRule="auto"/>
        <w:ind w:left="0" w:firstLine="720"/>
        <w:rPr>
          <w:sz w:val="24"/>
          <w:szCs w:val="24"/>
        </w:rPr>
      </w:pPr>
      <w:r w:rsidRPr="00BC470F">
        <w:rPr>
          <w:sz w:val="24"/>
          <w:szCs w:val="24"/>
        </w:rPr>
        <w:t xml:space="preserve">In addition to considering the content during survey development, it is also important to consider the length of the questionnaire.  The goal of collecting comprehensive information from </w:t>
      </w:r>
      <w:r w:rsidR="00E8698A">
        <w:rPr>
          <w:sz w:val="24"/>
          <w:szCs w:val="24"/>
        </w:rPr>
        <w:t>P</w:t>
      </w:r>
      <w:r w:rsidR="00EE5347">
        <w:rPr>
          <w:sz w:val="24"/>
          <w:szCs w:val="24"/>
        </w:rPr>
        <w:t xml:space="preserve">rogram </w:t>
      </w:r>
      <w:r w:rsidR="00E8698A">
        <w:rPr>
          <w:sz w:val="24"/>
          <w:szCs w:val="24"/>
        </w:rPr>
        <w:t>Directo</w:t>
      </w:r>
      <w:r w:rsidR="00EE5347">
        <w:rPr>
          <w:sz w:val="24"/>
          <w:szCs w:val="24"/>
        </w:rPr>
        <w:t xml:space="preserve">rs </w:t>
      </w:r>
      <w:r w:rsidRPr="00BC470F">
        <w:rPr>
          <w:sz w:val="24"/>
          <w:szCs w:val="24"/>
        </w:rPr>
        <w:t xml:space="preserve">must be balanced against the burden of completing a long questionnaire.  Through the use of skip patterns and other techniques of maximizing efficiency, we </w:t>
      </w:r>
      <w:r w:rsidR="00E8698A">
        <w:rPr>
          <w:sz w:val="24"/>
          <w:szCs w:val="24"/>
        </w:rPr>
        <w:t>have</w:t>
      </w:r>
      <w:r w:rsidRPr="00BC470F">
        <w:rPr>
          <w:sz w:val="24"/>
          <w:szCs w:val="24"/>
        </w:rPr>
        <w:t xml:space="preserve"> create</w:t>
      </w:r>
      <w:r w:rsidR="00E8698A">
        <w:rPr>
          <w:sz w:val="24"/>
          <w:szCs w:val="24"/>
        </w:rPr>
        <w:t>d</w:t>
      </w:r>
      <w:r w:rsidRPr="00BC470F">
        <w:rPr>
          <w:sz w:val="24"/>
          <w:szCs w:val="24"/>
        </w:rPr>
        <w:t xml:space="preserve"> </w:t>
      </w:r>
      <w:r>
        <w:rPr>
          <w:sz w:val="24"/>
          <w:szCs w:val="24"/>
        </w:rPr>
        <w:t xml:space="preserve">a </w:t>
      </w:r>
      <w:r w:rsidRPr="00BC470F">
        <w:rPr>
          <w:sz w:val="24"/>
          <w:szCs w:val="24"/>
        </w:rPr>
        <w:t>survey that minimize</w:t>
      </w:r>
      <w:r>
        <w:rPr>
          <w:sz w:val="24"/>
          <w:szCs w:val="24"/>
        </w:rPr>
        <w:t>s</w:t>
      </w:r>
      <w:r w:rsidRPr="00BC470F">
        <w:rPr>
          <w:sz w:val="24"/>
          <w:szCs w:val="24"/>
        </w:rPr>
        <w:t xml:space="preserve"> respondent burden </w:t>
      </w:r>
      <w:r w:rsidRPr="00867497">
        <w:rPr>
          <w:sz w:val="24"/>
          <w:szCs w:val="24"/>
        </w:rPr>
        <w:t xml:space="preserve">while still gathering valuable data.  </w:t>
      </w:r>
      <w:bookmarkStart w:id="27" w:name="_Toc140490213"/>
      <w:bookmarkStart w:id="28" w:name="_Toc140490308"/>
      <w:bookmarkStart w:id="29" w:name="_Toc140491087"/>
      <w:bookmarkStart w:id="30" w:name="_Toc140898264"/>
      <w:bookmarkStart w:id="31" w:name="_Toc140898330"/>
      <w:bookmarkStart w:id="32" w:name="_Toc140898800"/>
      <w:bookmarkStart w:id="33" w:name="_Toc164484946"/>
      <w:bookmarkEnd w:id="21"/>
      <w:bookmarkEnd w:id="22"/>
      <w:bookmarkEnd w:id="23"/>
      <w:bookmarkEnd w:id="24"/>
      <w:bookmarkEnd w:id="25"/>
      <w:bookmarkEnd w:id="26"/>
      <w:r w:rsidR="008729A4">
        <w:rPr>
          <w:sz w:val="24"/>
          <w:szCs w:val="24"/>
        </w:rPr>
        <w:t>We expect this</w:t>
      </w:r>
      <w:r w:rsidR="003F53B3">
        <w:rPr>
          <w:sz w:val="24"/>
          <w:szCs w:val="24"/>
        </w:rPr>
        <w:t xml:space="preserve"> survey to take no longer than 9</w:t>
      </w:r>
      <w:r w:rsidR="008729A4">
        <w:rPr>
          <w:sz w:val="24"/>
          <w:szCs w:val="24"/>
        </w:rPr>
        <w:t>0 minutes to administer.</w:t>
      </w:r>
    </w:p>
    <w:p w:rsidR="00746922" w:rsidRPr="00BC470F" w:rsidRDefault="008729A4" w:rsidP="008729A4">
      <w:pPr>
        <w:pStyle w:val="BodyTextIndent3"/>
        <w:spacing w:line="360" w:lineRule="auto"/>
        <w:ind w:left="0" w:firstLine="720"/>
      </w:pPr>
      <w:r>
        <w:rPr>
          <w:sz w:val="24"/>
          <w:szCs w:val="24"/>
        </w:rPr>
        <w:t>The survey of LRC Project Directors will be</w:t>
      </w:r>
      <w:r w:rsidR="00A64CAC">
        <w:rPr>
          <w:sz w:val="24"/>
          <w:szCs w:val="24"/>
        </w:rPr>
        <w:t xml:space="preserve"> disseminated</w:t>
      </w:r>
      <w:r>
        <w:rPr>
          <w:sz w:val="24"/>
          <w:szCs w:val="24"/>
        </w:rPr>
        <w:t xml:space="preserve"> via ema</w:t>
      </w:r>
      <w:r w:rsidRPr="008729A4">
        <w:rPr>
          <w:sz w:val="24"/>
          <w:szCs w:val="24"/>
        </w:rPr>
        <w:t>il</w:t>
      </w:r>
      <w:r w:rsidR="00A64CAC">
        <w:rPr>
          <w:sz w:val="24"/>
          <w:szCs w:val="24"/>
        </w:rPr>
        <w:t xml:space="preserve"> and can be filled out directly on the computer via Word</w:t>
      </w:r>
      <w:r w:rsidRPr="008729A4">
        <w:rPr>
          <w:sz w:val="24"/>
          <w:szCs w:val="24"/>
        </w:rPr>
        <w:t>.</w:t>
      </w:r>
      <w:bookmarkEnd w:id="27"/>
      <w:bookmarkEnd w:id="28"/>
      <w:bookmarkEnd w:id="29"/>
      <w:bookmarkEnd w:id="30"/>
      <w:bookmarkEnd w:id="31"/>
      <w:bookmarkEnd w:id="32"/>
      <w:bookmarkEnd w:id="33"/>
      <w:r w:rsidR="0003448B" w:rsidRPr="008729A4">
        <w:rPr>
          <w:sz w:val="24"/>
          <w:szCs w:val="24"/>
        </w:rPr>
        <w:t xml:space="preserve"> In the event that respondents do not wish to complete the surveys </w:t>
      </w:r>
      <w:r>
        <w:rPr>
          <w:sz w:val="24"/>
          <w:szCs w:val="24"/>
        </w:rPr>
        <w:t>electronically</w:t>
      </w:r>
      <w:r w:rsidR="0003448B" w:rsidRPr="008729A4">
        <w:rPr>
          <w:sz w:val="24"/>
          <w:szCs w:val="24"/>
        </w:rPr>
        <w:t>, paper copies will be provided. Because a 100 percent response rate from the 16 current and former LRCs is essential in documenting the activities of the Centers, project staff will follow-up with administrators until each survey is completed.</w:t>
      </w:r>
    </w:p>
    <w:p w:rsidR="00A56D3B" w:rsidRPr="003B5EDA" w:rsidRDefault="00A56D3B" w:rsidP="003C53F4">
      <w:pPr>
        <w:pStyle w:val="HEAD3"/>
      </w:pPr>
      <w:bookmarkStart w:id="34" w:name="_Toc213670759"/>
      <w:bookmarkStart w:id="35" w:name="_Toc242167241"/>
      <w:r w:rsidRPr="00CC0E7E">
        <w:t>Survey of Constituents</w:t>
      </w:r>
      <w:bookmarkEnd w:id="34"/>
      <w:bookmarkEnd w:id="35"/>
    </w:p>
    <w:p w:rsidR="00A56D3B" w:rsidRPr="008905A5" w:rsidRDefault="00A56D3B" w:rsidP="00A56D3B">
      <w:pPr>
        <w:pStyle w:val="BodyTextIndent3"/>
        <w:spacing w:line="360" w:lineRule="auto"/>
        <w:ind w:left="0" w:firstLine="720"/>
        <w:rPr>
          <w:sz w:val="24"/>
          <w:szCs w:val="24"/>
        </w:rPr>
      </w:pPr>
      <w:r w:rsidRPr="003B5EDA">
        <w:rPr>
          <w:sz w:val="24"/>
          <w:szCs w:val="24"/>
        </w:rPr>
        <w:t xml:space="preserve">The purpose of the survey </w:t>
      </w:r>
      <w:r w:rsidR="008729A4">
        <w:rPr>
          <w:sz w:val="24"/>
          <w:szCs w:val="24"/>
        </w:rPr>
        <w:t xml:space="preserve">of constituents </w:t>
      </w:r>
      <w:r w:rsidRPr="003B5EDA">
        <w:rPr>
          <w:sz w:val="24"/>
          <w:szCs w:val="24"/>
        </w:rPr>
        <w:t xml:space="preserve">is to gather information on the </w:t>
      </w:r>
      <w:r w:rsidR="00A64CAC">
        <w:rPr>
          <w:sz w:val="24"/>
          <w:szCs w:val="24"/>
        </w:rPr>
        <w:t xml:space="preserve">visibility and use of the products developed by the </w:t>
      </w:r>
      <w:r w:rsidR="008729A4">
        <w:rPr>
          <w:sz w:val="24"/>
          <w:szCs w:val="24"/>
        </w:rPr>
        <w:t>LRC</w:t>
      </w:r>
      <w:r w:rsidR="00A64CAC">
        <w:rPr>
          <w:sz w:val="24"/>
          <w:szCs w:val="24"/>
        </w:rPr>
        <w:t>s</w:t>
      </w:r>
      <w:r w:rsidR="008729A4">
        <w:rPr>
          <w:sz w:val="24"/>
          <w:szCs w:val="24"/>
        </w:rPr>
        <w:t>.  Specifically, the focus of the survey will be on</w:t>
      </w:r>
      <w:r>
        <w:rPr>
          <w:sz w:val="24"/>
          <w:szCs w:val="24"/>
        </w:rPr>
        <w:t xml:space="preserve"> the following topics</w:t>
      </w:r>
      <w:r w:rsidRPr="008905A5">
        <w:rPr>
          <w:sz w:val="24"/>
          <w:szCs w:val="24"/>
        </w:rPr>
        <w:t>:</w:t>
      </w:r>
    </w:p>
    <w:p w:rsidR="002B6385" w:rsidRDefault="00D60E21" w:rsidP="002C368B">
      <w:pPr>
        <w:numPr>
          <w:ilvl w:val="0"/>
          <w:numId w:val="5"/>
        </w:numPr>
        <w:tabs>
          <w:tab w:val="clear" w:pos="720"/>
          <w:tab w:val="num" w:pos="1080"/>
        </w:tabs>
        <w:spacing w:after="120"/>
        <w:ind w:left="1080"/>
        <w:rPr>
          <w:bCs/>
          <w:szCs w:val="24"/>
        </w:rPr>
      </w:pPr>
      <w:r>
        <w:rPr>
          <w:bCs/>
          <w:szCs w:val="24"/>
        </w:rPr>
        <w:t>Constituent awareness of LRC products and/or services</w:t>
      </w:r>
    </w:p>
    <w:p w:rsidR="00D60E21" w:rsidRDefault="00D60E21" w:rsidP="002C368B">
      <w:pPr>
        <w:numPr>
          <w:ilvl w:val="0"/>
          <w:numId w:val="5"/>
        </w:numPr>
        <w:tabs>
          <w:tab w:val="clear" w:pos="720"/>
          <w:tab w:val="num" w:pos="1080"/>
        </w:tabs>
        <w:spacing w:after="120"/>
        <w:ind w:left="1080"/>
        <w:rPr>
          <w:bCs/>
          <w:szCs w:val="24"/>
        </w:rPr>
      </w:pPr>
      <w:r>
        <w:rPr>
          <w:bCs/>
          <w:szCs w:val="24"/>
        </w:rPr>
        <w:t>Frequency of use of LRC products and/or services</w:t>
      </w:r>
    </w:p>
    <w:p w:rsidR="00D60E21" w:rsidRDefault="00115E9F" w:rsidP="00E075E8">
      <w:pPr>
        <w:numPr>
          <w:ilvl w:val="0"/>
          <w:numId w:val="5"/>
        </w:numPr>
        <w:tabs>
          <w:tab w:val="clear" w:pos="720"/>
          <w:tab w:val="num" w:pos="1080"/>
        </w:tabs>
        <w:spacing w:after="360"/>
        <w:ind w:left="1080"/>
        <w:rPr>
          <w:bCs/>
          <w:szCs w:val="24"/>
        </w:rPr>
      </w:pPr>
      <w:r>
        <w:rPr>
          <w:bCs/>
          <w:szCs w:val="24"/>
        </w:rPr>
        <w:t>Assessment</w:t>
      </w:r>
      <w:r w:rsidR="00D60E21">
        <w:rPr>
          <w:bCs/>
          <w:szCs w:val="24"/>
        </w:rPr>
        <w:t xml:space="preserve"> of the utility of the LRC products and/or services</w:t>
      </w:r>
    </w:p>
    <w:p w:rsidR="00EE5347" w:rsidRPr="00EE5347" w:rsidRDefault="00EE5347" w:rsidP="008729A4">
      <w:pPr>
        <w:pStyle w:val="BodyTextIndent3"/>
        <w:spacing w:line="360" w:lineRule="auto"/>
        <w:ind w:left="0" w:firstLine="720"/>
        <w:rPr>
          <w:sz w:val="24"/>
          <w:szCs w:val="24"/>
        </w:rPr>
      </w:pPr>
      <w:r w:rsidRPr="00EE5347">
        <w:rPr>
          <w:sz w:val="24"/>
          <w:szCs w:val="24"/>
        </w:rPr>
        <w:lastRenderedPageBreak/>
        <w:t xml:space="preserve">Although information about the reach of the Centers will be gathered through the review of secondary data and the survey of LRCs, the data collected during these phases is limited because it is self-reported by the LRCs. In order to fully measure the </w:t>
      </w:r>
      <w:r w:rsidR="00A64CAC">
        <w:rPr>
          <w:sz w:val="24"/>
          <w:szCs w:val="24"/>
        </w:rPr>
        <w:t>reach</w:t>
      </w:r>
      <w:r w:rsidRPr="00EE5347">
        <w:rPr>
          <w:sz w:val="24"/>
          <w:szCs w:val="24"/>
        </w:rPr>
        <w:t xml:space="preserve"> of the activities conducted by the Centers, the </w:t>
      </w:r>
      <w:r w:rsidR="00115E9F">
        <w:rPr>
          <w:sz w:val="24"/>
          <w:szCs w:val="24"/>
        </w:rPr>
        <w:t>assessment</w:t>
      </w:r>
      <w:r w:rsidRPr="00EE5347">
        <w:rPr>
          <w:sz w:val="24"/>
          <w:szCs w:val="24"/>
        </w:rPr>
        <w:t xml:space="preserve"> must look beyond the LRCs to the constituents they serve. The survey of constituents will provide </w:t>
      </w:r>
      <w:r w:rsidR="00A64CAC">
        <w:rPr>
          <w:sz w:val="24"/>
          <w:szCs w:val="24"/>
        </w:rPr>
        <w:t>data on</w:t>
      </w:r>
      <w:r w:rsidRPr="00EE5347">
        <w:rPr>
          <w:sz w:val="24"/>
          <w:szCs w:val="24"/>
        </w:rPr>
        <w:t xml:space="preserve"> the degree to which the materials created by LRCs reach their intended audience</w:t>
      </w:r>
      <w:r w:rsidR="00A64CAC">
        <w:rPr>
          <w:sz w:val="24"/>
          <w:szCs w:val="24"/>
        </w:rPr>
        <w:t>.</w:t>
      </w:r>
    </w:p>
    <w:p w:rsidR="00CC0E7E" w:rsidRDefault="00EE5347" w:rsidP="00DA5F65">
      <w:pPr>
        <w:spacing w:after="120" w:line="360" w:lineRule="auto"/>
        <w:ind w:firstLine="720"/>
        <w:rPr>
          <w:szCs w:val="24"/>
        </w:rPr>
      </w:pPr>
      <w:r w:rsidRPr="00EE5347">
        <w:rPr>
          <w:szCs w:val="24"/>
        </w:rPr>
        <w:t xml:space="preserve">We </w:t>
      </w:r>
      <w:r>
        <w:rPr>
          <w:szCs w:val="24"/>
        </w:rPr>
        <w:t>will</w:t>
      </w:r>
      <w:r w:rsidRPr="00EE5347">
        <w:rPr>
          <w:szCs w:val="24"/>
        </w:rPr>
        <w:t xml:space="preserve"> administer t</w:t>
      </w:r>
      <w:r w:rsidR="00CC0E7E">
        <w:rPr>
          <w:szCs w:val="24"/>
        </w:rPr>
        <w:t xml:space="preserve">wo separate versions of the </w:t>
      </w:r>
      <w:r w:rsidRPr="00EE5347">
        <w:rPr>
          <w:szCs w:val="24"/>
        </w:rPr>
        <w:t>constituent survey</w:t>
      </w:r>
      <w:r w:rsidR="00CC0E7E">
        <w:rPr>
          <w:szCs w:val="24"/>
        </w:rPr>
        <w:t xml:space="preserve">:  one to district supervisors who belong to the National Association of District Supervisors of Foreign Languages (NADSFL), and another to participants at LRC </w:t>
      </w:r>
      <w:r w:rsidR="003F53B3">
        <w:rPr>
          <w:szCs w:val="24"/>
        </w:rPr>
        <w:t>S</w:t>
      </w:r>
      <w:r w:rsidR="00CC0E7E">
        <w:rPr>
          <w:szCs w:val="24"/>
        </w:rPr>
        <w:t xml:space="preserve">ummer workshops that focus on the postsecondary level.  </w:t>
      </w:r>
      <w:r w:rsidR="00A64CAC">
        <w:rPr>
          <w:szCs w:val="24"/>
        </w:rPr>
        <w:t xml:space="preserve">These two groups have been </w:t>
      </w:r>
      <w:r w:rsidR="00115E9F">
        <w:rPr>
          <w:szCs w:val="24"/>
        </w:rPr>
        <w:t>selected</w:t>
      </w:r>
      <w:r w:rsidR="00A64CAC">
        <w:rPr>
          <w:szCs w:val="24"/>
        </w:rPr>
        <w:t xml:space="preserve"> by the TAG has the key users of LRC products and services.  </w:t>
      </w:r>
      <w:r w:rsidR="00CC0E7E">
        <w:rPr>
          <w:szCs w:val="24"/>
        </w:rPr>
        <w:t xml:space="preserve">While many of the questions will overlap, two separate survey instruments will be developed for each constituent group.  The purpose of surveying these two separate groups is to gather data on </w:t>
      </w:r>
      <w:r w:rsidR="00A64CAC">
        <w:rPr>
          <w:szCs w:val="24"/>
        </w:rPr>
        <w:t xml:space="preserve">the use of </w:t>
      </w:r>
      <w:r w:rsidR="00CC0E7E">
        <w:rPr>
          <w:szCs w:val="24"/>
        </w:rPr>
        <w:t xml:space="preserve">LRC </w:t>
      </w:r>
      <w:r w:rsidR="00A64CAC">
        <w:rPr>
          <w:szCs w:val="24"/>
        </w:rPr>
        <w:t>products</w:t>
      </w:r>
      <w:r w:rsidR="00CC0E7E">
        <w:rPr>
          <w:szCs w:val="24"/>
        </w:rPr>
        <w:t xml:space="preserve"> at both the K-12 and postsecondary levels.  Focusing on one without the other would miss a critical component of the LRC’s mandate.</w:t>
      </w:r>
    </w:p>
    <w:p w:rsidR="00CC0E7E" w:rsidRPr="00CC0E7E" w:rsidRDefault="00CC0E7E" w:rsidP="00E075E8">
      <w:pPr>
        <w:pStyle w:val="Head4"/>
        <w:rPr>
          <w:rFonts w:hint="eastAsia"/>
        </w:rPr>
      </w:pPr>
      <w:bookmarkStart w:id="36" w:name="_Toc213670760"/>
      <w:bookmarkStart w:id="37" w:name="_Toc242167242"/>
      <w:r w:rsidRPr="00CC0E7E">
        <w:t xml:space="preserve">Constituent Survey for NADSFL </w:t>
      </w:r>
      <w:r w:rsidR="00705C6A">
        <w:t>M</w:t>
      </w:r>
      <w:r w:rsidRPr="00CC0E7E">
        <w:t>embers</w:t>
      </w:r>
      <w:bookmarkEnd w:id="36"/>
      <w:bookmarkEnd w:id="37"/>
    </w:p>
    <w:p w:rsidR="00CC0E7E" w:rsidRDefault="00CC0E7E" w:rsidP="00DA5F65">
      <w:pPr>
        <w:spacing w:after="120" w:line="360" w:lineRule="auto"/>
        <w:ind w:firstLine="720"/>
        <w:rPr>
          <w:szCs w:val="24"/>
        </w:rPr>
      </w:pPr>
      <w:r>
        <w:rPr>
          <w:szCs w:val="24"/>
        </w:rPr>
        <w:t xml:space="preserve">NADSFL consists of approximately 300 members who are foreign language supervisors across a range of school districts in the United States.  They are a key target audience for LRC </w:t>
      </w:r>
      <w:r w:rsidR="00A64CAC">
        <w:rPr>
          <w:szCs w:val="24"/>
        </w:rPr>
        <w:t>in that they are the folks who make decision about which products to use for teaching foreign languages in their district.</w:t>
      </w:r>
      <w:r>
        <w:rPr>
          <w:szCs w:val="24"/>
        </w:rPr>
        <w:t xml:space="preserve">  AIR plans to administer the constituent survey to all </w:t>
      </w:r>
      <w:r w:rsidR="00A64CAC">
        <w:rPr>
          <w:szCs w:val="24"/>
        </w:rPr>
        <w:t xml:space="preserve">individuals who are </w:t>
      </w:r>
      <w:r>
        <w:rPr>
          <w:szCs w:val="24"/>
        </w:rPr>
        <w:t>members of NADSFL</w:t>
      </w:r>
      <w:r w:rsidR="003140A9">
        <w:rPr>
          <w:szCs w:val="24"/>
        </w:rPr>
        <w:t xml:space="preserve"> </w:t>
      </w:r>
      <w:r w:rsidR="00A64CAC">
        <w:rPr>
          <w:szCs w:val="24"/>
        </w:rPr>
        <w:t xml:space="preserve">during </w:t>
      </w:r>
      <w:r w:rsidR="003140A9">
        <w:rPr>
          <w:szCs w:val="24"/>
        </w:rPr>
        <w:t xml:space="preserve">the 2009 calendar year.  The survey will be administered </w:t>
      </w:r>
      <w:r w:rsidR="00A64CAC">
        <w:rPr>
          <w:szCs w:val="24"/>
        </w:rPr>
        <w:t>via the web using Survey Gizmo</w:t>
      </w:r>
      <w:r w:rsidR="003140A9">
        <w:rPr>
          <w:szCs w:val="24"/>
        </w:rPr>
        <w:t xml:space="preserve">, with an option to fill it out via paper and pencil.  </w:t>
      </w:r>
      <w:bookmarkStart w:id="38" w:name="OLE_LINK1"/>
      <w:bookmarkStart w:id="39" w:name="OLE_LINK2"/>
      <w:r w:rsidR="003140A9">
        <w:rPr>
          <w:szCs w:val="24"/>
        </w:rPr>
        <w:t>To minimize respondent burden while maximizing the response rate, we anticipate the survey of const</w:t>
      </w:r>
      <w:r w:rsidR="003F53B3">
        <w:rPr>
          <w:szCs w:val="24"/>
        </w:rPr>
        <w:t xml:space="preserve">ituents to take no longer than </w:t>
      </w:r>
      <w:r w:rsidR="00A64CAC">
        <w:rPr>
          <w:szCs w:val="24"/>
        </w:rPr>
        <w:t>3</w:t>
      </w:r>
      <w:r w:rsidR="003140A9">
        <w:rPr>
          <w:szCs w:val="24"/>
        </w:rPr>
        <w:t>0 minutes to complete.</w:t>
      </w:r>
    </w:p>
    <w:p w:rsidR="00705C6A" w:rsidRPr="00CC0E7E" w:rsidRDefault="00705C6A" w:rsidP="00E075E8">
      <w:pPr>
        <w:pStyle w:val="Head4"/>
        <w:rPr>
          <w:rFonts w:hint="eastAsia"/>
        </w:rPr>
      </w:pPr>
      <w:bookmarkStart w:id="40" w:name="_Toc213670761"/>
      <w:bookmarkStart w:id="41" w:name="_Toc242167243"/>
      <w:bookmarkEnd w:id="38"/>
      <w:bookmarkEnd w:id="39"/>
      <w:r w:rsidRPr="00CC0E7E">
        <w:t xml:space="preserve">Constituent Survey for </w:t>
      </w:r>
      <w:r>
        <w:t>Postsecondary Summer Workshop Participants</w:t>
      </w:r>
      <w:bookmarkEnd w:id="40"/>
      <w:bookmarkEnd w:id="41"/>
    </w:p>
    <w:p w:rsidR="00705C6A" w:rsidRDefault="00705C6A" w:rsidP="00D53574">
      <w:pPr>
        <w:spacing w:after="120" w:line="360" w:lineRule="auto"/>
        <w:ind w:firstLine="720"/>
        <w:rPr>
          <w:szCs w:val="24"/>
        </w:rPr>
      </w:pPr>
      <w:r>
        <w:rPr>
          <w:szCs w:val="24"/>
        </w:rPr>
        <w:t xml:space="preserve">While the survey of NADSFL members is essential in gathering data on the </w:t>
      </w:r>
      <w:r w:rsidR="00A64CAC">
        <w:rPr>
          <w:szCs w:val="24"/>
        </w:rPr>
        <w:t>reach and use</w:t>
      </w:r>
      <w:r>
        <w:rPr>
          <w:szCs w:val="24"/>
        </w:rPr>
        <w:t xml:space="preserve"> of LRC products, it is nevertheless limited because members of NADSFL focus only on the K-12 level of instruction.  Many of the LRC products are </w:t>
      </w:r>
      <w:r w:rsidR="008262C8">
        <w:rPr>
          <w:szCs w:val="24"/>
        </w:rPr>
        <w:t xml:space="preserve">targeted </w:t>
      </w:r>
      <w:r>
        <w:rPr>
          <w:szCs w:val="24"/>
        </w:rPr>
        <w:t xml:space="preserve">to the postsecondary level and to </w:t>
      </w:r>
      <w:r>
        <w:rPr>
          <w:szCs w:val="24"/>
        </w:rPr>
        <w:lastRenderedPageBreak/>
        <w:t>gather data on those products, we must reach constituents who work in postsecondary institutions.  This is the purpose of this second constituent survey.</w:t>
      </w:r>
    </w:p>
    <w:p w:rsidR="0085630A" w:rsidRDefault="00705C6A" w:rsidP="0085630A">
      <w:pPr>
        <w:spacing w:after="120" w:line="360" w:lineRule="auto"/>
        <w:ind w:firstLine="720"/>
        <w:rPr>
          <w:szCs w:val="24"/>
        </w:rPr>
      </w:pPr>
      <w:r>
        <w:rPr>
          <w:szCs w:val="24"/>
        </w:rPr>
        <w:t xml:space="preserve">Specifically, as part of this survey we will gather data from </w:t>
      </w:r>
      <w:r w:rsidR="00A64CAC">
        <w:rPr>
          <w:szCs w:val="24"/>
        </w:rPr>
        <w:t>the universe</w:t>
      </w:r>
      <w:r>
        <w:rPr>
          <w:szCs w:val="24"/>
        </w:rPr>
        <w:t xml:space="preserve"> of</w:t>
      </w:r>
      <w:r w:rsidR="008262C8">
        <w:rPr>
          <w:szCs w:val="24"/>
        </w:rPr>
        <w:t xml:space="preserve"> postsecondary</w:t>
      </w:r>
      <w:r>
        <w:rPr>
          <w:szCs w:val="24"/>
        </w:rPr>
        <w:t xml:space="preserve"> </w:t>
      </w:r>
      <w:r w:rsidR="003F53B3">
        <w:rPr>
          <w:szCs w:val="24"/>
        </w:rPr>
        <w:t>S</w:t>
      </w:r>
      <w:r>
        <w:rPr>
          <w:szCs w:val="24"/>
        </w:rPr>
        <w:t>ummer workshop attendees</w:t>
      </w:r>
      <w:r w:rsidR="00A64CAC">
        <w:rPr>
          <w:szCs w:val="24"/>
        </w:rPr>
        <w:t xml:space="preserve"> for the year 2009</w:t>
      </w:r>
      <w:r w:rsidR="008262C8">
        <w:rPr>
          <w:szCs w:val="24"/>
        </w:rPr>
        <w:t>.</w:t>
      </w:r>
      <w:r>
        <w:rPr>
          <w:szCs w:val="24"/>
        </w:rPr>
        <w:t xml:space="preserve">  </w:t>
      </w:r>
      <w:r w:rsidR="0085630A">
        <w:rPr>
          <w:szCs w:val="24"/>
        </w:rPr>
        <w:t xml:space="preserve">As with the NADSFL survey, the questions will focus on the participants’ </w:t>
      </w:r>
      <w:r w:rsidR="00823194">
        <w:rPr>
          <w:szCs w:val="24"/>
        </w:rPr>
        <w:t>awareness</w:t>
      </w:r>
      <w:r w:rsidR="0085630A">
        <w:rPr>
          <w:szCs w:val="24"/>
        </w:rPr>
        <w:t xml:space="preserve"> and </w:t>
      </w:r>
      <w:r w:rsidR="00823194">
        <w:rPr>
          <w:szCs w:val="24"/>
        </w:rPr>
        <w:t>use</w:t>
      </w:r>
      <w:r w:rsidR="0085630A">
        <w:rPr>
          <w:szCs w:val="24"/>
        </w:rPr>
        <w:t xml:space="preserve"> of the </w:t>
      </w:r>
      <w:r w:rsidR="00823194">
        <w:rPr>
          <w:szCs w:val="24"/>
        </w:rPr>
        <w:t>LRC</w:t>
      </w:r>
      <w:r w:rsidR="0085630A">
        <w:rPr>
          <w:szCs w:val="24"/>
        </w:rPr>
        <w:t>s</w:t>
      </w:r>
      <w:r w:rsidR="00823194">
        <w:rPr>
          <w:szCs w:val="24"/>
        </w:rPr>
        <w:t xml:space="preserve"> products</w:t>
      </w:r>
      <w:r w:rsidR="0085630A">
        <w:rPr>
          <w:szCs w:val="24"/>
        </w:rPr>
        <w:t xml:space="preserve"> (beyond those from the workshop)</w:t>
      </w:r>
      <w:r w:rsidR="00823194">
        <w:rPr>
          <w:szCs w:val="24"/>
        </w:rPr>
        <w:t xml:space="preserve">.  We anticipate that approximately </w:t>
      </w:r>
      <w:r w:rsidR="0085630A">
        <w:rPr>
          <w:szCs w:val="24"/>
        </w:rPr>
        <w:t>2</w:t>
      </w:r>
      <w:r w:rsidR="00823194">
        <w:rPr>
          <w:szCs w:val="24"/>
        </w:rPr>
        <w:t>00 participants will be surveyed</w:t>
      </w:r>
      <w:r w:rsidR="0085630A">
        <w:rPr>
          <w:szCs w:val="24"/>
        </w:rPr>
        <w:t xml:space="preserve"> via the web using Survey Gizmo, with an option to fill it out via paper and pencil.  To minimize respondent burden while maximizing the response rate, we anticipate the survey of constituents to take no longer than 30 minutes to complete.</w:t>
      </w:r>
    </w:p>
    <w:p w:rsidR="00746922" w:rsidRDefault="00746922" w:rsidP="00746922">
      <w:pPr>
        <w:pStyle w:val="HEAD1"/>
        <w:rPr>
          <w:rFonts w:hint="eastAsia"/>
        </w:rPr>
      </w:pPr>
      <w:r>
        <w:br w:type="page"/>
      </w:r>
      <w:bookmarkStart w:id="42" w:name="_Toc475634008"/>
      <w:bookmarkStart w:id="43" w:name="_Toc77066348"/>
      <w:bookmarkStart w:id="44" w:name="_Toc164484948"/>
      <w:bookmarkStart w:id="45" w:name="_Toc213670762"/>
      <w:bookmarkStart w:id="46" w:name="_Toc242167244"/>
      <w:r>
        <w:lastRenderedPageBreak/>
        <w:t>Supporting Statement for Paperwork Reduction Act</w:t>
      </w:r>
      <w:bookmarkEnd w:id="42"/>
      <w:bookmarkEnd w:id="43"/>
      <w:bookmarkEnd w:id="44"/>
      <w:bookmarkEnd w:id="45"/>
      <w:bookmarkEnd w:id="46"/>
    </w:p>
    <w:p w:rsidR="00746922" w:rsidRPr="008D62D0" w:rsidRDefault="00746922" w:rsidP="00286A93">
      <w:pPr>
        <w:pStyle w:val="HEAD-2"/>
      </w:pPr>
      <w:bookmarkStart w:id="47" w:name="_Toc164484949"/>
      <w:bookmarkStart w:id="48" w:name="_Toc242167245"/>
      <w:r w:rsidRPr="008D62D0">
        <w:t>A. Justification</w:t>
      </w:r>
      <w:bookmarkEnd w:id="47"/>
      <w:bookmarkEnd w:id="48"/>
    </w:p>
    <w:p w:rsidR="00746922" w:rsidRPr="008D62D0" w:rsidRDefault="00746922" w:rsidP="00746922"/>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w:t>
      </w:r>
      <w:r w:rsidRPr="00EE7AE8">
        <w:rPr>
          <w:i/>
          <w:sz w:val="26"/>
          <w:szCs w:val="26"/>
        </w:rPr>
        <w:tab/>
        <w:t>Circumstances making collection of information necessary</w:t>
      </w:r>
    </w:p>
    <w:p w:rsidR="001E040B" w:rsidRDefault="001E040B" w:rsidP="00631958">
      <w:pPr>
        <w:spacing w:after="240" w:line="360" w:lineRule="auto"/>
        <w:ind w:left="547"/>
        <w:rPr>
          <w:szCs w:val="24"/>
        </w:rPr>
      </w:pPr>
      <w:r w:rsidRPr="001E040B">
        <w:rPr>
          <w:szCs w:val="24"/>
        </w:rPr>
        <w:t xml:space="preserve">In establishing the Language Resource Centers (LRC) Program as part of the reauthorization of the Title VI Higher Education Act in 1986, Congress acknowledged the critical need to strengthen foreign language instruction in the </w:t>
      </w:r>
      <w:smartTag w:uri="urn:schemas-microsoft-com:office:smarttags" w:element="country-region">
        <w:smartTag w:uri="urn:schemas-microsoft-com:office:smarttags" w:element="place">
          <w:r w:rsidRPr="001E040B">
            <w:rPr>
              <w:szCs w:val="24"/>
            </w:rPr>
            <w:t>United States</w:t>
          </w:r>
        </w:smartTag>
      </w:smartTag>
      <w:r w:rsidRPr="001E040B">
        <w:rPr>
          <w:szCs w:val="24"/>
        </w:rPr>
        <w:t xml:space="preserve">. As with the original authorization of the Act in 1958—which was in response to world events that challenged assumptions about the preparedness of the United States to compete with other nations—the LRC Program was designed to ensure that American students gained the skills necessary to communicate across borders. Twenty-two years after the authorization of the Program, the need to train students in foreign languages in order to compete in the global marketplace is more essential than ever. In a world in which the military, economic, and environmental security of the </w:t>
      </w:r>
      <w:smartTag w:uri="urn:schemas-microsoft-com:office:smarttags" w:element="place">
        <w:smartTag w:uri="urn:schemas-microsoft-com:office:smarttags" w:element="country-region">
          <w:r w:rsidRPr="001E040B">
            <w:rPr>
              <w:szCs w:val="24"/>
            </w:rPr>
            <w:t>United States</w:t>
          </w:r>
        </w:smartTag>
      </w:smartTag>
      <w:r w:rsidRPr="001E040B">
        <w:rPr>
          <w:szCs w:val="24"/>
        </w:rPr>
        <w:t xml:space="preserve"> are closely intertwined with other nations, it is imperative that American students are proficient in the multitude of languages spoken around the globe.</w:t>
      </w:r>
    </w:p>
    <w:p w:rsidR="001E040B" w:rsidRPr="001E040B" w:rsidRDefault="001E040B" w:rsidP="003C53F4">
      <w:pPr>
        <w:spacing w:line="360" w:lineRule="auto"/>
        <w:ind w:left="547"/>
        <w:rPr>
          <w:szCs w:val="24"/>
        </w:rPr>
      </w:pPr>
      <w:r w:rsidRPr="001E040B">
        <w:rPr>
          <w:szCs w:val="24"/>
        </w:rPr>
        <w:t>Since the first LRC competition in 1990, the Program has made great strides in bolstering the foreign language capacity of the United States. As noted in the recent report from the National Academy of Sciences (NAS) reviewing the Title VI and Fulbright-Hays programs, instruction in less commonly taught languages has increased and numerous teaching materials have been developed for use in a variety of educational settings.</w:t>
      </w:r>
      <w:r w:rsidRPr="001E040B">
        <w:rPr>
          <w:rStyle w:val="FootnoteReference"/>
          <w:szCs w:val="24"/>
        </w:rPr>
        <w:footnoteReference w:id="2"/>
      </w:r>
      <w:r w:rsidRPr="001E040B">
        <w:rPr>
          <w:szCs w:val="24"/>
        </w:rPr>
        <w:t xml:space="preserve">  The NAS noted, however, that the 14 Title VI programs, including the Language Resource Centers, had yet to comprehensively </w:t>
      </w:r>
      <w:r w:rsidR="00115E9F">
        <w:rPr>
          <w:szCs w:val="24"/>
        </w:rPr>
        <w:t>assess</w:t>
      </w:r>
      <w:r w:rsidRPr="001E040B">
        <w:rPr>
          <w:szCs w:val="24"/>
        </w:rPr>
        <w:t xml:space="preserve"> the degree to which the projects funded under the statute had demonstrated an effect on international education and foreign language </w:t>
      </w:r>
      <w:r w:rsidRPr="001E040B">
        <w:rPr>
          <w:szCs w:val="24"/>
        </w:rPr>
        <w:lastRenderedPageBreak/>
        <w:t xml:space="preserve">instruction in the United States. Consequently, the level of preparedness of </w:t>
      </w:r>
      <w:smartTag w:uri="urn:schemas-microsoft-com:office:smarttags" w:element="country-region">
        <w:smartTag w:uri="urn:schemas-microsoft-com:office:smarttags" w:element="place">
          <w:r w:rsidRPr="001E040B">
            <w:rPr>
              <w:szCs w:val="24"/>
            </w:rPr>
            <w:t>U.S.</w:t>
          </w:r>
        </w:smartTag>
      </w:smartTag>
      <w:r w:rsidRPr="001E040B">
        <w:rPr>
          <w:szCs w:val="24"/>
        </w:rPr>
        <w:t xml:space="preserve"> students to compete globally remains unclear.</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2.</w:t>
      </w:r>
      <w:r w:rsidRPr="00EE7AE8">
        <w:rPr>
          <w:i/>
          <w:sz w:val="26"/>
          <w:szCs w:val="26"/>
        </w:rPr>
        <w:tab/>
        <w:t>Purposes and uses of the data</w:t>
      </w:r>
    </w:p>
    <w:p w:rsidR="00B137ED" w:rsidRDefault="00A91264" w:rsidP="00631958">
      <w:pPr>
        <w:spacing w:line="360" w:lineRule="auto"/>
        <w:ind w:left="547"/>
        <w:rPr>
          <w:szCs w:val="24"/>
        </w:rPr>
      </w:pPr>
      <w:r>
        <w:rPr>
          <w:szCs w:val="24"/>
        </w:rPr>
        <w:t>T</w:t>
      </w:r>
      <w:r w:rsidRPr="00A91264">
        <w:rPr>
          <w:szCs w:val="24"/>
        </w:rPr>
        <w:t>he American Institutes for Research (AIR) is conduct</w:t>
      </w:r>
      <w:r>
        <w:rPr>
          <w:szCs w:val="24"/>
        </w:rPr>
        <w:t xml:space="preserve">ing an </w:t>
      </w:r>
      <w:r w:rsidR="00115E9F">
        <w:rPr>
          <w:szCs w:val="24"/>
        </w:rPr>
        <w:t>assessment</w:t>
      </w:r>
      <w:r w:rsidRPr="00A91264">
        <w:rPr>
          <w:szCs w:val="24"/>
        </w:rPr>
        <w:t xml:space="preserve"> of the Lan</w:t>
      </w:r>
      <w:r>
        <w:rPr>
          <w:szCs w:val="24"/>
        </w:rPr>
        <w:t xml:space="preserve">guage Resource Centers Program.  </w:t>
      </w:r>
      <w:r w:rsidR="00B137ED">
        <w:rPr>
          <w:szCs w:val="24"/>
        </w:rPr>
        <w:t xml:space="preserve">The data will be used to document the implementation of </w:t>
      </w:r>
      <w:r w:rsidR="00B137ED" w:rsidRPr="00A91264">
        <w:rPr>
          <w:szCs w:val="24"/>
        </w:rPr>
        <w:t xml:space="preserve">individual </w:t>
      </w:r>
      <w:r w:rsidR="00B137ED">
        <w:rPr>
          <w:szCs w:val="24"/>
        </w:rPr>
        <w:t xml:space="preserve">projects </w:t>
      </w:r>
      <w:r w:rsidR="00B137ED" w:rsidRPr="00A91264">
        <w:rPr>
          <w:szCs w:val="24"/>
        </w:rPr>
        <w:t xml:space="preserve">as well as of the </w:t>
      </w:r>
      <w:r w:rsidR="00B137ED">
        <w:rPr>
          <w:szCs w:val="24"/>
        </w:rPr>
        <w:t>p</w:t>
      </w:r>
      <w:r w:rsidR="00B137ED" w:rsidRPr="00A91264">
        <w:rPr>
          <w:szCs w:val="24"/>
        </w:rPr>
        <w:t>rogram collectively</w:t>
      </w:r>
      <w:r w:rsidR="00B137ED">
        <w:rPr>
          <w:szCs w:val="24"/>
        </w:rPr>
        <w:t xml:space="preserve"> and to inform future studies looking at long-term impact</w:t>
      </w:r>
      <w:r w:rsidR="00B137ED" w:rsidRPr="00A91264">
        <w:rPr>
          <w:szCs w:val="24"/>
        </w:rPr>
        <w:t>.</w:t>
      </w:r>
      <w:r w:rsidR="00B137ED">
        <w:rPr>
          <w:szCs w:val="24"/>
        </w:rPr>
        <w:t xml:space="preserve">  T</w:t>
      </w:r>
      <w:r w:rsidR="00B137ED" w:rsidRPr="00A91264">
        <w:rPr>
          <w:szCs w:val="24"/>
        </w:rPr>
        <w:t xml:space="preserve">he results from the study can be used to </w:t>
      </w:r>
      <w:r w:rsidR="00B137ED">
        <w:rPr>
          <w:szCs w:val="24"/>
        </w:rPr>
        <w:t>learn what is being accomplished by the LRC Program and to inform program improvement in the future.</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A10FC9">
        <w:rPr>
          <w:i/>
          <w:sz w:val="26"/>
          <w:szCs w:val="26"/>
        </w:rPr>
        <w:t>3.</w:t>
      </w:r>
      <w:r w:rsidRPr="00EE7AE8">
        <w:rPr>
          <w:i/>
          <w:sz w:val="26"/>
          <w:szCs w:val="26"/>
        </w:rPr>
        <w:tab/>
        <w:t>Use of technology to reduce burden</w:t>
      </w:r>
    </w:p>
    <w:p w:rsidR="00B137ED" w:rsidRDefault="00B137ED" w:rsidP="00B137ED">
      <w:pPr>
        <w:spacing w:line="360" w:lineRule="auto"/>
        <w:ind w:left="540"/>
        <w:rPr>
          <w:szCs w:val="24"/>
        </w:rPr>
      </w:pPr>
      <w:r w:rsidRPr="00A10FC9">
        <w:rPr>
          <w:szCs w:val="24"/>
        </w:rPr>
        <w:t xml:space="preserve">The </w:t>
      </w:r>
      <w:r>
        <w:rPr>
          <w:szCs w:val="24"/>
        </w:rPr>
        <w:t xml:space="preserve">two constituent </w:t>
      </w:r>
      <w:r w:rsidRPr="00A10FC9">
        <w:rPr>
          <w:szCs w:val="24"/>
        </w:rPr>
        <w:t xml:space="preserve">surveys </w:t>
      </w:r>
      <w:r>
        <w:rPr>
          <w:szCs w:val="24"/>
        </w:rPr>
        <w:t xml:space="preserve">will be administered via the web through Survey Gizmo.  </w:t>
      </w:r>
      <w:r w:rsidR="00B72BB3">
        <w:rPr>
          <w:szCs w:val="24"/>
        </w:rPr>
        <w:t xml:space="preserve">The use of multiple skip patterns seamlessly integrated through the on-line survey will greatly reduce burden on respondents by only presenting them with the questions relevant to them.  </w:t>
      </w:r>
      <w:r>
        <w:rPr>
          <w:szCs w:val="24"/>
        </w:rPr>
        <w:t>The project director survey will be disseminated via email and can be filled out directly on a computer in Word (given the small number of respondents, the cost of developing a web version of this survey does not make sense).  All respondents will have the option to request the survey in hard copy format.</w:t>
      </w:r>
      <w:r w:rsidR="00371461">
        <w:rPr>
          <w:szCs w:val="24"/>
        </w:rPr>
        <w:t xml:space="preserve">  The survey website for the web-based surveys will be password protected.</w:t>
      </w:r>
    </w:p>
    <w:p w:rsidR="007C6422" w:rsidRPr="00160690" w:rsidRDefault="007C6422" w:rsidP="00160690">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4.</w:t>
      </w:r>
      <w:r w:rsidRPr="00EE7AE8">
        <w:rPr>
          <w:i/>
          <w:sz w:val="26"/>
          <w:szCs w:val="26"/>
        </w:rPr>
        <w:tab/>
        <w:t>Efforts to identify duplication</w:t>
      </w:r>
    </w:p>
    <w:p w:rsidR="00746922" w:rsidRPr="001A4215" w:rsidRDefault="00746922" w:rsidP="00746922">
      <w:pPr>
        <w:spacing w:line="360" w:lineRule="auto"/>
        <w:ind w:left="547"/>
        <w:rPr>
          <w:szCs w:val="24"/>
        </w:rPr>
      </w:pPr>
      <w:r w:rsidRPr="00087FC5">
        <w:rPr>
          <w:szCs w:val="24"/>
        </w:rPr>
        <w:t xml:space="preserve">The </w:t>
      </w:r>
      <w:r w:rsidR="00115E9F">
        <w:rPr>
          <w:szCs w:val="24"/>
        </w:rPr>
        <w:t>assessment</w:t>
      </w:r>
      <w:r w:rsidRPr="00087FC5">
        <w:rPr>
          <w:szCs w:val="24"/>
        </w:rPr>
        <w:t xml:space="preserve"> of </w:t>
      </w:r>
      <w:r w:rsidR="005A1BC5" w:rsidRPr="00087FC5">
        <w:rPr>
          <w:szCs w:val="24"/>
        </w:rPr>
        <w:t>the L</w:t>
      </w:r>
      <w:r w:rsidR="007C6422">
        <w:rPr>
          <w:szCs w:val="24"/>
        </w:rPr>
        <w:t>anguage</w:t>
      </w:r>
      <w:r w:rsidR="005A1BC5" w:rsidRPr="00087FC5">
        <w:rPr>
          <w:szCs w:val="24"/>
        </w:rPr>
        <w:t xml:space="preserve"> Resource Center</w:t>
      </w:r>
      <w:r w:rsidR="00367360">
        <w:rPr>
          <w:szCs w:val="24"/>
        </w:rPr>
        <w:t>s</w:t>
      </w:r>
      <w:r w:rsidR="005A1BC5" w:rsidRPr="00087FC5">
        <w:rPr>
          <w:szCs w:val="24"/>
        </w:rPr>
        <w:t xml:space="preserve"> </w:t>
      </w:r>
      <w:r w:rsidRPr="00087FC5">
        <w:rPr>
          <w:szCs w:val="24"/>
        </w:rPr>
        <w:t xml:space="preserve">Program represents </w:t>
      </w:r>
      <w:r w:rsidR="005A1BC5" w:rsidRPr="00087FC5">
        <w:rPr>
          <w:szCs w:val="24"/>
        </w:rPr>
        <w:t>IEPS</w:t>
      </w:r>
      <w:r w:rsidRPr="00087FC5">
        <w:rPr>
          <w:szCs w:val="24"/>
        </w:rPr>
        <w:t xml:space="preserve">’s only study currently underway that is aimed at compiling data on each </w:t>
      </w:r>
      <w:r w:rsidR="005A1BC5" w:rsidRPr="00087FC5">
        <w:rPr>
          <w:szCs w:val="24"/>
        </w:rPr>
        <w:t>LRC program</w:t>
      </w:r>
      <w:r w:rsidRPr="00087FC5">
        <w:rPr>
          <w:szCs w:val="24"/>
        </w:rPr>
        <w:t xml:space="preserve"> to promote </w:t>
      </w:r>
      <w:r w:rsidR="005A1BC5" w:rsidRPr="00087FC5">
        <w:rPr>
          <w:szCs w:val="24"/>
        </w:rPr>
        <w:t>foreign language education</w:t>
      </w:r>
      <w:r w:rsidRPr="00087FC5">
        <w:rPr>
          <w:szCs w:val="24"/>
        </w:rPr>
        <w:t xml:space="preserve">.  </w:t>
      </w:r>
      <w:r w:rsidR="005A1BC5" w:rsidRPr="00087FC5">
        <w:rPr>
          <w:szCs w:val="24"/>
        </w:rPr>
        <w:t xml:space="preserve">IEPS has not conducted any program </w:t>
      </w:r>
      <w:r w:rsidR="00115E9F">
        <w:rPr>
          <w:szCs w:val="24"/>
        </w:rPr>
        <w:t>assessment</w:t>
      </w:r>
      <w:r w:rsidR="005A1BC5" w:rsidRPr="00087FC5">
        <w:rPr>
          <w:szCs w:val="24"/>
        </w:rPr>
        <w:t xml:space="preserve"> since the start of the program.  </w:t>
      </w:r>
      <w:r w:rsidRPr="00087FC5">
        <w:rPr>
          <w:szCs w:val="24"/>
        </w:rPr>
        <w:t xml:space="preserve">Thus </w:t>
      </w:r>
      <w:r w:rsidR="007C6422">
        <w:rPr>
          <w:szCs w:val="24"/>
        </w:rPr>
        <w:t>no duplication will result as</w:t>
      </w:r>
      <w:r w:rsidRPr="00087FC5">
        <w:rPr>
          <w:szCs w:val="24"/>
        </w:rPr>
        <w:t xml:space="preserve"> part of the study.</w:t>
      </w:r>
      <w:r>
        <w:rPr>
          <w:szCs w:val="24"/>
        </w:rPr>
        <w:t xml:space="preserve"> </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5.</w:t>
      </w:r>
      <w:r w:rsidRPr="00EE7AE8">
        <w:rPr>
          <w:i/>
          <w:sz w:val="26"/>
          <w:szCs w:val="26"/>
        </w:rPr>
        <w:tab/>
        <w:t>Methods to minimize burden on small entities</w:t>
      </w:r>
    </w:p>
    <w:p w:rsidR="00746922" w:rsidRDefault="00746922" w:rsidP="007C6422">
      <w:pPr>
        <w:tabs>
          <w:tab w:val="left" w:pos="540"/>
        </w:tabs>
        <w:spacing w:line="360" w:lineRule="auto"/>
        <w:ind w:left="547"/>
        <w:rPr>
          <w:szCs w:val="24"/>
        </w:rPr>
      </w:pPr>
      <w:r w:rsidRPr="00087FC5">
        <w:rPr>
          <w:szCs w:val="24"/>
        </w:rPr>
        <w:t xml:space="preserve">No small businesses or entities will be involved as respondents.  </w:t>
      </w:r>
    </w:p>
    <w:p w:rsidR="007C6422" w:rsidRPr="00160690" w:rsidRDefault="007C6422" w:rsidP="00160690">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lastRenderedPageBreak/>
        <w:t>6.</w:t>
      </w:r>
      <w:r w:rsidRPr="00EE7AE8">
        <w:rPr>
          <w:i/>
          <w:sz w:val="26"/>
          <w:szCs w:val="26"/>
        </w:rPr>
        <w:tab/>
        <w:t>Consequences of not collecting the data</w:t>
      </w:r>
    </w:p>
    <w:p w:rsidR="00B137ED" w:rsidRDefault="000B15F2" w:rsidP="00B137ED">
      <w:pPr>
        <w:spacing w:line="360" w:lineRule="auto"/>
        <w:ind w:left="547"/>
        <w:rPr>
          <w:szCs w:val="24"/>
        </w:rPr>
      </w:pPr>
      <w:r w:rsidRPr="008262C8">
        <w:rPr>
          <w:szCs w:val="24"/>
        </w:rPr>
        <w:t xml:space="preserve">The Language Resource Centers Program </w:t>
      </w:r>
      <w:r w:rsidR="00B50895" w:rsidRPr="008262C8">
        <w:rPr>
          <w:szCs w:val="24"/>
        </w:rPr>
        <w:t xml:space="preserve">is a government funded program.  Since </w:t>
      </w:r>
      <w:r w:rsidR="007C6422" w:rsidRPr="008262C8">
        <w:rPr>
          <w:szCs w:val="24"/>
        </w:rPr>
        <w:t>it has n</w:t>
      </w:r>
      <w:r w:rsidR="00B50895" w:rsidRPr="008262C8">
        <w:rPr>
          <w:szCs w:val="24"/>
        </w:rPr>
        <w:t>ot been evaluated</w:t>
      </w:r>
      <w:r w:rsidR="007C6422" w:rsidRPr="008262C8">
        <w:rPr>
          <w:szCs w:val="24"/>
        </w:rPr>
        <w:t xml:space="preserve"> previously</w:t>
      </w:r>
      <w:r w:rsidR="00B50895" w:rsidRPr="008262C8">
        <w:rPr>
          <w:szCs w:val="24"/>
        </w:rPr>
        <w:t xml:space="preserve">, the IEPS does not know </w:t>
      </w:r>
      <w:r w:rsidR="00B137ED">
        <w:rPr>
          <w:szCs w:val="24"/>
        </w:rPr>
        <w:t>how well it operates</w:t>
      </w:r>
      <w:r w:rsidR="00B137ED" w:rsidRPr="008262C8">
        <w:rPr>
          <w:szCs w:val="24"/>
        </w:rPr>
        <w:t>.</w:t>
      </w:r>
      <w:r w:rsidR="00B137ED">
        <w:rPr>
          <w:szCs w:val="24"/>
        </w:rPr>
        <w:t xml:space="preserve">  The consequences of not collecting the data will result in having no information on the implementation of the program.  Without the data collected as part of this </w:t>
      </w:r>
      <w:r w:rsidR="00115E9F">
        <w:rPr>
          <w:szCs w:val="24"/>
        </w:rPr>
        <w:t>study</w:t>
      </w:r>
      <w:r w:rsidR="00B137ED">
        <w:rPr>
          <w:szCs w:val="24"/>
        </w:rPr>
        <w:t>, IEPS will be unable to identify steps for ensuring that the LRC program meets the foreign language needs of the United States.</w:t>
      </w:r>
    </w:p>
    <w:p w:rsidR="00746922" w:rsidRPr="00160690" w:rsidRDefault="00746922" w:rsidP="00631958">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7.</w:t>
      </w:r>
      <w:r w:rsidRPr="00EE7AE8">
        <w:rPr>
          <w:i/>
          <w:sz w:val="26"/>
          <w:szCs w:val="26"/>
        </w:rPr>
        <w:tab/>
        <w:t>Special circumstances</w:t>
      </w:r>
    </w:p>
    <w:p w:rsidR="00746922" w:rsidRPr="004645F3" w:rsidRDefault="00746922" w:rsidP="00746922">
      <w:pPr>
        <w:spacing w:line="360" w:lineRule="auto"/>
        <w:ind w:left="547"/>
        <w:rPr>
          <w:szCs w:val="24"/>
        </w:rPr>
      </w:pPr>
      <w:r w:rsidRPr="004645F3">
        <w:rPr>
          <w:szCs w:val="24"/>
        </w:rPr>
        <w:t>No special circumstances apply to this study.</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8.</w:t>
      </w:r>
      <w:r w:rsidRPr="00EE7AE8">
        <w:rPr>
          <w:i/>
          <w:sz w:val="26"/>
          <w:szCs w:val="26"/>
        </w:rPr>
        <w:tab/>
        <w:t>Adherence to 5CFR 1320.8 guidelines and consultation outside the agency</w:t>
      </w:r>
    </w:p>
    <w:p w:rsidR="00746922" w:rsidRPr="004645F3" w:rsidRDefault="00746922" w:rsidP="00746922">
      <w:pPr>
        <w:spacing w:line="360" w:lineRule="auto"/>
        <w:ind w:left="547"/>
        <w:rPr>
          <w:szCs w:val="24"/>
        </w:rPr>
      </w:pPr>
      <w:r w:rsidRPr="004645F3">
        <w:rPr>
          <w:szCs w:val="24"/>
        </w:rPr>
        <w:t xml:space="preserve">This study was listed in the Federal Register.  </w:t>
      </w:r>
    </w:p>
    <w:p w:rsidR="00746922" w:rsidRPr="00160690" w:rsidRDefault="00746922" w:rsidP="00746922">
      <w:pPr>
        <w:ind w:left="540"/>
        <w:rPr>
          <w:sz w:val="18"/>
          <w:szCs w:val="18"/>
        </w:rPr>
      </w:pPr>
    </w:p>
    <w:p w:rsidR="00B137ED" w:rsidRDefault="00746922" w:rsidP="00B137ED">
      <w:pPr>
        <w:spacing w:line="360" w:lineRule="auto"/>
        <w:ind w:left="547"/>
        <w:rPr>
          <w:szCs w:val="24"/>
        </w:rPr>
      </w:pPr>
      <w:r w:rsidRPr="004645F3">
        <w:rPr>
          <w:szCs w:val="24"/>
        </w:rPr>
        <w:t xml:space="preserve">To assist with the development of the </w:t>
      </w:r>
      <w:r w:rsidR="00115E9F">
        <w:rPr>
          <w:szCs w:val="24"/>
        </w:rPr>
        <w:t>study</w:t>
      </w:r>
      <w:r w:rsidRPr="004645F3">
        <w:rPr>
          <w:szCs w:val="24"/>
        </w:rPr>
        <w:t xml:space="preserve"> of </w:t>
      </w:r>
      <w:r w:rsidR="008B6616">
        <w:rPr>
          <w:szCs w:val="24"/>
        </w:rPr>
        <w:t xml:space="preserve">the </w:t>
      </w:r>
      <w:r w:rsidR="00EB7C77" w:rsidRPr="004645F3">
        <w:rPr>
          <w:szCs w:val="24"/>
        </w:rPr>
        <w:t>L</w:t>
      </w:r>
      <w:r w:rsidR="008B6616">
        <w:rPr>
          <w:szCs w:val="24"/>
        </w:rPr>
        <w:t>anguage</w:t>
      </w:r>
      <w:r w:rsidR="00EB7C77" w:rsidRPr="004645F3">
        <w:rPr>
          <w:szCs w:val="24"/>
        </w:rPr>
        <w:t xml:space="preserve"> Resource Center</w:t>
      </w:r>
      <w:r w:rsidRPr="004645F3">
        <w:rPr>
          <w:szCs w:val="24"/>
        </w:rPr>
        <w:t xml:space="preserve"> Program </w:t>
      </w:r>
      <w:r w:rsidR="00B137ED">
        <w:rPr>
          <w:szCs w:val="24"/>
        </w:rPr>
        <w:t>and the drafting and vetting of the surveys</w:t>
      </w:r>
      <w:r w:rsidR="00B137ED" w:rsidRPr="004645F3">
        <w:rPr>
          <w:szCs w:val="24"/>
        </w:rPr>
        <w:t>, project</w:t>
      </w:r>
      <w:r w:rsidR="00B137ED">
        <w:rPr>
          <w:szCs w:val="24"/>
        </w:rPr>
        <w:t xml:space="preserve"> </w:t>
      </w:r>
      <w:r w:rsidR="00B137ED" w:rsidRPr="004645F3">
        <w:rPr>
          <w:szCs w:val="24"/>
        </w:rPr>
        <w:t>staff ha</w:t>
      </w:r>
      <w:r w:rsidR="00B137ED">
        <w:rPr>
          <w:szCs w:val="24"/>
        </w:rPr>
        <w:t>s</w:t>
      </w:r>
      <w:r w:rsidR="00B137ED" w:rsidRPr="004645F3">
        <w:rPr>
          <w:szCs w:val="24"/>
        </w:rPr>
        <w:t xml:space="preserve"> drawn on the </w:t>
      </w:r>
      <w:r w:rsidR="00B137ED">
        <w:rPr>
          <w:szCs w:val="24"/>
        </w:rPr>
        <w:t xml:space="preserve">input of several outside experts who are world-renowned in the fields of foreign languages and area studies. </w:t>
      </w:r>
    </w:p>
    <w:p w:rsidR="00974DE7" w:rsidRPr="00160690" w:rsidRDefault="00974DE7" w:rsidP="00160690">
      <w:pPr>
        <w:ind w:left="540"/>
        <w:rPr>
          <w:sz w:val="18"/>
          <w:szCs w:val="18"/>
        </w:rPr>
      </w:pPr>
    </w:p>
    <w:p w:rsidR="00A27FD0" w:rsidRDefault="00A27FD0" w:rsidP="00A27FD0">
      <w:pPr>
        <w:spacing w:line="360" w:lineRule="auto"/>
        <w:ind w:left="547"/>
        <w:rPr>
          <w:szCs w:val="24"/>
        </w:rPr>
      </w:pPr>
      <w:r w:rsidRPr="004645F3">
        <w:rPr>
          <w:szCs w:val="24"/>
        </w:rPr>
        <w:t xml:space="preserve">The </w:t>
      </w:r>
      <w:r>
        <w:rPr>
          <w:szCs w:val="24"/>
        </w:rPr>
        <w:t xml:space="preserve">members for the </w:t>
      </w:r>
      <w:r w:rsidR="008B6616">
        <w:rPr>
          <w:szCs w:val="24"/>
        </w:rPr>
        <w:t>T</w:t>
      </w:r>
      <w:r>
        <w:rPr>
          <w:szCs w:val="24"/>
        </w:rPr>
        <w:t xml:space="preserve">echnical </w:t>
      </w:r>
      <w:r w:rsidR="008B6616">
        <w:rPr>
          <w:szCs w:val="24"/>
        </w:rPr>
        <w:t>A</w:t>
      </w:r>
      <w:r>
        <w:rPr>
          <w:szCs w:val="24"/>
        </w:rPr>
        <w:t xml:space="preserve">dvisory </w:t>
      </w:r>
      <w:r w:rsidR="008B6616">
        <w:rPr>
          <w:szCs w:val="24"/>
        </w:rPr>
        <w:t>G</w:t>
      </w:r>
      <w:r>
        <w:rPr>
          <w:szCs w:val="24"/>
        </w:rPr>
        <w:t>roup (TAG)</w:t>
      </w:r>
      <w:r w:rsidRPr="004645F3">
        <w:rPr>
          <w:szCs w:val="24"/>
        </w:rPr>
        <w:t xml:space="preserve"> are as follows:</w:t>
      </w:r>
    </w:p>
    <w:p w:rsidR="00A27FD0" w:rsidRPr="00113BA8" w:rsidRDefault="00A27FD0" w:rsidP="00113BA8">
      <w:pPr>
        <w:pStyle w:val="ListParagraph"/>
        <w:numPr>
          <w:ilvl w:val="0"/>
          <w:numId w:val="23"/>
        </w:numPr>
        <w:spacing w:line="360" w:lineRule="auto"/>
        <w:rPr>
          <w:szCs w:val="24"/>
        </w:rPr>
      </w:pPr>
      <w:r w:rsidRPr="00113BA8">
        <w:rPr>
          <w:szCs w:val="24"/>
        </w:rPr>
        <w:t>Nina Garrett – Former Director of the Yale University Center for Language Study</w:t>
      </w:r>
    </w:p>
    <w:p w:rsidR="00A27FD0" w:rsidRPr="00113BA8" w:rsidRDefault="00A27FD0" w:rsidP="00113BA8">
      <w:pPr>
        <w:pStyle w:val="ListParagraph"/>
        <w:numPr>
          <w:ilvl w:val="0"/>
          <w:numId w:val="23"/>
        </w:numPr>
        <w:spacing w:line="360" w:lineRule="auto"/>
        <w:rPr>
          <w:szCs w:val="24"/>
        </w:rPr>
      </w:pPr>
      <w:r w:rsidRPr="00113BA8">
        <w:rPr>
          <w:szCs w:val="24"/>
        </w:rPr>
        <w:t>Paul Sandrock – Assistant Director for the Content and Learning Team at the Wisconsin Department of Public Instruction</w:t>
      </w:r>
    </w:p>
    <w:p w:rsidR="00A27FD0" w:rsidRPr="00113BA8" w:rsidRDefault="00A27FD0" w:rsidP="00113BA8">
      <w:pPr>
        <w:pStyle w:val="ListParagraph"/>
        <w:numPr>
          <w:ilvl w:val="0"/>
          <w:numId w:val="23"/>
        </w:numPr>
        <w:spacing w:line="360" w:lineRule="auto"/>
        <w:rPr>
          <w:szCs w:val="24"/>
        </w:rPr>
      </w:pPr>
      <w:r w:rsidRPr="00113BA8">
        <w:rPr>
          <w:szCs w:val="24"/>
        </w:rPr>
        <w:t xml:space="preserve">Richard Tucker – </w:t>
      </w:r>
      <w:r w:rsidR="008B6616" w:rsidRPr="00113BA8">
        <w:rPr>
          <w:szCs w:val="24"/>
        </w:rPr>
        <w:t>P</w:t>
      </w:r>
      <w:r w:rsidRPr="00113BA8">
        <w:rPr>
          <w:szCs w:val="24"/>
        </w:rPr>
        <w:t>rofessor in Applied Linguistics in the Department of Modern Languages at Carnegie Mellon University</w:t>
      </w:r>
    </w:p>
    <w:p w:rsidR="00A27FD0" w:rsidRPr="00160690" w:rsidRDefault="00A27FD0" w:rsidP="00160690">
      <w:pPr>
        <w:ind w:left="540"/>
        <w:rPr>
          <w:sz w:val="18"/>
          <w:szCs w:val="18"/>
        </w:rPr>
      </w:pPr>
    </w:p>
    <w:p w:rsidR="00A96F55" w:rsidRDefault="00746922" w:rsidP="00A27FD0">
      <w:pPr>
        <w:spacing w:line="360" w:lineRule="auto"/>
        <w:ind w:left="547"/>
        <w:rPr>
          <w:szCs w:val="24"/>
        </w:rPr>
      </w:pPr>
      <w:r w:rsidRPr="004645F3">
        <w:rPr>
          <w:szCs w:val="24"/>
        </w:rPr>
        <w:t>The consultant</w:t>
      </w:r>
      <w:r w:rsidR="00A669D2">
        <w:rPr>
          <w:szCs w:val="24"/>
        </w:rPr>
        <w:t xml:space="preserve"> is </w:t>
      </w:r>
      <w:r w:rsidRPr="004645F3">
        <w:rPr>
          <w:szCs w:val="24"/>
        </w:rPr>
        <w:t>as follows:</w:t>
      </w:r>
    </w:p>
    <w:p w:rsidR="00A27FD0" w:rsidRPr="00113BA8" w:rsidRDefault="00A27FD0" w:rsidP="00113BA8">
      <w:pPr>
        <w:pStyle w:val="ListParagraph"/>
        <w:numPr>
          <w:ilvl w:val="0"/>
          <w:numId w:val="25"/>
        </w:numPr>
        <w:spacing w:line="360" w:lineRule="auto"/>
        <w:rPr>
          <w:szCs w:val="24"/>
        </w:rPr>
      </w:pPr>
      <w:r w:rsidRPr="00113BA8">
        <w:rPr>
          <w:szCs w:val="24"/>
        </w:rPr>
        <w:t>Scott McGinnis –</w:t>
      </w:r>
      <w:r w:rsidR="00A669D2" w:rsidRPr="00113BA8">
        <w:rPr>
          <w:szCs w:val="24"/>
        </w:rPr>
        <w:t xml:space="preserve"> </w:t>
      </w:r>
      <w:r w:rsidRPr="00113BA8">
        <w:rPr>
          <w:szCs w:val="24"/>
        </w:rPr>
        <w:t>expert in foreign language instruction and pedagogy</w:t>
      </w:r>
      <w:r w:rsidR="008B6616" w:rsidRPr="00113BA8">
        <w:rPr>
          <w:szCs w:val="24"/>
        </w:rPr>
        <w:t xml:space="preserve"> and currently </w:t>
      </w:r>
      <w:r w:rsidR="00036C02" w:rsidRPr="00113BA8">
        <w:rPr>
          <w:szCs w:val="24"/>
        </w:rPr>
        <w:t>Academic Advisor and Professor at the Defense Language Institute.</w:t>
      </w:r>
    </w:p>
    <w:p w:rsidR="00746922" w:rsidRPr="00160690" w:rsidRDefault="00746922" w:rsidP="00746922">
      <w:pPr>
        <w:ind w:left="540"/>
        <w:rPr>
          <w:sz w:val="18"/>
          <w:szCs w:val="18"/>
        </w:rPr>
      </w:pPr>
    </w:p>
    <w:p w:rsidR="00746922" w:rsidRPr="004645F3" w:rsidRDefault="00746922" w:rsidP="00746922">
      <w:pPr>
        <w:spacing w:line="360" w:lineRule="auto"/>
        <w:ind w:left="547"/>
        <w:rPr>
          <w:szCs w:val="24"/>
        </w:rPr>
      </w:pPr>
      <w:r w:rsidRPr="004645F3">
        <w:rPr>
          <w:szCs w:val="24"/>
        </w:rPr>
        <w:t>Project staff will use outside experts for consultation on an as-needed basis</w:t>
      </w:r>
      <w:r w:rsidR="00B137ED">
        <w:rPr>
          <w:szCs w:val="24"/>
        </w:rPr>
        <w:t xml:space="preserve"> throughout the study</w:t>
      </w:r>
      <w:r w:rsidRPr="004645F3">
        <w:rPr>
          <w:szCs w:val="24"/>
        </w:rPr>
        <w:t xml:space="preserve">.  </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lastRenderedPageBreak/>
        <w:t>9.</w:t>
      </w:r>
      <w:r w:rsidRPr="00EE7AE8">
        <w:rPr>
          <w:i/>
          <w:sz w:val="26"/>
          <w:szCs w:val="26"/>
        </w:rPr>
        <w:tab/>
        <w:t>Payment or gifts</w:t>
      </w:r>
    </w:p>
    <w:p w:rsidR="00746922" w:rsidRPr="001A4215" w:rsidRDefault="00746922" w:rsidP="00746922">
      <w:pPr>
        <w:spacing w:line="360" w:lineRule="auto"/>
        <w:ind w:left="547"/>
        <w:rPr>
          <w:szCs w:val="24"/>
        </w:rPr>
      </w:pPr>
      <w:r w:rsidRPr="00B87023">
        <w:rPr>
          <w:szCs w:val="24"/>
        </w:rPr>
        <w:t>No payments or gifts will be use</w:t>
      </w:r>
      <w:r w:rsidR="00117946">
        <w:rPr>
          <w:szCs w:val="24"/>
        </w:rPr>
        <w:t>d</w:t>
      </w:r>
      <w:r w:rsidRPr="00B87023">
        <w:rPr>
          <w:szCs w:val="24"/>
        </w:rPr>
        <w:t xml:space="preserve"> over the course of this study.</w:t>
      </w:r>
    </w:p>
    <w:p w:rsidR="00746922" w:rsidRDefault="00746922" w:rsidP="00746922">
      <w:pPr>
        <w:rPr>
          <w:color w:val="0000FF"/>
          <w:szCs w:val="22"/>
        </w:rPr>
      </w:pPr>
    </w:p>
    <w:p w:rsidR="007A6498" w:rsidRPr="008D62D0" w:rsidRDefault="007A6498" w:rsidP="00746922">
      <w:pPr>
        <w:rPr>
          <w:color w:val="0000FF"/>
          <w:szCs w:val="22"/>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10.</w:t>
      </w:r>
      <w:r w:rsidRPr="00EE7AE8">
        <w:rPr>
          <w:i/>
          <w:sz w:val="26"/>
          <w:szCs w:val="26"/>
        </w:rPr>
        <w:tab/>
        <w:t>Assurances of confidentiality</w:t>
      </w:r>
    </w:p>
    <w:p w:rsidR="00746922" w:rsidRPr="001A4215" w:rsidRDefault="00746922" w:rsidP="00746922">
      <w:pPr>
        <w:spacing w:line="360" w:lineRule="auto"/>
        <w:ind w:left="547"/>
        <w:rPr>
          <w:szCs w:val="24"/>
        </w:rPr>
      </w:pPr>
      <w:r w:rsidRPr="00B87023">
        <w:rPr>
          <w:szCs w:val="24"/>
        </w:rPr>
        <w:t xml:space="preserve">AIR research staff will be trained to keep </w:t>
      </w:r>
      <w:smartTag w:uri="urn:schemas-microsoft-com:office:smarttags" w:element="PlaceName">
        <w:r w:rsidRPr="00B87023">
          <w:rPr>
            <w:szCs w:val="24"/>
          </w:rPr>
          <w:t>al</w:t>
        </w:r>
      </w:smartTag>
      <w:r w:rsidRPr="00B87023">
        <w:rPr>
          <w:szCs w:val="24"/>
        </w:rPr>
        <w:t>l names and any other identifying information completely confidenti</w:t>
      </w:r>
      <w:smartTag w:uri="urn:schemas-microsoft-com:office:smarttags" w:element="PlaceName">
        <w:r w:rsidRPr="00B87023">
          <w:rPr>
            <w:szCs w:val="24"/>
          </w:rPr>
          <w:t>al</w:t>
        </w:r>
      </w:smartTag>
      <w:r w:rsidRPr="00B87023">
        <w:rPr>
          <w:szCs w:val="24"/>
        </w:rPr>
        <w:t>, and to omit this information while recording information from the surveys. Caution will be exercised in limiting data access to authorized project staff and those who have been instructed in the confidenti</w:t>
      </w:r>
      <w:smartTag w:uri="urn:schemas-microsoft-com:office:smarttags" w:element="PlaceName">
        <w:r w:rsidRPr="00B87023">
          <w:rPr>
            <w:szCs w:val="24"/>
          </w:rPr>
          <w:t>al</w:t>
        </w:r>
      </w:smartTag>
      <w:r w:rsidRPr="00B87023">
        <w:rPr>
          <w:szCs w:val="24"/>
        </w:rPr>
        <w:t>ity requirements of the study. The data will contain no information that could be used to identify subjects other than that which is publicly available</w:t>
      </w:r>
      <w:r w:rsidR="00B87023" w:rsidRPr="00B87023">
        <w:rPr>
          <w:szCs w:val="24"/>
        </w:rPr>
        <w:t xml:space="preserve">.  </w:t>
      </w:r>
      <w:r w:rsidRPr="00B87023">
        <w:rPr>
          <w:szCs w:val="24"/>
        </w:rPr>
        <w:t xml:space="preserve">No individual identifying information will appear in any of our reports. All materials will be stripped of </w:t>
      </w:r>
      <w:smartTag w:uri="urn:schemas-microsoft-com:office:smarttags" w:element="PlaceName">
        <w:r w:rsidRPr="00B87023">
          <w:rPr>
            <w:szCs w:val="24"/>
          </w:rPr>
          <w:t>al</w:t>
        </w:r>
      </w:smartTag>
      <w:r w:rsidRPr="00B87023">
        <w:rPr>
          <w:szCs w:val="24"/>
        </w:rPr>
        <w:t>l individu</w:t>
      </w:r>
      <w:smartTag w:uri="urn:schemas-microsoft-com:office:smarttags" w:element="PlaceName">
        <w:r w:rsidRPr="00B87023">
          <w:rPr>
            <w:szCs w:val="24"/>
          </w:rPr>
          <w:t>al</w:t>
        </w:r>
      </w:smartTag>
      <w:r w:rsidRPr="00B87023">
        <w:rPr>
          <w:szCs w:val="24"/>
        </w:rPr>
        <w:t>ly identifiable information to further protect respondent confidentiality.</w:t>
      </w:r>
      <w:r w:rsidRPr="001A4215">
        <w:rPr>
          <w:szCs w:val="24"/>
        </w:rPr>
        <w:t xml:space="preserve">  </w:t>
      </w:r>
    </w:p>
    <w:p w:rsidR="00746922" w:rsidRPr="00160690" w:rsidRDefault="00746922" w:rsidP="00746922">
      <w:pPr>
        <w:pStyle w:val="BodyTextIndent"/>
        <w:ind w:firstLine="0"/>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11.</w:t>
      </w:r>
      <w:r w:rsidRPr="00EE7AE8">
        <w:rPr>
          <w:i/>
          <w:sz w:val="26"/>
          <w:szCs w:val="26"/>
        </w:rPr>
        <w:tab/>
        <w:t>Justification of sensitive questions</w:t>
      </w:r>
    </w:p>
    <w:p w:rsidR="00746922" w:rsidRPr="001A4215" w:rsidRDefault="00746922" w:rsidP="00746922">
      <w:pPr>
        <w:spacing w:line="360" w:lineRule="auto"/>
        <w:ind w:left="547"/>
        <w:rPr>
          <w:szCs w:val="24"/>
        </w:rPr>
      </w:pPr>
      <w:r w:rsidRPr="00B87023">
        <w:rPr>
          <w:szCs w:val="24"/>
        </w:rPr>
        <w:t xml:space="preserve">No questions of a sensitive nature will be included in this study. Respondents are reporting on </w:t>
      </w:r>
      <w:r w:rsidR="008B6616">
        <w:rPr>
          <w:szCs w:val="24"/>
        </w:rPr>
        <w:t>program</w:t>
      </w:r>
      <w:r w:rsidRPr="00B87023">
        <w:rPr>
          <w:szCs w:val="24"/>
        </w:rPr>
        <w:t>-level activities only.</w:t>
      </w:r>
      <w:r w:rsidRPr="001A4215">
        <w:rPr>
          <w:szCs w:val="24"/>
        </w:rPr>
        <w:t xml:space="preserve"> </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12.</w:t>
      </w:r>
      <w:r w:rsidRPr="00EE7AE8">
        <w:rPr>
          <w:i/>
          <w:sz w:val="26"/>
          <w:szCs w:val="26"/>
        </w:rPr>
        <w:tab/>
        <w:t>Estimates of hour burden</w:t>
      </w:r>
    </w:p>
    <w:p w:rsidR="00373F26" w:rsidRDefault="008A3B5C" w:rsidP="00EA6FC2">
      <w:pPr>
        <w:tabs>
          <w:tab w:val="left" w:pos="540"/>
        </w:tabs>
        <w:spacing w:line="360" w:lineRule="auto"/>
        <w:ind w:left="547"/>
        <w:rPr>
          <w:szCs w:val="24"/>
        </w:rPr>
      </w:pPr>
      <w:r>
        <w:rPr>
          <w:szCs w:val="24"/>
        </w:rPr>
        <w:t xml:space="preserve">The total estimated hour burden for the entire study is </w:t>
      </w:r>
      <w:r w:rsidR="00B137ED">
        <w:rPr>
          <w:szCs w:val="24"/>
        </w:rPr>
        <w:t>236.5</w:t>
      </w:r>
      <w:r>
        <w:rPr>
          <w:szCs w:val="24"/>
        </w:rPr>
        <w:t xml:space="preserve"> hours (or </w:t>
      </w:r>
      <w:r w:rsidR="00B137ED">
        <w:rPr>
          <w:szCs w:val="24"/>
        </w:rPr>
        <w:t>14</w:t>
      </w:r>
      <w:r w:rsidR="00D73D0C">
        <w:rPr>
          <w:szCs w:val="24"/>
        </w:rPr>
        <w:t>1</w:t>
      </w:r>
      <w:r w:rsidR="00B137ED">
        <w:rPr>
          <w:szCs w:val="24"/>
        </w:rPr>
        <w:t>9</w:t>
      </w:r>
      <w:r>
        <w:rPr>
          <w:szCs w:val="24"/>
        </w:rPr>
        <w:t xml:space="preserve">0 minutes).  The </w:t>
      </w:r>
      <w:r w:rsidR="00373F26">
        <w:rPr>
          <w:szCs w:val="24"/>
        </w:rPr>
        <w:t>hourly burden breakdown is as follows:</w:t>
      </w:r>
    </w:p>
    <w:p w:rsidR="00373F26" w:rsidRDefault="00373F26" w:rsidP="00D73D0C">
      <w:pPr>
        <w:numPr>
          <w:ilvl w:val="0"/>
          <w:numId w:val="22"/>
        </w:numPr>
        <w:tabs>
          <w:tab w:val="left" w:pos="540"/>
        </w:tabs>
        <w:spacing w:line="360" w:lineRule="auto"/>
        <w:rPr>
          <w:szCs w:val="24"/>
        </w:rPr>
      </w:pPr>
      <w:r>
        <w:rPr>
          <w:szCs w:val="24"/>
        </w:rPr>
        <w:t>LRC Project Director survey:  16 respondents * 90 minutes per survey</w:t>
      </w:r>
      <w:r w:rsidR="00D73D0C">
        <w:rPr>
          <w:szCs w:val="24"/>
        </w:rPr>
        <w:t xml:space="preserve"> * 100% response rate </w:t>
      </w:r>
      <w:r>
        <w:rPr>
          <w:szCs w:val="24"/>
        </w:rPr>
        <w:t>= 1440 minutes.</w:t>
      </w:r>
    </w:p>
    <w:p w:rsidR="00746922" w:rsidRDefault="00373F26" w:rsidP="00D73D0C">
      <w:pPr>
        <w:numPr>
          <w:ilvl w:val="0"/>
          <w:numId w:val="22"/>
        </w:numPr>
        <w:tabs>
          <w:tab w:val="left" w:pos="540"/>
        </w:tabs>
        <w:spacing w:line="360" w:lineRule="auto"/>
        <w:rPr>
          <w:szCs w:val="24"/>
        </w:rPr>
      </w:pPr>
      <w:r>
        <w:rPr>
          <w:szCs w:val="24"/>
        </w:rPr>
        <w:t xml:space="preserve">NADSFL constituents survey:  300 respondents * </w:t>
      </w:r>
      <w:r w:rsidR="00D73D0C">
        <w:rPr>
          <w:szCs w:val="24"/>
        </w:rPr>
        <w:t>3</w:t>
      </w:r>
      <w:r>
        <w:rPr>
          <w:szCs w:val="24"/>
        </w:rPr>
        <w:t xml:space="preserve">0 minutes per survey </w:t>
      </w:r>
      <w:r w:rsidR="00D73D0C">
        <w:rPr>
          <w:szCs w:val="24"/>
        </w:rPr>
        <w:t xml:space="preserve">* 85% response rate </w:t>
      </w:r>
      <w:r>
        <w:rPr>
          <w:szCs w:val="24"/>
        </w:rPr>
        <w:t xml:space="preserve">= </w:t>
      </w:r>
      <w:r w:rsidR="00D73D0C">
        <w:rPr>
          <w:szCs w:val="24"/>
        </w:rPr>
        <w:t>7650</w:t>
      </w:r>
      <w:r>
        <w:rPr>
          <w:szCs w:val="24"/>
        </w:rPr>
        <w:t xml:space="preserve"> minutes.</w:t>
      </w:r>
    </w:p>
    <w:p w:rsidR="00373F26" w:rsidRDefault="00373F26" w:rsidP="00D73D0C">
      <w:pPr>
        <w:numPr>
          <w:ilvl w:val="0"/>
          <w:numId w:val="22"/>
        </w:numPr>
        <w:tabs>
          <w:tab w:val="left" w:pos="540"/>
        </w:tabs>
        <w:spacing w:line="360" w:lineRule="auto"/>
        <w:rPr>
          <w:szCs w:val="24"/>
        </w:rPr>
      </w:pPr>
      <w:r>
        <w:rPr>
          <w:szCs w:val="24"/>
        </w:rPr>
        <w:t xml:space="preserve">Summer workshop participants survey:  </w:t>
      </w:r>
      <w:r w:rsidR="00B137ED">
        <w:rPr>
          <w:szCs w:val="24"/>
        </w:rPr>
        <w:t>2</w:t>
      </w:r>
      <w:r>
        <w:rPr>
          <w:szCs w:val="24"/>
        </w:rPr>
        <w:t xml:space="preserve">00 respondents * </w:t>
      </w:r>
      <w:r w:rsidR="00D73D0C">
        <w:rPr>
          <w:szCs w:val="24"/>
        </w:rPr>
        <w:t>3</w:t>
      </w:r>
      <w:r>
        <w:rPr>
          <w:szCs w:val="24"/>
        </w:rPr>
        <w:t>0 minutes per survey</w:t>
      </w:r>
      <w:r w:rsidR="00D73D0C">
        <w:rPr>
          <w:szCs w:val="24"/>
        </w:rPr>
        <w:t xml:space="preserve"> * 85% response rate</w:t>
      </w:r>
      <w:r>
        <w:rPr>
          <w:szCs w:val="24"/>
        </w:rPr>
        <w:t xml:space="preserve"> = </w:t>
      </w:r>
      <w:r w:rsidR="00B137ED">
        <w:rPr>
          <w:szCs w:val="24"/>
        </w:rPr>
        <w:t>5100</w:t>
      </w:r>
      <w:r>
        <w:rPr>
          <w:szCs w:val="24"/>
        </w:rPr>
        <w:t xml:space="preserve"> minutes.</w:t>
      </w:r>
    </w:p>
    <w:p w:rsidR="00373F26" w:rsidRPr="00EA6FC2" w:rsidRDefault="00373F26" w:rsidP="00D73D0C">
      <w:pPr>
        <w:numPr>
          <w:ilvl w:val="0"/>
          <w:numId w:val="22"/>
        </w:numPr>
        <w:tabs>
          <w:tab w:val="left" w:pos="540"/>
        </w:tabs>
        <w:spacing w:line="360" w:lineRule="auto"/>
        <w:rPr>
          <w:szCs w:val="24"/>
        </w:rPr>
      </w:pPr>
      <w:r>
        <w:rPr>
          <w:szCs w:val="24"/>
        </w:rPr>
        <w:t>Total burden = 1440+</w:t>
      </w:r>
      <w:r w:rsidR="00D73D0C">
        <w:rPr>
          <w:szCs w:val="24"/>
        </w:rPr>
        <w:t>7650</w:t>
      </w:r>
      <w:r>
        <w:rPr>
          <w:szCs w:val="24"/>
        </w:rPr>
        <w:t>+</w:t>
      </w:r>
      <w:r w:rsidR="00D73D0C">
        <w:rPr>
          <w:szCs w:val="24"/>
        </w:rPr>
        <w:t>5</w:t>
      </w:r>
      <w:r w:rsidR="00B137ED">
        <w:rPr>
          <w:szCs w:val="24"/>
        </w:rPr>
        <w:t>10</w:t>
      </w:r>
      <w:r>
        <w:rPr>
          <w:szCs w:val="24"/>
        </w:rPr>
        <w:t>0=</w:t>
      </w:r>
      <w:r w:rsidR="00D73D0C">
        <w:rPr>
          <w:szCs w:val="24"/>
        </w:rPr>
        <w:t>1</w:t>
      </w:r>
      <w:r w:rsidR="00B137ED">
        <w:rPr>
          <w:szCs w:val="24"/>
        </w:rPr>
        <w:t>4</w:t>
      </w:r>
      <w:r w:rsidR="00D73D0C">
        <w:rPr>
          <w:szCs w:val="24"/>
        </w:rPr>
        <w:t>1</w:t>
      </w:r>
      <w:r w:rsidR="00B137ED">
        <w:rPr>
          <w:szCs w:val="24"/>
        </w:rPr>
        <w:t>9</w:t>
      </w:r>
      <w:r>
        <w:rPr>
          <w:szCs w:val="24"/>
        </w:rPr>
        <w:t>0 minutes=</w:t>
      </w:r>
      <w:r w:rsidR="00B137ED">
        <w:rPr>
          <w:szCs w:val="24"/>
        </w:rPr>
        <w:t>236.5</w:t>
      </w:r>
      <w:r>
        <w:rPr>
          <w:szCs w:val="24"/>
        </w:rPr>
        <w:t xml:space="preserve"> hours.</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lastRenderedPageBreak/>
        <w:t>13.</w:t>
      </w:r>
      <w:r w:rsidRPr="00EE7AE8">
        <w:rPr>
          <w:i/>
          <w:sz w:val="26"/>
          <w:szCs w:val="26"/>
        </w:rPr>
        <w:tab/>
        <w:t>Estimate of cost burden to respondents</w:t>
      </w:r>
    </w:p>
    <w:p w:rsidR="00746922" w:rsidRPr="006726C2" w:rsidRDefault="00746922" w:rsidP="00746922">
      <w:pPr>
        <w:spacing w:line="360" w:lineRule="auto"/>
        <w:ind w:left="547"/>
        <w:rPr>
          <w:szCs w:val="24"/>
        </w:rPr>
      </w:pPr>
      <w:r w:rsidRPr="00B87023">
        <w:rPr>
          <w:szCs w:val="24"/>
        </w:rPr>
        <w:t>There are no additional respondent costs associated with this data collection other than the hour burden accounted for in Item 12.</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14.</w:t>
      </w:r>
      <w:r w:rsidRPr="00EE7AE8">
        <w:rPr>
          <w:i/>
          <w:sz w:val="26"/>
          <w:szCs w:val="26"/>
        </w:rPr>
        <w:tab/>
        <w:t>Estimate of annual cost to the federal government</w:t>
      </w:r>
    </w:p>
    <w:p w:rsidR="00746922" w:rsidRPr="006726C2" w:rsidRDefault="00746922" w:rsidP="00746922">
      <w:pPr>
        <w:pStyle w:val="Header"/>
        <w:tabs>
          <w:tab w:val="clear" w:pos="4320"/>
          <w:tab w:val="clear" w:pos="8640"/>
        </w:tabs>
        <w:spacing w:line="360" w:lineRule="auto"/>
        <w:ind w:left="547"/>
        <w:rPr>
          <w:szCs w:val="24"/>
        </w:rPr>
      </w:pPr>
      <w:r w:rsidRPr="00B87023">
        <w:rPr>
          <w:szCs w:val="24"/>
        </w:rPr>
        <w:t xml:space="preserve">The estimated cost for the 18 month study, including development of data collection instruments, justification package, data collection, data analysis, and preparation of a final report, is </w:t>
      </w:r>
      <w:r w:rsidR="008A3B5C">
        <w:rPr>
          <w:szCs w:val="24"/>
        </w:rPr>
        <w:t xml:space="preserve">$274,582 </w:t>
      </w:r>
      <w:r w:rsidRPr="00B87023">
        <w:rPr>
          <w:szCs w:val="24"/>
        </w:rPr>
        <w:t>per year.</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15.</w:t>
      </w:r>
      <w:r w:rsidRPr="00EE7AE8">
        <w:rPr>
          <w:i/>
          <w:sz w:val="26"/>
          <w:szCs w:val="26"/>
        </w:rPr>
        <w:tab/>
        <w:t>Program changes or adjustments</w:t>
      </w:r>
    </w:p>
    <w:p w:rsidR="00746922" w:rsidRPr="006726C2" w:rsidRDefault="00746922" w:rsidP="00160690">
      <w:pPr>
        <w:pStyle w:val="Header"/>
        <w:tabs>
          <w:tab w:val="clear" w:pos="4320"/>
          <w:tab w:val="clear" w:pos="8640"/>
        </w:tabs>
        <w:spacing w:line="360" w:lineRule="auto"/>
        <w:ind w:left="547"/>
        <w:rPr>
          <w:szCs w:val="24"/>
        </w:rPr>
      </w:pPr>
      <w:r w:rsidRPr="008B6616">
        <w:rPr>
          <w:szCs w:val="24"/>
        </w:rPr>
        <w:t>The request is for a new data collection. There are no program changes or adjustments.</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16.</w:t>
      </w:r>
      <w:r w:rsidRPr="00EE7AE8">
        <w:rPr>
          <w:i/>
          <w:sz w:val="26"/>
          <w:szCs w:val="26"/>
        </w:rPr>
        <w:tab/>
        <w:t>Plans for tabulation and publication of results</w:t>
      </w:r>
    </w:p>
    <w:p w:rsidR="00746922" w:rsidRPr="00B87023" w:rsidRDefault="00746922" w:rsidP="00746922">
      <w:pPr>
        <w:spacing w:line="360" w:lineRule="auto"/>
        <w:ind w:left="547"/>
        <w:rPr>
          <w:szCs w:val="24"/>
        </w:rPr>
      </w:pPr>
      <w:r w:rsidRPr="00B87023">
        <w:rPr>
          <w:szCs w:val="24"/>
        </w:rPr>
        <w:t>AIR will submit a final report summarizing the results of the entire study.  In drafting the report, AIR will first create an outline of the contents.  The contents will include, but are not limited to, the following:</w:t>
      </w:r>
    </w:p>
    <w:p w:rsidR="00746922" w:rsidRPr="00160690" w:rsidRDefault="00746922" w:rsidP="00746922">
      <w:pPr>
        <w:ind w:left="547"/>
        <w:rPr>
          <w:sz w:val="16"/>
          <w:szCs w:val="16"/>
        </w:rPr>
      </w:pPr>
    </w:p>
    <w:p w:rsidR="00746922" w:rsidRPr="00B87023" w:rsidRDefault="00746922" w:rsidP="00746922">
      <w:pPr>
        <w:numPr>
          <w:ilvl w:val="0"/>
          <w:numId w:val="4"/>
        </w:numPr>
        <w:tabs>
          <w:tab w:val="clear" w:pos="720"/>
          <w:tab w:val="num" w:pos="1440"/>
        </w:tabs>
        <w:spacing w:after="80"/>
        <w:ind w:left="1080" w:firstLine="0"/>
        <w:rPr>
          <w:szCs w:val="24"/>
        </w:rPr>
      </w:pPr>
      <w:r w:rsidRPr="00B87023">
        <w:rPr>
          <w:szCs w:val="24"/>
        </w:rPr>
        <w:t>Executive summary</w:t>
      </w:r>
    </w:p>
    <w:p w:rsidR="00746922" w:rsidRPr="00B87023" w:rsidRDefault="00746922" w:rsidP="00746922">
      <w:pPr>
        <w:numPr>
          <w:ilvl w:val="0"/>
          <w:numId w:val="4"/>
        </w:numPr>
        <w:tabs>
          <w:tab w:val="clear" w:pos="720"/>
          <w:tab w:val="num" w:pos="1440"/>
        </w:tabs>
        <w:spacing w:after="80"/>
        <w:ind w:left="1080" w:firstLine="0"/>
        <w:rPr>
          <w:szCs w:val="24"/>
        </w:rPr>
      </w:pPr>
      <w:r w:rsidRPr="00B87023">
        <w:rPr>
          <w:szCs w:val="24"/>
        </w:rPr>
        <w:t>Purpose of project</w:t>
      </w:r>
    </w:p>
    <w:p w:rsidR="00746922" w:rsidRPr="00B87023" w:rsidRDefault="00746922" w:rsidP="00746922">
      <w:pPr>
        <w:numPr>
          <w:ilvl w:val="0"/>
          <w:numId w:val="4"/>
        </w:numPr>
        <w:tabs>
          <w:tab w:val="clear" w:pos="720"/>
          <w:tab w:val="num" w:pos="1440"/>
        </w:tabs>
        <w:spacing w:after="80"/>
        <w:ind w:left="1080" w:firstLine="0"/>
        <w:rPr>
          <w:szCs w:val="24"/>
        </w:rPr>
      </w:pPr>
      <w:r w:rsidRPr="00B87023">
        <w:rPr>
          <w:szCs w:val="24"/>
        </w:rPr>
        <w:t>Research methodology</w:t>
      </w:r>
    </w:p>
    <w:p w:rsidR="00746922" w:rsidRPr="00B87023" w:rsidRDefault="00746922" w:rsidP="00746922">
      <w:pPr>
        <w:numPr>
          <w:ilvl w:val="1"/>
          <w:numId w:val="4"/>
        </w:numPr>
        <w:tabs>
          <w:tab w:val="clear" w:pos="1440"/>
          <w:tab w:val="left" w:pos="1800"/>
        </w:tabs>
        <w:ind w:firstLine="0"/>
        <w:rPr>
          <w:szCs w:val="24"/>
        </w:rPr>
      </w:pPr>
      <w:r w:rsidRPr="00B87023">
        <w:rPr>
          <w:szCs w:val="24"/>
        </w:rPr>
        <w:t>Survey design</w:t>
      </w:r>
    </w:p>
    <w:p w:rsidR="00746922" w:rsidRPr="00B87023" w:rsidRDefault="00746922" w:rsidP="00746922">
      <w:pPr>
        <w:numPr>
          <w:ilvl w:val="1"/>
          <w:numId w:val="4"/>
        </w:numPr>
        <w:tabs>
          <w:tab w:val="clear" w:pos="1440"/>
          <w:tab w:val="left" w:pos="1800"/>
        </w:tabs>
        <w:ind w:firstLine="0"/>
        <w:rPr>
          <w:szCs w:val="24"/>
        </w:rPr>
      </w:pPr>
      <w:r w:rsidRPr="00B87023">
        <w:rPr>
          <w:szCs w:val="24"/>
        </w:rPr>
        <w:t>Data collection procedures</w:t>
      </w:r>
    </w:p>
    <w:p w:rsidR="00746922" w:rsidRPr="00B87023" w:rsidRDefault="00746922" w:rsidP="00746922">
      <w:pPr>
        <w:numPr>
          <w:ilvl w:val="1"/>
          <w:numId w:val="4"/>
        </w:numPr>
        <w:tabs>
          <w:tab w:val="clear" w:pos="1440"/>
          <w:tab w:val="left" w:pos="1800"/>
        </w:tabs>
        <w:ind w:firstLine="0"/>
        <w:rPr>
          <w:szCs w:val="24"/>
        </w:rPr>
      </w:pPr>
      <w:r w:rsidRPr="00B87023">
        <w:rPr>
          <w:szCs w:val="24"/>
        </w:rPr>
        <w:t>Database design</w:t>
      </w:r>
    </w:p>
    <w:p w:rsidR="00746922" w:rsidRPr="00B87023" w:rsidRDefault="00746922" w:rsidP="00746922">
      <w:pPr>
        <w:numPr>
          <w:ilvl w:val="1"/>
          <w:numId w:val="4"/>
        </w:numPr>
        <w:tabs>
          <w:tab w:val="clear" w:pos="1440"/>
          <w:tab w:val="left" w:pos="1800"/>
        </w:tabs>
        <w:spacing w:after="80"/>
        <w:ind w:firstLine="0"/>
        <w:rPr>
          <w:szCs w:val="24"/>
        </w:rPr>
      </w:pPr>
      <w:r w:rsidRPr="00B87023">
        <w:rPr>
          <w:szCs w:val="24"/>
        </w:rPr>
        <w:t>Data analysis</w:t>
      </w:r>
    </w:p>
    <w:p w:rsidR="00746922" w:rsidRPr="008B6616" w:rsidRDefault="00746922" w:rsidP="00746922">
      <w:pPr>
        <w:numPr>
          <w:ilvl w:val="0"/>
          <w:numId w:val="4"/>
        </w:numPr>
        <w:tabs>
          <w:tab w:val="clear" w:pos="720"/>
          <w:tab w:val="num" w:pos="1440"/>
        </w:tabs>
        <w:spacing w:after="80"/>
        <w:ind w:left="1440"/>
        <w:rPr>
          <w:szCs w:val="24"/>
        </w:rPr>
      </w:pPr>
      <w:r w:rsidRPr="008B6616">
        <w:rPr>
          <w:szCs w:val="24"/>
        </w:rPr>
        <w:t xml:space="preserve">Results from </w:t>
      </w:r>
      <w:r w:rsidR="00974DE7" w:rsidRPr="008B6616">
        <w:rPr>
          <w:szCs w:val="24"/>
        </w:rPr>
        <w:t xml:space="preserve">the </w:t>
      </w:r>
      <w:r w:rsidRPr="008B6616">
        <w:rPr>
          <w:szCs w:val="24"/>
        </w:rPr>
        <w:t>survey of</w:t>
      </w:r>
      <w:r w:rsidR="00B87023" w:rsidRPr="008B6616">
        <w:rPr>
          <w:szCs w:val="24"/>
        </w:rPr>
        <w:t xml:space="preserve"> LRC </w:t>
      </w:r>
      <w:r w:rsidR="008B6616" w:rsidRPr="008B6616">
        <w:rPr>
          <w:szCs w:val="24"/>
        </w:rPr>
        <w:t>Project Directors</w:t>
      </w:r>
      <w:r w:rsidR="00B87023" w:rsidRPr="008B6616">
        <w:rPr>
          <w:szCs w:val="24"/>
        </w:rPr>
        <w:t xml:space="preserve"> and </w:t>
      </w:r>
      <w:r w:rsidR="00974DE7" w:rsidRPr="008B6616">
        <w:rPr>
          <w:szCs w:val="24"/>
        </w:rPr>
        <w:t xml:space="preserve">the survey of LRC </w:t>
      </w:r>
      <w:r w:rsidR="00B87023" w:rsidRPr="008B6616">
        <w:rPr>
          <w:szCs w:val="24"/>
        </w:rPr>
        <w:t>constituents.</w:t>
      </w:r>
    </w:p>
    <w:p w:rsidR="00746922" w:rsidRDefault="00746922" w:rsidP="00746922">
      <w:pPr>
        <w:numPr>
          <w:ilvl w:val="0"/>
          <w:numId w:val="4"/>
        </w:numPr>
        <w:tabs>
          <w:tab w:val="clear" w:pos="720"/>
          <w:tab w:val="num" w:pos="1440"/>
        </w:tabs>
        <w:spacing w:after="320"/>
        <w:ind w:left="1080" w:firstLine="0"/>
        <w:rPr>
          <w:szCs w:val="24"/>
        </w:rPr>
      </w:pPr>
      <w:r w:rsidRPr="00B87023">
        <w:rPr>
          <w:szCs w:val="24"/>
        </w:rPr>
        <w:t>Implications of study and future directions</w:t>
      </w:r>
    </w:p>
    <w:p w:rsidR="005E2000" w:rsidRPr="005E2000" w:rsidRDefault="005E2000" w:rsidP="005E2000">
      <w:pPr>
        <w:pStyle w:val="ListParagraph"/>
        <w:spacing w:line="360" w:lineRule="auto"/>
        <w:rPr>
          <w:szCs w:val="24"/>
        </w:rPr>
      </w:pPr>
      <w:r w:rsidRPr="005E2000">
        <w:rPr>
          <w:szCs w:val="24"/>
        </w:rPr>
        <w:t xml:space="preserve">AIR will write one substantive report, including results for the entire project based on the original analysis plan and any subsequent agreed-upon modifications to the plan.  The report will also include a description of the methodology employed, findings and implications.  The report will include an executive summary in non-technical language, which will be appropriate for a wide range of audiences.  In addition, AIR will prepare three two-page executive summaries that report on key topics of interest to IEPS. The </w:t>
      </w:r>
      <w:r w:rsidRPr="005E2000">
        <w:rPr>
          <w:szCs w:val="24"/>
        </w:rPr>
        <w:lastRenderedPageBreak/>
        <w:t>final report and summaries will be provided in three formats: camera-ready copy, Microsoft Word, and a copy compatible with IEPS’s Website formatting.</w:t>
      </w:r>
    </w:p>
    <w:p w:rsidR="00C649D4" w:rsidRPr="00160690" w:rsidRDefault="00C649D4" w:rsidP="00160690">
      <w:pPr>
        <w:rPr>
          <w:sz w:val="20"/>
        </w:rPr>
      </w:pPr>
    </w:p>
    <w:p w:rsidR="00160690" w:rsidRPr="00160690" w:rsidRDefault="00160690" w:rsidP="00160690">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17.</w:t>
      </w:r>
      <w:r w:rsidRPr="00EE7AE8">
        <w:rPr>
          <w:i/>
          <w:sz w:val="26"/>
          <w:szCs w:val="26"/>
        </w:rPr>
        <w:tab/>
        <w:t>Approval to not display OMB expiration date</w:t>
      </w:r>
    </w:p>
    <w:p w:rsidR="00746922" w:rsidRPr="006726C2" w:rsidRDefault="00746922" w:rsidP="000235BD">
      <w:pPr>
        <w:spacing w:line="360" w:lineRule="auto"/>
        <w:ind w:firstLine="547"/>
        <w:rPr>
          <w:szCs w:val="24"/>
        </w:rPr>
      </w:pPr>
      <w:r w:rsidRPr="00F1729F">
        <w:rPr>
          <w:szCs w:val="24"/>
        </w:rPr>
        <w:t>All data collection instruments will include the OMB expiration date.</w:t>
      </w:r>
    </w:p>
    <w:p w:rsidR="00746922" w:rsidRPr="00160690" w:rsidRDefault="00746922" w:rsidP="00746922">
      <w:pPr>
        <w:rPr>
          <w:sz w:val="20"/>
        </w:rPr>
      </w:pPr>
    </w:p>
    <w:p w:rsidR="00746922" w:rsidRPr="00160690" w:rsidRDefault="00746922" w:rsidP="00746922">
      <w:pPr>
        <w:rPr>
          <w:sz w:val="20"/>
        </w:rPr>
      </w:pPr>
    </w:p>
    <w:p w:rsidR="00746922" w:rsidRPr="00EE7AE8" w:rsidRDefault="00746922" w:rsidP="00746922">
      <w:pPr>
        <w:pStyle w:val="Heading2"/>
        <w:tabs>
          <w:tab w:val="left" w:pos="540"/>
        </w:tabs>
        <w:spacing w:after="120"/>
        <w:ind w:left="547" w:hanging="547"/>
        <w:rPr>
          <w:i/>
          <w:sz w:val="26"/>
          <w:szCs w:val="26"/>
        </w:rPr>
      </w:pPr>
      <w:r w:rsidRPr="00EE7AE8">
        <w:rPr>
          <w:i/>
          <w:sz w:val="26"/>
          <w:szCs w:val="26"/>
        </w:rPr>
        <w:t>18.</w:t>
      </w:r>
      <w:r w:rsidRPr="00EE7AE8">
        <w:rPr>
          <w:i/>
          <w:sz w:val="26"/>
          <w:szCs w:val="26"/>
        </w:rPr>
        <w:tab/>
        <w:t>Explanation of exceptions</w:t>
      </w:r>
    </w:p>
    <w:p w:rsidR="00746922" w:rsidRPr="006726C2" w:rsidRDefault="00746922" w:rsidP="000235BD">
      <w:pPr>
        <w:spacing w:line="360" w:lineRule="auto"/>
        <w:ind w:firstLine="547"/>
        <w:rPr>
          <w:szCs w:val="24"/>
        </w:rPr>
      </w:pPr>
      <w:r w:rsidRPr="00F1729F">
        <w:rPr>
          <w:szCs w:val="24"/>
        </w:rPr>
        <w:t>No exceptions are requested.</w:t>
      </w:r>
    </w:p>
    <w:p w:rsidR="00746922" w:rsidRPr="008D62D0" w:rsidRDefault="00746922" w:rsidP="00746922"/>
    <w:p w:rsidR="00746922" w:rsidRPr="00583E4B" w:rsidRDefault="00746922" w:rsidP="00286A93">
      <w:pPr>
        <w:pStyle w:val="HEAD-2"/>
      </w:pPr>
      <w:r w:rsidRPr="008D62D0">
        <w:rPr>
          <w:rFonts w:ascii="Times New Roman" w:hAnsi="Times New Roman"/>
        </w:rPr>
        <w:br w:type="page"/>
      </w:r>
      <w:bookmarkStart w:id="49" w:name="_Toc164484950"/>
      <w:bookmarkStart w:id="50" w:name="_Toc242167246"/>
      <w:r w:rsidRPr="00583E4B">
        <w:lastRenderedPageBreak/>
        <w:t>B. Description of Statistical Methods</w:t>
      </w:r>
      <w:bookmarkEnd w:id="49"/>
      <w:bookmarkEnd w:id="50"/>
    </w:p>
    <w:p w:rsidR="002718F5" w:rsidRPr="002B1716" w:rsidRDefault="002B1716" w:rsidP="002B1716">
      <w:pPr>
        <w:pStyle w:val="Heading2"/>
        <w:tabs>
          <w:tab w:val="left" w:pos="540"/>
        </w:tabs>
        <w:spacing w:after="120"/>
        <w:ind w:left="547" w:hanging="547"/>
        <w:rPr>
          <w:i/>
          <w:sz w:val="26"/>
          <w:szCs w:val="26"/>
        </w:rPr>
      </w:pPr>
      <w:r>
        <w:rPr>
          <w:i/>
          <w:sz w:val="26"/>
          <w:szCs w:val="26"/>
        </w:rPr>
        <w:t>1.</w:t>
      </w:r>
      <w:r>
        <w:rPr>
          <w:i/>
          <w:sz w:val="26"/>
          <w:szCs w:val="26"/>
        </w:rPr>
        <w:tab/>
      </w:r>
      <w:r w:rsidR="002718F5" w:rsidRPr="002B1716">
        <w:rPr>
          <w:i/>
          <w:sz w:val="26"/>
          <w:szCs w:val="26"/>
        </w:rPr>
        <w:t>Universe and Respondent Selection</w:t>
      </w:r>
    </w:p>
    <w:p w:rsidR="002718F5" w:rsidRDefault="005E2000" w:rsidP="002B1716">
      <w:pPr>
        <w:spacing w:after="200" w:line="360" w:lineRule="auto"/>
        <w:ind w:left="540"/>
        <w:rPr>
          <w:szCs w:val="24"/>
        </w:rPr>
      </w:pPr>
      <w:r>
        <w:rPr>
          <w:szCs w:val="24"/>
        </w:rPr>
        <w:t>All three</w:t>
      </w:r>
      <w:r w:rsidR="003F53B3">
        <w:rPr>
          <w:szCs w:val="24"/>
        </w:rPr>
        <w:t xml:space="preserve"> survey</w:t>
      </w:r>
      <w:r>
        <w:rPr>
          <w:szCs w:val="24"/>
        </w:rPr>
        <w:t xml:space="preserve">s proposed in this study </w:t>
      </w:r>
      <w:r w:rsidRPr="00527864">
        <w:rPr>
          <w:szCs w:val="24"/>
        </w:rPr>
        <w:t xml:space="preserve">are targeting the entire </w:t>
      </w:r>
      <w:r>
        <w:rPr>
          <w:szCs w:val="24"/>
        </w:rPr>
        <w:t>universe of respondents (i.e., census).</w:t>
      </w:r>
      <w:r w:rsidR="0026595E">
        <w:rPr>
          <w:szCs w:val="24"/>
        </w:rPr>
        <w:t xml:space="preserve">  </w:t>
      </w:r>
      <w:r w:rsidR="002718F5">
        <w:rPr>
          <w:szCs w:val="24"/>
        </w:rPr>
        <w:t>This is because the number of cases is small, and sampling would not be appropriate.</w:t>
      </w:r>
    </w:p>
    <w:p w:rsidR="002718F5" w:rsidRDefault="002718F5" w:rsidP="002B1716">
      <w:pPr>
        <w:spacing w:after="200" w:line="360" w:lineRule="auto"/>
        <w:ind w:left="540"/>
        <w:rPr>
          <w:szCs w:val="24"/>
        </w:rPr>
      </w:pPr>
      <w:r>
        <w:rPr>
          <w:szCs w:val="24"/>
        </w:rPr>
        <w:t xml:space="preserve">The frame for LRC Project Directors </w:t>
      </w:r>
      <w:r w:rsidR="00367360">
        <w:rPr>
          <w:szCs w:val="24"/>
        </w:rPr>
        <w:t>is derived</w:t>
      </w:r>
      <w:r>
        <w:rPr>
          <w:szCs w:val="24"/>
        </w:rPr>
        <w:t xml:space="preserve"> from the U.S. Department of Education’s International Resource Information System (IRIS) and includes all 16 grantees who received LRC funding since program inception.  The frame for the NADSFL survey will be obtained from the Executive Director of that organization and will contain the full list of 2009 members (approximately 300 members).  The frame for Summer Workshop participants will be obtained from the LRC Project Directors based on their records of who attended the 2009 Summer workshops and was employed by or enrolled in an institution of higher education (approximately 200 participants across all 16 LRCs).</w:t>
      </w:r>
    </w:p>
    <w:p w:rsidR="002718F5" w:rsidRDefault="00A27701" w:rsidP="002B1716">
      <w:pPr>
        <w:spacing w:line="360" w:lineRule="auto"/>
        <w:ind w:left="540"/>
        <w:rPr>
          <w:szCs w:val="24"/>
        </w:rPr>
      </w:pPr>
      <w:r>
        <w:rPr>
          <w:szCs w:val="24"/>
        </w:rPr>
        <w:t>These frames are as exhaustive as frames can be in that they represent the entire population of interest.  Because membership in NADSFL and enrollment in Summer Workshop is voluntary, it is possible that the universe of participants is not similar to the larger population of users of LRC products across the United States.  However, because there is no such frame and the population of LRC product users is undefinable, this limitation will be noted in the final report.</w:t>
      </w:r>
    </w:p>
    <w:p w:rsidR="00A27701" w:rsidRPr="002B1716" w:rsidRDefault="00A27701" w:rsidP="002B1716"/>
    <w:p w:rsidR="002B1716" w:rsidRPr="002B1716" w:rsidRDefault="002B1716" w:rsidP="002B1716"/>
    <w:p w:rsidR="00A27701" w:rsidRPr="002B1716" w:rsidRDefault="002B1716" w:rsidP="002B1716">
      <w:pPr>
        <w:pStyle w:val="Heading2"/>
        <w:tabs>
          <w:tab w:val="left" w:pos="540"/>
        </w:tabs>
        <w:spacing w:after="120"/>
        <w:ind w:left="547" w:hanging="547"/>
        <w:rPr>
          <w:i/>
          <w:sz w:val="26"/>
          <w:szCs w:val="26"/>
        </w:rPr>
      </w:pPr>
      <w:r>
        <w:rPr>
          <w:i/>
          <w:sz w:val="26"/>
          <w:szCs w:val="26"/>
        </w:rPr>
        <w:t>2.</w:t>
      </w:r>
      <w:r>
        <w:rPr>
          <w:i/>
          <w:sz w:val="26"/>
          <w:szCs w:val="26"/>
        </w:rPr>
        <w:tab/>
      </w:r>
      <w:r w:rsidR="00A27701" w:rsidRPr="002B1716">
        <w:rPr>
          <w:i/>
          <w:sz w:val="26"/>
          <w:szCs w:val="26"/>
        </w:rPr>
        <w:t>Procedures for Collecting Information</w:t>
      </w:r>
    </w:p>
    <w:p w:rsidR="00A27701" w:rsidRDefault="009E61A7" w:rsidP="002B1716">
      <w:pPr>
        <w:spacing w:after="200" w:line="360" w:lineRule="auto"/>
        <w:ind w:left="540"/>
        <w:rPr>
          <w:szCs w:val="24"/>
        </w:rPr>
      </w:pPr>
      <w:r>
        <w:rPr>
          <w:szCs w:val="24"/>
        </w:rPr>
        <w:t>The information for this study will be gathered through three surveys (see Appendix A).  Two of these surveys (NADSFL and Summer Workshop participants) will be administered via the World Wide Web using Survey Gizmo, a commercial survey dissemination and management website.  Because of the small number of respondents (N=16), the LRC Project Director survey will be administered as an electronic Word document disseminated via email.  All respondents will be able to request a pencil and paper version of the study.</w:t>
      </w:r>
    </w:p>
    <w:p w:rsidR="009E61A7" w:rsidRDefault="009E61A7" w:rsidP="002B1716">
      <w:pPr>
        <w:spacing w:line="360" w:lineRule="auto"/>
        <w:ind w:left="540"/>
        <w:rPr>
          <w:szCs w:val="24"/>
        </w:rPr>
      </w:pPr>
      <w:r>
        <w:rPr>
          <w:szCs w:val="24"/>
        </w:rPr>
        <w:lastRenderedPageBreak/>
        <w:t>Respondents to all three surveys will be contacted about the study via email.  AIR has already worked with LRC Project Directors and the NADSFL Executive Director to publicize the study and emphasize its importance to respondents.  All respondents will receive a prenotification email about the study emphasizing its importance and requesting their participation.</w:t>
      </w:r>
      <w:r w:rsidR="00E432BB">
        <w:rPr>
          <w:szCs w:val="24"/>
        </w:rPr>
        <w:t xml:space="preserve">  Three to five email follow-ups over a period of two months (depending on response rates monitored on a weekly basis) will follow up with respondents to encourage participation (see Appendix B for contact and follow-up emails).</w:t>
      </w:r>
    </w:p>
    <w:p w:rsidR="00E432BB" w:rsidRDefault="00E432BB" w:rsidP="002B1716"/>
    <w:p w:rsidR="002B1716" w:rsidRPr="002B1716" w:rsidRDefault="002B1716" w:rsidP="002B1716"/>
    <w:p w:rsidR="00E432BB" w:rsidRPr="002B1716" w:rsidRDefault="002B1716" w:rsidP="002B1716">
      <w:pPr>
        <w:pStyle w:val="Heading2"/>
        <w:tabs>
          <w:tab w:val="left" w:pos="540"/>
        </w:tabs>
        <w:spacing w:after="120"/>
        <w:ind w:left="547" w:hanging="547"/>
        <w:rPr>
          <w:i/>
          <w:sz w:val="26"/>
          <w:szCs w:val="26"/>
        </w:rPr>
      </w:pPr>
      <w:r>
        <w:rPr>
          <w:i/>
          <w:sz w:val="26"/>
          <w:szCs w:val="26"/>
        </w:rPr>
        <w:t>3.</w:t>
      </w:r>
      <w:r>
        <w:rPr>
          <w:i/>
          <w:sz w:val="26"/>
          <w:szCs w:val="26"/>
        </w:rPr>
        <w:tab/>
      </w:r>
      <w:r w:rsidR="00E432BB" w:rsidRPr="002B1716">
        <w:rPr>
          <w:i/>
          <w:sz w:val="26"/>
          <w:szCs w:val="26"/>
        </w:rPr>
        <w:t>Methods to Maximize Response Rates</w:t>
      </w:r>
    </w:p>
    <w:p w:rsidR="00E432BB" w:rsidRDefault="00E432BB" w:rsidP="002B1716">
      <w:pPr>
        <w:spacing w:after="200" w:line="360" w:lineRule="auto"/>
        <w:ind w:left="540"/>
        <w:rPr>
          <w:szCs w:val="24"/>
        </w:rPr>
      </w:pPr>
      <w:r>
        <w:rPr>
          <w:szCs w:val="24"/>
        </w:rPr>
        <w:t>As discussed above, methods to maximize response rates have already been implemented by publicizing the study early on to respondents via email to Project Directors and members of NADSFL.  In addition, the follow-up procedures discussed above will be implemented to follow-up with respondents who have not filled out the surveys.</w:t>
      </w:r>
    </w:p>
    <w:p w:rsidR="00E432BB" w:rsidRDefault="00E432BB" w:rsidP="002B1716">
      <w:pPr>
        <w:spacing w:after="200" w:line="360" w:lineRule="auto"/>
        <w:ind w:left="540"/>
        <w:rPr>
          <w:szCs w:val="24"/>
        </w:rPr>
      </w:pPr>
      <w:r>
        <w:rPr>
          <w:szCs w:val="24"/>
        </w:rPr>
        <w:t>Because the study has been well publicized already and the respondents are professionals with a vested interest in the topic of the study and in the future of the LRC program as disseminators of foreign language resources, we expect a high response rate.</w:t>
      </w:r>
    </w:p>
    <w:p w:rsidR="00E432BB" w:rsidRDefault="00E432BB" w:rsidP="002B1716">
      <w:pPr>
        <w:spacing w:after="200" w:line="360" w:lineRule="auto"/>
        <w:ind w:left="540"/>
        <w:rPr>
          <w:szCs w:val="24"/>
        </w:rPr>
      </w:pPr>
      <w:r>
        <w:rPr>
          <w:szCs w:val="24"/>
        </w:rPr>
        <w:t xml:space="preserve">It is expected that the response rate for the LRC Project Directors will be 100 percent because they are all currently grantees of the U.S. Department of Education with a vested interest in the </w:t>
      </w:r>
      <w:r w:rsidR="00115E9F">
        <w:rPr>
          <w:szCs w:val="24"/>
        </w:rPr>
        <w:t>study</w:t>
      </w:r>
      <w:r>
        <w:rPr>
          <w:szCs w:val="24"/>
        </w:rPr>
        <w:t>.</w:t>
      </w:r>
    </w:p>
    <w:p w:rsidR="00E432BB" w:rsidRDefault="00E432BB" w:rsidP="002B1716">
      <w:pPr>
        <w:spacing w:after="200" w:line="360" w:lineRule="auto"/>
        <w:ind w:left="540"/>
        <w:rPr>
          <w:szCs w:val="24"/>
        </w:rPr>
      </w:pPr>
      <w:r>
        <w:rPr>
          <w:szCs w:val="24"/>
        </w:rPr>
        <w:t>The expected response rates for the NADSFL members’ survey and the Summer workshop attendees is 85 percent.  This response rate will be achieved through a combination of contact letters emphasizing the importance of the project and endorsed by influential scholars in the field of foreign language teaching, and the multiple follow-ups from the contractor mentioned above.</w:t>
      </w:r>
    </w:p>
    <w:p w:rsidR="0050389B" w:rsidRDefault="00E432BB" w:rsidP="002B1716">
      <w:pPr>
        <w:spacing w:line="360" w:lineRule="auto"/>
        <w:ind w:left="540"/>
        <w:rPr>
          <w:szCs w:val="24"/>
        </w:rPr>
      </w:pPr>
      <w:r>
        <w:rPr>
          <w:szCs w:val="24"/>
        </w:rPr>
        <w:t>Non-response bias due to a less than 100% response rate will be examined by comparing the background demographic information available on the frame (e.g., gender, institutional affiliation, region of the country)</w:t>
      </w:r>
      <w:r w:rsidR="0050389B">
        <w:rPr>
          <w:szCs w:val="24"/>
        </w:rPr>
        <w:t xml:space="preserve"> to that of the respondents.  While no statistical adjustments are planned given we are using a census, an analysis reporting on the frame </w:t>
      </w:r>
      <w:r w:rsidR="0050389B">
        <w:rPr>
          <w:szCs w:val="24"/>
        </w:rPr>
        <w:lastRenderedPageBreak/>
        <w:t>totals as compared to the respondent totals will be reported in the final report and appropriate caution in the interpretation of findings will be discussed.</w:t>
      </w:r>
    </w:p>
    <w:p w:rsidR="0050389B" w:rsidRDefault="0050389B" w:rsidP="002B1716"/>
    <w:p w:rsidR="002B1716" w:rsidRPr="002B1716" w:rsidRDefault="002B1716" w:rsidP="002B1716"/>
    <w:p w:rsidR="0050389B" w:rsidRPr="002B1716" w:rsidRDefault="002B1716" w:rsidP="002B1716">
      <w:pPr>
        <w:pStyle w:val="Heading2"/>
        <w:tabs>
          <w:tab w:val="left" w:pos="540"/>
        </w:tabs>
        <w:spacing w:after="120"/>
        <w:ind w:left="547" w:hanging="547"/>
        <w:rPr>
          <w:i/>
          <w:sz w:val="26"/>
          <w:szCs w:val="26"/>
        </w:rPr>
      </w:pPr>
      <w:r>
        <w:rPr>
          <w:i/>
          <w:sz w:val="26"/>
          <w:szCs w:val="26"/>
        </w:rPr>
        <w:t>4.</w:t>
      </w:r>
      <w:r>
        <w:rPr>
          <w:i/>
          <w:sz w:val="26"/>
          <w:szCs w:val="26"/>
        </w:rPr>
        <w:tab/>
      </w:r>
      <w:r w:rsidR="0050389B" w:rsidRPr="002B1716">
        <w:rPr>
          <w:i/>
          <w:sz w:val="26"/>
          <w:szCs w:val="26"/>
        </w:rPr>
        <w:t>Tests of Procedures</w:t>
      </w:r>
    </w:p>
    <w:p w:rsidR="00B4281D" w:rsidRDefault="00B4281D" w:rsidP="002B1716">
      <w:pPr>
        <w:spacing w:after="200" w:line="360" w:lineRule="auto"/>
        <w:ind w:left="540"/>
      </w:pPr>
      <w:r>
        <w:rPr>
          <w:szCs w:val="24"/>
        </w:rPr>
        <w:t>Because the questions in these surveys capture implementation and are process-oriented, they have not been cognitively tested.  They have, however, been vetted by a committee of experts, and were developed, in part, based on a review of similar questionnaires used previously by the U.S. Department of Education.</w:t>
      </w:r>
    </w:p>
    <w:p w:rsidR="00B4281D" w:rsidRDefault="00B4281D" w:rsidP="002B1716">
      <w:pPr>
        <w:spacing w:line="360" w:lineRule="auto"/>
        <w:ind w:left="540"/>
        <w:rPr>
          <w:szCs w:val="24"/>
        </w:rPr>
      </w:pPr>
      <w:r>
        <w:rPr>
          <w:szCs w:val="24"/>
        </w:rPr>
        <w:t>Usability of the website for the surveys will be examined by AIR’s subcontractor Firepig Partners who specializes in on-line survey design and administration.  Based on their recommendations, revisions to the web designs will be implemented.</w:t>
      </w:r>
    </w:p>
    <w:p w:rsidR="00B4281D" w:rsidRDefault="00B4281D" w:rsidP="002B1716"/>
    <w:p w:rsidR="002B1716" w:rsidRPr="002B1716" w:rsidRDefault="002B1716" w:rsidP="002B1716"/>
    <w:p w:rsidR="00B4281D" w:rsidRPr="002B1716" w:rsidRDefault="002B1716" w:rsidP="002B1716">
      <w:pPr>
        <w:pStyle w:val="Heading2"/>
        <w:tabs>
          <w:tab w:val="left" w:pos="540"/>
        </w:tabs>
        <w:spacing w:after="120"/>
        <w:ind w:left="547" w:hanging="547"/>
        <w:rPr>
          <w:i/>
          <w:sz w:val="26"/>
          <w:szCs w:val="26"/>
        </w:rPr>
      </w:pPr>
      <w:r w:rsidRPr="001820E9">
        <w:rPr>
          <w:i/>
          <w:sz w:val="26"/>
          <w:szCs w:val="26"/>
        </w:rPr>
        <w:t>5.</w:t>
      </w:r>
      <w:r>
        <w:rPr>
          <w:i/>
          <w:sz w:val="26"/>
          <w:szCs w:val="26"/>
        </w:rPr>
        <w:tab/>
      </w:r>
      <w:r w:rsidR="00B4281D" w:rsidRPr="002B1716">
        <w:rPr>
          <w:i/>
          <w:sz w:val="26"/>
          <w:szCs w:val="26"/>
        </w:rPr>
        <w:t>Contacts for Statistical Aspects and Data Collection</w:t>
      </w:r>
    </w:p>
    <w:p w:rsidR="00113BA8" w:rsidRDefault="00113BA8" w:rsidP="002B1716">
      <w:pPr>
        <w:spacing w:after="120" w:line="360" w:lineRule="auto"/>
        <w:ind w:left="540"/>
        <w:rPr>
          <w:szCs w:val="24"/>
        </w:rPr>
      </w:pPr>
      <w:r>
        <w:rPr>
          <w:szCs w:val="24"/>
        </w:rPr>
        <w:t>The following individuals were involved in the design and statistical aspects of the study and its data collection:</w:t>
      </w:r>
    </w:p>
    <w:p w:rsidR="00113BA8" w:rsidRPr="00113BA8" w:rsidRDefault="00B4281D" w:rsidP="00631958">
      <w:pPr>
        <w:pStyle w:val="ListParagraph"/>
        <w:numPr>
          <w:ilvl w:val="0"/>
          <w:numId w:val="26"/>
        </w:numPr>
        <w:spacing w:after="120" w:line="360" w:lineRule="auto"/>
        <w:ind w:left="1080"/>
        <w:rPr>
          <w:szCs w:val="24"/>
        </w:rPr>
      </w:pPr>
      <w:r w:rsidRPr="00113BA8">
        <w:rPr>
          <w:szCs w:val="24"/>
        </w:rPr>
        <w:t>Stephane Baldi, Principal Research Scientist, American Institutes for Research</w:t>
      </w:r>
    </w:p>
    <w:p w:rsidR="00160690" w:rsidRPr="00113BA8" w:rsidRDefault="00113BA8" w:rsidP="00631958">
      <w:pPr>
        <w:pStyle w:val="ListParagraph"/>
        <w:numPr>
          <w:ilvl w:val="0"/>
          <w:numId w:val="26"/>
        </w:numPr>
        <w:spacing w:after="120" w:line="360" w:lineRule="auto"/>
        <w:ind w:left="1080"/>
        <w:rPr>
          <w:szCs w:val="24"/>
        </w:rPr>
      </w:pPr>
      <w:r w:rsidRPr="00113BA8">
        <w:rPr>
          <w:szCs w:val="24"/>
        </w:rPr>
        <w:t>Tanya Taylor, Research Analyst, American Institutes for Research</w:t>
      </w:r>
    </w:p>
    <w:p w:rsidR="00113BA8" w:rsidRPr="00113BA8" w:rsidRDefault="00113BA8" w:rsidP="00631958">
      <w:pPr>
        <w:pStyle w:val="ListParagraph"/>
        <w:numPr>
          <w:ilvl w:val="0"/>
          <w:numId w:val="23"/>
        </w:numPr>
        <w:spacing w:line="360" w:lineRule="auto"/>
        <w:ind w:left="1080"/>
        <w:rPr>
          <w:szCs w:val="24"/>
        </w:rPr>
      </w:pPr>
      <w:r w:rsidRPr="00113BA8">
        <w:rPr>
          <w:szCs w:val="24"/>
        </w:rPr>
        <w:t>Nina Garrett – Former Director of the Yale University Center for Language Study</w:t>
      </w:r>
    </w:p>
    <w:p w:rsidR="00113BA8" w:rsidRPr="00631958" w:rsidRDefault="00113BA8" w:rsidP="00631958">
      <w:pPr>
        <w:pStyle w:val="ListParagraph"/>
        <w:numPr>
          <w:ilvl w:val="0"/>
          <w:numId w:val="23"/>
        </w:numPr>
        <w:spacing w:line="360" w:lineRule="auto"/>
        <w:ind w:left="1080"/>
        <w:rPr>
          <w:szCs w:val="24"/>
        </w:rPr>
      </w:pPr>
      <w:r w:rsidRPr="00113BA8">
        <w:rPr>
          <w:szCs w:val="24"/>
        </w:rPr>
        <w:t>Paul Sandrock – Assistant Director for the Content and Learning Team at the Wisconsin Department of Public Instruction</w:t>
      </w:r>
    </w:p>
    <w:p w:rsidR="00113BA8" w:rsidRPr="00631958" w:rsidRDefault="00113BA8" w:rsidP="00631958">
      <w:pPr>
        <w:pStyle w:val="ListParagraph"/>
        <w:numPr>
          <w:ilvl w:val="0"/>
          <w:numId w:val="23"/>
        </w:numPr>
        <w:spacing w:line="360" w:lineRule="auto"/>
        <w:ind w:left="1080"/>
        <w:rPr>
          <w:szCs w:val="24"/>
        </w:rPr>
      </w:pPr>
      <w:r w:rsidRPr="00113BA8">
        <w:rPr>
          <w:szCs w:val="24"/>
        </w:rPr>
        <w:t>Richard Tucker – Professor in Applied Linguistics in the Department of Modern Languages at Carnegie Mellon University</w:t>
      </w:r>
    </w:p>
    <w:p w:rsidR="00113BA8" w:rsidRPr="00113BA8" w:rsidRDefault="00113BA8" w:rsidP="00631958">
      <w:pPr>
        <w:pStyle w:val="ListParagraph"/>
        <w:numPr>
          <w:ilvl w:val="0"/>
          <w:numId w:val="25"/>
        </w:numPr>
        <w:spacing w:line="360" w:lineRule="auto"/>
        <w:ind w:left="1080"/>
        <w:rPr>
          <w:szCs w:val="24"/>
        </w:rPr>
      </w:pPr>
      <w:r w:rsidRPr="00113BA8">
        <w:rPr>
          <w:szCs w:val="24"/>
        </w:rPr>
        <w:t>Scott McGinnis –</w:t>
      </w:r>
      <w:r w:rsidR="00631958">
        <w:rPr>
          <w:szCs w:val="24"/>
        </w:rPr>
        <w:t xml:space="preserve"> </w:t>
      </w:r>
      <w:r w:rsidRPr="00113BA8">
        <w:rPr>
          <w:szCs w:val="24"/>
        </w:rPr>
        <w:t>Academic Advisor and Professor at the Defense Language Institute.</w:t>
      </w:r>
    </w:p>
    <w:sectPr w:rsidR="00113BA8" w:rsidRPr="00113BA8" w:rsidSect="002114DA">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004" w:rsidRDefault="00AB6004">
      <w:r>
        <w:separator/>
      </w:r>
    </w:p>
  </w:endnote>
  <w:endnote w:type="continuationSeparator" w:id="0">
    <w:p w:rsidR="00AB6004" w:rsidRDefault="00AB6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7A" w:rsidRPr="00565F6E" w:rsidRDefault="00452519" w:rsidP="00965126">
    <w:pPr>
      <w:pStyle w:val="Footer"/>
      <w:framePr w:wrap="around" w:vAnchor="text" w:hAnchor="margin" w:xAlign="right" w:y="1"/>
      <w:rPr>
        <w:rStyle w:val="PageNumber"/>
        <w:rFonts w:ascii="Arial" w:hAnsi="Arial" w:cs="Arial"/>
        <w:sz w:val="18"/>
        <w:szCs w:val="18"/>
      </w:rPr>
    </w:pPr>
    <w:r w:rsidRPr="00565F6E">
      <w:rPr>
        <w:rStyle w:val="PageNumber"/>
        <w:rFonts w:ascii="Arial" w:hAnsi="Arial" w:cs="Arial"/>
        <w:sz w:val="18"/>
        <w:szCs w:val="18"/>
      </w:rPr>
      <w:fldChar w:fldCharType="begin"/>
    </w:r>
    <w:r w:rsidR="00B4527A" w:rsidRPr="00565F6E">
      <w:rPr>
        <w:rStyle w:val="PageNumber"/>
        <w:rFonts w:ascii="Arial" w:hAnsi="Arial" w:cs="Arial"/>
        <w:sz w:val="18"/>
        <w:szCs w:val="18"/>
      </w:rPr>
      <w:instrText xml:space="preserve">PAGE  </w:instrText>
    </w:r>
    <w:r w:rsidRPr="00565F6E">
      <w:rPr>
        <w:rStyle w:val="PageNumber"/>
        <w:rFonts w:ascii="Arial" w:hAnsi="Arial" w:cs="Arial"/>
        <w:sz w:val="18"/>
        <w:szCs w:val="18"/>
      </w:rPr>
      <w:fldChar w:fldCharType="separate"/>
    </w:r>
    <w:r w:rsidR="00115E9F">
      <w:rPr>
        <w:rStyle w:val="PageNumber"/>
        <w:rFonts w:ascii="Arial" w:hAnsi="Arial" w:cs="Arial"/>
        <w:noProof/>
        <w:sz w:val="18"/>
        <w:szCs w:val="18"/>
      </w:rPr>
      <w:t>2</w:t>
    </w:r>
    <w:r w:rsidRPr="00565F6E">
      <w:rPr>
        <w:rStyle w:val="PageNumber"/>
        <w:rFonts w:ascii="Arial" w:hAnsi="Arial" w:cs="Arial"/>
        <w:sz w:val="18"/>
        <w:szCs w:val="18"/>
      </w:rPr>
      <w:fldChar w:fldCharType="end"/>
    </w:r>
  </w:p>
  <w:p w:rsidR="00B4527A" w:rsidRPr="00565F6E" w:rsidRDefault="00B4527A" w:rsidP="00965126">
    <w:pPr>
      <w:pStyle w:val="Footer"/>
      <w:pBdr>
        <w:top w:val="single" w:sz="4" w:space="1" w:color="auto"/>
      </w:pBdr>
      <w:tabs>
        <w:tab w:val="left" w:pos="9360"/>
      </w:tabs>
      <w:rPr>
        <w:rFonts w:ascii="Arial" w:hAnsi="Arial" w:cs="Arial"/>
        <w:sz w:val="18"/>
        <w:szCs w:val="18"/>
      </w:rPr>
    </w:pPr>
    <w:r w:rsidRPr="00565F6E">
      <w:rPr>
        <w:rFonts w:ascii="Arial" w:hAnsi="Arial" w:cs="Arial"/>
        <w:sz w:val="18"/>
        <w:szCs w:val="18"/>
      </w:rPr>
      <w:t>American Institutes for Research</w:t>
    </w:r>
    <w:r w:rsidRPr="000551E7">
      <w:rPr>
        <w:rFonts w:ascii="Arial" w:hAnsi="Arial" w:cs="Arial"/>
        <w:sz w:val="18"/>
        <w:szCs w:val="18"/>
        <w:vertAlign w:val="superscript"/>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7A" w:rsidRPr="003C53F4" w:rsidRDefault="00452519" w:rsidP="00965126">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B4527A"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9E08BF">
      <w:rPr>
        <w:rStyle w:val="PageNumber"/>
        <w:rFonts w:ascii="Arial" w:hAnsi="Arial" w:cs="Arial"/>
        <w:noProof/>
        <w:sz w:val="20"/>
      </w:rPr>
      <w:t>i</w:t>
    </w:r>
    <w:r w:rsidRPr="003C53F4">
      <w:rPr>
        <w:rStyle w:val="PageNumber"/>
        <w:rFonts w:ascii="Arial" w:hAnsi="Arial" w:cs="Arial"/>
        <w:sz w:val="20"/>
      </w:rPr>
      <w:fldChar w:fldCharType="end"/>
    </w:r>
  </w:p>
  <w:p w:rsidR="00B4527A" w:rsidRPr="003C53F4" w:rsidRDefault="00B4527A" w:rsidP="009E08BF">
    <w:pPr>
      <w:pStyle w:val="Footer"/>
      <w:pBdr>
        <w:top w:val="single" w:sz="4" w:space="1" w:color="auto"/>
      </w:pBdr>
      <w:tabs>
        <w:tab w:val="left" w:pos="9360"/>
      </w:tabs>
      <w:rPr>
        <w:rFonts w:ascii="Arial" w:hAnsi="Arial" w:cs="Arial"/>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E8" w:rsidRPr="003C53F4" w:rsidRDefault="00452519" w:rsidP="00E075E8">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E075E8"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9E08BF">
      <w:rPr>
        <w:rStyle w:val="PageNumber"/>
        <w:rFonts w:ascii="Arial" w:hAnsi="Arial" w:cs="Arial"/>
        <w:noProof/>
        <w:sz w:val="20"/>
      </w:rPr>
      <w:t>3</w:t>
    </w:r>
    <w:r w:rsidRPr="003C53F4">
      <w:rPr>
        <w:rStyle w:val="PageNumber"/>
        <w:rFonts w:ascii="Arial" w:hAnsi="Arial" w:cs="Arial"/>
        <w:sz w:val="20"/>
      </w:rPr>
      <w:fldChar w:fldCharType="end"/>
    </w:r>
  </w:p>
  <w:p w:rsidR="00E075E8" w:rsidRPr="003C53F4" w:rsidRDefault="00E075E8" w:rsidP="009E08BF">
    <w:pPr>
      <w:pStyle w:val="Footer"/>
      <w:pBdr>
        <w:top w:val="single" w:sz="4" w:space="1" w:color="auto"/>
      </w:pBdr>
      <w:tabs>
        <w:tab w:val="left" w:pos="9360"/>
      </w:tabs>
      <w:rPr>
        <w:rFonts w:ascii="Arial" w:hAnsi="Arial" w:cs="Arial"/>
        <w:sz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DA" w:rsidRPr="003C53F4" w:rsidRDefault="00452519" w:rsidP="002114DA">
    <w:pPr>
      <w:pStyle w:val="Footer"/>
      <w:framePr w:wrap="around" w:vAnchor="text" w:hAnchor="margin" w:xAlign="right" w:y="1"/>
      <w:rPr>
        <w:rStyle w:val="PageNumber"/>
        <w:rFonts w:ascii="Arial" w:hAnsi="Arial" w:cs="Arial"/>
        <w:sz w:val="20"/>
      </w:rPr>
    </w:pPr>
    <w:r w:rsidRPr="003C53F4">
      <w:rPr>
        <w:rStyle w:val="PageNumber"/>
        <w:rFonts w:ascii="Arial" w:hAnsi="Arial" w:cs="Arial"/>
        <w:sz w:val="20"/>
      </w:rPr>
      <w:fldChar w:fldCharType="begin"/>
    </w:r>
    <w:r w:rsidR="002114DA" w:rsidRPr="003C53F4">
      <w:rPr>
        <w:rStyle w:val="PageNumber"/>
        <w:rFonts w:ascii="Arial" w:hAnsi="Arial" w:cs="Arial"/>
        <w:sz w:val="20"/>
      </w:rPr>
      <w:instrText xml:space="preserve">PAGE  </w:instrText>
    </w:r>
    <w:r w:rsidRPr="003C53F4">
      <w:rPr>
        <w:rStyle w:val="PageNumber"/>
        <w:rFonts w:ascii="Arial" w:hAnsi="Arial" w:cs="Arial"/>
        <w:sz w:val="20"/>
      </w:rPr>
      <w:fldChar w:fldCharType="separate"/>
    </w:r>
    <w:r w:rsidR="009E08BF">
      <w:rPr>
        <w:rStyle w:val="PageNumber"/>
        <w:rFonts w:ascii="Arial" w:hAnsi="Arial" w:cs="Arial"/>
        <w:noProof/>
        <w:sz w:val="20"/>
      </w:rPr>
      <w:t>1</w:t>
    </w:r>
    <w:r w:rsidRPr="003C53F4">
      <w:rPr>
        <w:rStyle w:val="PageNumber"/>
        <w:rFonts w:ascii="Arial" w:hAnsi="Arial" w:cs="Arial"/>
        <w:sz w:val="20"/>
      </w:rPr>
      <w:fldChar w:fldCharType="end"/>
    </w:r>
  </w:p>
  <w:p w:rsidR="002114DA" w:rsidRPr="003C53F4" w:rsidRDefault="002114DA" w:rsidP="009E08BF">
    <w:pPr>
      <w:pStyle w:val="Footer"/>
      <w:pBdr>
        <w:top w:val="single" w:sz="4" w:space="1" w:color="auto"/>
      </w:pBdr>
      <w:tabs>
        <w:tab w:val="left" w:pos="9360"/>
      </w:tabs>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004" w:rsidRDefault="00AB6004">
      <w:r>
        <w:separator/>
      </w:r>
    </w:p>
  </w:footnote>
  <w:footnote w:type="continuationSeparator" w:id="0">
    <w:p w:rsidR="00AB6004" w:rsidRDefault="00AB6004">
      <w:r>
        <w:continuationSeparator/>
      </w:r>
    </w:p>
  </w:footnote>
  <w:footnote w:id="1">
    <w:p w:rsidR="00B4527A" w:rsidRPr="00D210EC" w:rsidRDefault="00B4527A" w:rsidP="00FE0855">
      <w:pPr>
        <w:rPr>
          <w:sz w:val="20"/>
        </w:rPr>
      </w:pPr>
      <w:r>
        <w:rPr>
          <w:rStyle w:val="FootnoteReference"/>
        </w:rPr>
        <w:footnoteRef/>
      </w:r>
      <w:r>
        <w:t xml:space="preserve"> </w:t>
      </w:r>
      <w:r w:rsidRPr="00D210EC">
        <w:rPr>
          <w:sz w:val="20"/>
        </w:rPr>
        <w:t xml:space="preserve">National Research Council (2007). </w:t>
      </w:r>
      <w:r w:rsidRPr="00D210EC">
        <w:rPr>
          <w:i/>
          <w:sz w:val="20"/>
        </w:rPr>
        <w:t>International Education and Foreign Languages: Keys to Securing America’s Future</w:t>
      </w:r>
      <w:r w:rsidRPr="00D210EC">
        <w:rPr>
          <w:sz w:val="20"/>
        </w:rPr>
        <w:t xml:space="preserve">, Committee to Review the Title VI and Fulbright-Hays International Education Programs, M.E. O’Connell and J.L. Norwood, Editors. Center for Education, Division of Behavioral and Social Sciences and Education. </w:t>
      </w:r>
      <w:smartTag w:uri="urn:schemas-microsoft-com:office:smarttags" w:element="place">
        <w:smartTag w:uri="urn:schemas-microsoft-com:office:smarttags" w:element="City">
          <w:r w:rsidRPr="00D210EC">
            <w:rPr>
              <w:sz w:val="20"/>
            </w:rPr>
            <w:t>Washington</w:t>
          </w:r>
        </w:smartTag>
        <w:r w:rsidRPr="00D210EC">
          <w:rPr>
            <w:sz w:val="20"/>
          </w:rPr>
          <w:t xml:space="preserve">, </w:t>
        </w:r>
        <w:smartTag w:uri="urn:schemas-microsoft-com:office:smarttags" w:element="State">
          <w:r w:rsidRPr="00D210EC">
            <w:rPr>
              <w:sz w:val="20"/>
            </w:rPr>
            <w:t>DC</w:t>
          </w:r>
        </w:smartTag>
      </w:smartTag>
      <w:r w:rsidRPr="00D210EC">
        <w:rPr>
          <w:sz w:val="20"/>
        </w:rPr>
        <w:t>: The National Academies Press.</w:t>
      </w:r>
    </w:p>
  </w:footnote>
  <w:footnote w:id="2">
    <w:p w:rsidR="00B4527A" w:rsidRPr="009659DC" w:rsidRDefault="00B4527A" w:rsidP="001E040B">
      <w:pPr>
        <w:rPr>
          <w:sz w:val="20"/>
        </w:rPr>
      </w:pPr>
      <w:r w:rsidRPr="009659DC">
        <w:rPr>
          <w:rStyle w:val="FootnoteReference"/>
          <w:sz w:val="20"/>
        </w:rPr>
        <w:footnoteRef/>
      </w:r>
      <w:r w:rsidRPr="009659DC">
        <w:rPr>
          <w:sz w:val="20"/>
        </w:rPr>
        <w:t xml:space="preserve"> National Research Council (2007). </w:t>
      </w:r>
      <w:r w:rsidRPr="009659DC">
        <w:rPr>
          <w:i/>
          <w:sz w:val="20"/>
        </w:rPr>
        <w:t>International Education and Foreign Languages: Keys to Securing America’s Future</w:t>
      </w:r>
      <w:r w:rsidRPr="009659DC">
        <w:rPr>
          <w:sz w:val="20"/>
        </w:rPr>
        <w:t>, Committee to Review the Title VI and Fulbright-Hays International Education Programs, M.E. O’Connell and J.L. Norwood, Editors. Center for Education, Division of Behavioral and Social Sciences and Education. Washington, DC: The National Academies Press.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7A" w:rsidRPr="00565F6E" w:rsidRDefault="00B4527A" w:rsidP="00965126">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000"/>
    </w:tblPr>
    <w:tblGrid>
      <w:gridCol w:w="918"/>
      <w:gridCol w:w="10098"/>
    </w:tblGrid>
    <w:tr w:rsidR="00B4527A" w:rsidTr="00B4527A">
      <w:tc>
        <w:tcPr>
          <w:tcW w:w="918" w:type="dxa"/>
          <w:vAlign w:val="bottom"/>
        </w:tcPr>
        <w:p w:rsidR="00B4527A" w:rsidRDefault="00B4527A" w:rsidP="00B4527A">
          <w:pPr>
            <w:pStyle w:val="CovAIRName"/>
          </w:pPr>
        </w:p>
      </w:tc>
      <w:tc>
        <w:tcPr>
          <w:tcW w:w="10098" w:type="dxa"/>
          <w:vAlign w:val="bottom"/>
        </w:tcPr>
        <w:p w:rsidR="00B4527A" w:rsidRPr="002553DC" w:rsidRDefault="00B4527A" w:rsidP="00B4527A">
          <w:pPr>
            <w:pStyle w:val="CovAIRName"/>
            <w:rPr>
              <w:color w:val="3E5E8E"/>
            </w:rPr>
          </w:pPr>
        </w:p>
      </w:tc>
    </w:tr>
  </w:tbl>
  <w:p w:rsidR="00B4527A" w:rsidRDefault="00452519" w:rsidP="00E2086D">
    <w:pPr>
      <w:pStyle w:val="BodyText"/>
    </w:pPr>
    <w:r>
      <w:rPr>
        <w:noProof/>
      </w:rPr>
      <w:pict>
        <v:rect id="_x0000_s2049" style="position:absolute;margin-left:6793.1pt;margin-top:0;width:518.55pt;height:11in;z-index:-251658752;mso-position-horizontal:right;mso-position-horizontal-relative:page;mso-position-vertical:top;mso-position-vertical-relative:page" fillcolor="silver" stroked="f">
          <w10:wrap anchorx="page" anchory="page"/>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27A" w:rsidRPr="00565F6E" w:rsidRDefault="00B4527A" w:rsidP="00965126">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4DA" w:rsidRPr="00565F6E" w:rsidRDefault="002114DA" w:rsidP="002114DA">
    <w:pPr>
      <w:pStyle w:val="Footer"/>
      <w:pBdr>
        <w:bottom w:val="single" w:sz="4" w:space="1" w:color="auto"/>
      </w:pBdr>
      <w:jc w:val="right"/>
      <w:rPr>
        <w:rFonts w:ascii="Arial" w:hAnsi="Arial" w:cs="Arial"/>
        <w:sz w:val="18"/>
        <w:szCs w:val="18"/>
      </w:rPr>
    </w:pPr>
    <w:r>
      <w:rPr>
        <w:rFonts w:ascii="Arial" w:hAnsi="Arial" w:cs="Arial"/>
        <w:sz w:val="18"/>
        <w:szCs w:val="18"/>
      </w:rPr>
      <w:t>OMB Clearance Request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1442BFA"/>
    <w:lvl w:ilvl="0">
      <w:start w:val="1"/>
      <w:numFmt w:val="decimal"/>
      <w:lvlText w:val="%1."/>
      <w:lvlJc w:val="left"/>
      <w:pPr>
        <w:tabs>
          <w:tab w:val="num" w:pos="1800"/>
        </w:tabs>
        <w:ind w:left="1800" w:hanging="360"/>
      </w:pPr>
    </w:lvl>
  </w:abstractNum>
  <w:abstractNum w:abstractNumId="1">
    <w:nsid w:val="FFFFFF7D"/>
    <w:multiLevelType w:val="singleLevel"/>
    <w:tmpl w:val="AE34ADCC"/>
    <w:lvl w:ilvl="0">
      <w:start w:val="1"/>
      <w:numFmt w:val="decimal"/>
      <w:lvlText w:val="%1."/>
      <w:lvlJc w:val="left"/>
      <w:pPr>
        <w:tabs>
          <w:tab w:val="num" w:pos="1440"/>
        </w:tabs>
        <w:ind w:left="1440" w:hanging="360"/>
      </w:pPr>
    </w:lvl>
  </w:abstractNum>
  <w:abstractNum w:abstractNumId="2">
    <w:nsid w:val="FFFFFF7E"/>
    <w:multiLevelType w:val="singleLevel"/>
    <w:tmpl w:val="830CE652"/>
    <w:lvl w:ilvl="0">
      <w:start w:val="1"/>
      <w:numFmt w:val="decimal"/>
      <w:lvlText w:val="%1."/>
      <w:lvlJc w:val="left"/>
      <w:pPr>
        <w:tabs>
          <w:tab w:val="num" w:pos="1080"/>
        </w:tabs>
        <w:ind w:left="1080" w:hanging="360"/>
      </w:pPr>
    </w:lvl>
  </w:abstractNum>
  <w:abstractNum w:abstractNumId="3">
    <w:nsid w:val="FFFFFF7F"/>
    <w:multiLevelType w:val="singleLevel"/>
    <w:tmpl w:val="97D6728A"/>
    <w:lvl w:ilvl="0">
      <w:start w:val="1"/>
      <w:numFmt w:val="decimal"/>
      <w:lvlText w:val="%1."/>
      <w:lvlJc w:val="left"/>
      <w:pPr>
        <w:tabs>
          <w:tab w:val="num" w:pos="720"/>
        </w:tabs>
        <w:ind w:left="720" w:hanging="360"/>
      </w:pPr>
    </w:lvl>
  </w:abstractNum>
  <w:abstractNum w:abstractNumId="4">
    <w:nsid w:val="FFFFFF80"/>
    <w:multiLevelType w:val="singleLevel"/>
    <w:tmpl w:val="669CE1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0A212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1868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414D3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0EFC6A"/>
    <w:lvl w:ilvl="0">
      <w:start w:val="1"/>
      <w:numFmt w:val="decimal"/>
      <w:lvlText w:val="%1."/>
      <w:lvlJc w:val="left"/>
      <w:pPr>
        <w:tabs>
          <w:tab w:val="num" w:pos="360"/>
        </w:tabs>
        <w:ind w:left="360" w:hanging="360"/>
      </w:pPr>
    </w:lvl>
  </w:abstractNum>
  <w:abstractNum w:abstractNumId="9">
    <w:nsid w:val="FFFFFF89"/>
    <w:multiLevelType w:val="singleLevel"/>
    <w:tmpl w:val="9E00E716"/>
    <w:lvl w:ilvl="0">
      <w:start w:val="1"/>
      <w:numFmt w:val="bullet"/>
      <w:lvlText w:val=""/>
      <w:lvlJc w:val="left"/>
      <w:pPr>
        <w:tabs>
          <w:tab w:val="num" w:pos="360"/>
        </w:tabs>
        <w:ind w:left="360" w:hanging="360"/>
      </w:pPr>
      <w:rPr>
        <w:rFonts w:ascii="Symbol" w:hAnsi="Symbol" w:hint="default"/>
      </w:rPr>
    </w:lvl>
  </w:abstractNum>
  <w:abstractNum w:abstractNumId="10">
    <w:nsid w:val="07A861A9"/>
    <w:multiLevelType w:val="hybridMultilevel"/>
    <w:tmpl w:val="B9904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061378"/>
    <w:multiLevelType w:val="hybridMultilevel"/>
    <w:tmpl w:val="F1223E1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nsid w:val="162D7074"/>
    <w:multiLevelType w:val="hybridMultilevel"/>
    <w:tmpl w:val="C5560DE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nsid w:val="201030DE"/>
    <w:multiLevelType w:val="hybridMultilevel"/>
    <w:tmpl w:val="977E4096"/>
    <w:lvl w:ilvl="0" w:tplc="6B8EB526">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47B28DA"/>
    <w:multiLevelType w:val="hybridMultilevel"/>
    <w:tmpl w:val="DD06D6B2"/>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nsid w:val="453E27CA"/>
    <w:multiLevelType w:val="hybridMultilevel"/>
    <w:tmpl w:val="70D2A3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BF52E6F"/>
    <w:multiLevelType w:val="hybridMultilevel"/>
    <w:tmpl w:val="1696F78A"/>
    <w:lvl w:ilvl="0" w:tplc="81D44986">
      <w:start w:val="1"/>
      <w:numFmt w:val="bullet"/>
      <w:lvlText w:val=""/>
      <w:lvlJc w:val="left"/>
      <w:pPr>
        <w:tabs>
          <w:tab w:val="num" w:pos="1800"/>
        </w:tabs>
        <w:ind w:left="1800" w:hanging="360"/>
      </w:pPr>
      <w:rPr>
        <w:rFonts w:ascii="Symbol" w:hAnsi="Symbol" w:hint="default"/>
        <w:b w:val="0"/>
        <w:i w:val="0"/>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DB30BD0"/>
    <w:multiLevelType w:val="hybridMultilevel"/>
    <w:tmpl w:val="B30203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8D030C"/>
    <w:multiLevelType w:val="hybridMultilevel"/>
    <w:tmpl w:val="042098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B978E7"/>
    <w:multiLevelType w:val="hybridMultilevel"/>
    <w:tmpl w:val="020CDF3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2243E7C"/>
    <w:multiLevelType w:val="multilevel"/>
    <w:tmpl w:val="A8823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76A2925"/>
    <w:multiLevelType w:val="hybridMultilevel"/>
    <w:tmpl w:val="4874E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7E87D6A"/>
    <w:multiLevelType w:val="hybridMultilevel"/>
    <w:tmpl w:val="51627CA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nsid w:val="6E7E2B0A"/>
    <w:multiLevelType w:val="hybridMultilevel"/>
    <w:tmpl w:val="AC8E6E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4CF7E92"/>
    <w:multiLevelType w:val="hybridMultilevel"/>
    <w:tmpl w:val="AB20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391904"/>
    <w:multiLevelType w:val="hybridMultilevel"/>
    <w:tmpl w:val="E1564E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0"/>
  </w:num>
  <w:num w:numId="2">
    <w:abstractNumId w:val="10"/>
  </w:num>
  <w:num w:numId="3">
    <w:abstractNumId w:val="17"/>
  </w:num>
  <w:num w:numId="4">
    <w:abstractNumId w:val="25"/>
  </w:num>
  <w:num w:numId="5">
    <w:abstractNumId w:val="15"/>
  </w:num>
  <w:num w:numId="6">
    <w:abstractNumId w:val="19"/>
  </w:num>
  <w:num w:numId="7">
    <w:abstractNumId w:val="13"/>
  </w:num>
  <w:num w:numId="8">
    <w:abstractNumId w:val="21"/>
  </w:num>
  <w:num w:numId="9">
    <w:abstractNumId w:val="18"/>
  </w:num>
  <w:num w:numId="10">
    <w:abstractNumId w:val="23"/>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22"/>
  </w:num>
  <w:num w:numId="24">
    <w:abstractNumId w:val="12"/>
  </w:num>
  <w:num w:numId="25">
    <w:abstractNumId w:val="14"/>
  </w:num>
  <w:num w:numId="2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displayVerticalDrawingGridEvery w:val="2"/>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rsids>
    <w:rsidRoot w:val="00746922"/>
    <w:rsid w:val="00021B7F"/>
    <w:rsid w:val="000235BD"/>
    <w:rsid w:val="0002694A"/>
    <w:rsid w:val="0003006A"/>
    <w:rsid w:val="0003448B"/>
    <w:rsid w:val="00036C02"/>
    <w:rsid w:val="00041173"/>
    <w:rsid w:val="000528B1"/>
    <w:rsid w:val="00065513"/>
    <w:rsid w:val="00070252"/>
    <w:rsid w:val="000732D2"/>
    <w:rsid w:val="000746E2"/>
    <w:rsid w:val="00081FD3"/>
    <w:rsid w:val="000856CB"/>
    <w:rsid w:val="00086F1E"/>
    <w:rsid w:val="00087FC5"/>
    <w:rsid w:val="00092FE5"/>
    <w:rsid w:val="000952D1"/>
    <w:rsid w:val="000A3E1F"/>
    <w:rsid w:val="000A6C0F"/>
    <w:rsid w:val="000A6FE2"/>
    <w:rsid w:val="000B008D"/>
    <w:rsid w:val="000B0C0B"/>
    <w:rsid w:val="000B15F2"/>
    <w:rsid w:val="000B59BB"/>
    <w:rsid w:val="000B5DEC"/>
    <w:rsid w:val="000D3F7F"/>
    <w:rsid w:val="000E4226"/>
    <w:rsid w:val="000E79B7"/>
    <w:rsid w:val="000F526C"/>
    <w:rsid w:val="000F5FC0"/>
    <w:rsid w:val="0011040B"/>
    <w:rsid w:val="00113BA8"/>
    <w:rsid w:val="001141E4"/>
    <w:rsid w:val="001142E6"/>
    <w:rsid w:val="0011523B"/>
    <w:rsid w:val="00115E9F"/>
    <w:rsid w:val="00117946"/>
    <w:rsid w:val="00120BBA"/>
    <w:rsid w:val="00125157"/>
    <w:rsid w:val="001267DB"/>
    <w:rsid w:val="00131104"/>
    <w:rsid w:val="00135B8A"/>
    <w:rsid w:val="0014363E"/>
    <w:rsid w:val="00160690"/>
    <w:rsid w:val="00167113"/>
    <w:rsid w:val="0017029F"/>
    <w:rsid w:val="00172A28"/>
    <w:rsid w:val="0017775F"/>
    <w:rsid w:val="00180693"/>
    <w:rsid w:val="001820E9"/>
    <w:rsid w:val="00185C9E"/>
    <w:rsid w:val="0018661F"/>
    <w:rsid w:val="00186638"/>
    <w:rsid w:val="0019698D"/>
    <w:rsid w:val="001971D2"/>
    <w:rsid w:val="001A5840"/>
    <w:rsid w:val="001B54C9"/>
    <w:rsid w:val="001B55B8"/>
    <w:rsid w:val="001C39C1"/>
    <w:rsid w:val="001C4C2E"/>
    <w:rsid w:val="001D7C77"/>
    <w:rsid w:val="001D7E01"/>
    <w:rsid w:val="001E040B"/>
    <w:rsid w:val="001E0F66"/>
    <w:rsid w:val="001E27C6"/>
    <w:rsid w:val="001E2AD2"/>
    <w:rsid w:val="001E66D4"/>
    <w:rsid w:val="001F0F1E"/>
    <w:rsid w:val="001F540B"/>
    <w:rsid w:val="00204DFE"/>
    <w:rsid w:val="0020693E"/>
    <w:rsid w:val="00207F26"/>
    <w:rsid w:val="002114DA"/>
    <w:rsid w:val="002166E9"/>
    <w:rsid w:val="00217B03"/>
    <w:rsid w:val="00227427"/>
    <w:rsid w:val="0023640F"/>
    <w:rsid w:val="00243225"/>
    <w:rsid w:val="00254D6B"/>
    <w:rsid w:val="00263701"/>
    <w:rsid w:val="0026595E"/>
    <w:rsid w:val="002668AB"/>
    <w:rsid w:val="00270E6B"/>
    <w:rsid w:val="002718F5"/>
    <w:rsid w:val="002846E5"/>
    <w:rsid w:val="00286A93"/>
    <w:rsid w:val="002A0A57"/>
    <w:rsid w:val="002A1244"/>
    <w:rsid w:val="002A3B19"/>
    <w:rsid w:val="002A59E8"/>
    <w:rsid w:val="002B1716"/>
    <w:rsid w:val="002B21F3"/>
    <w:rsid w:val="002B39F5"/>
    <w:rsid w:val="002B6385"/>
    <w:rsid w:val="002B6A5C"/>
    <w:rsid w:val="002B7EC4"/>
    <w:rsid w:val="002C19B9"/>
    <w:rsid w:val="002C2F0D"/>
    <w:rsid w:val="002C368B"/>
    <w:rsid w:val="002C67C2"/>
    <w:rsid w:val="002C78A6"/>
    <w:rsid w:val="002D3D22"/>
    <w:rsid w:val="002D4281"/>
    <w:rsid w:val="002D7C52"/>
    <w:rsid w:val="002E4687"/>
    <w:rsid w:val="002E4980"/>
    <w:rsid w:val="00300D04"/>
    <w:rsid w:val="00302E0F"/>
    <w:rsid w:val="003041F3"/>
    <w:rsid w:val="003140A9"/>
    <w:rsid w:val="00317BA5"/>
    <w:rsid w:val="00322AAE"/>
    <w:rsid w:val="00323D3F"/>
    <w:rsid w:val="00325274"/>
    <w:rsid w:val="00326657"/>
    <w:rsid w:val="0032725D"/>
    <w:rsid w:val="00332C3F"/>
    <w:rsid w:val="00342F99"/>
    <w:rsid w:val="00353B9D"/>
    <w:rsid w:val="00367360"/>
    <w:rsid w:val="0037128A"/>
    <w:rsid w:val="00371461"/>
    <w:rsid w:val="003725B9"/>
    <w:rsid w:val="00373F26"/>
    <w:rsid w:val="0038247C"/>
    <w:rsid w:val="003848A6"/>
    <w:rsid w:val="00386123"/>
    <w:rsid w:val="00391DB7"/>
    <w:rsid w:val="00395D68"/>
    <w:rsid w:val="003A12DB"/>
    <w:rsid w:val="003A6745"/>
    <w:rsid w:val="003A73CA"/>
    <w:rsid w:val="003B3AB4"/>
    <w:rsid w:val="003C53F4"/>
    <w:rsid w:val="003C6850"/>
    <w:rsid w:val="003D3B96"/>
    <w:rsid w:val="003E0BB8"/>
    <w:rsid w:val="003E2FD2"/>
    <w:rsid w:val="003F3478"/>
    <w:rsid w:val="003F3FEA"/>
    <w:rsid w:val="003F53B3"/>
    <w:rsid w:val="003F6A65"/>
    <w:rsid w:val="00400239"/>
    <w:rsid w:val="00404815"/>
    <w:rsid w:val="00406C1D"/>
    <w:rsid w:val="00411B8A"/>
    <w:rsid w:val="004148EB"/>
    <w:rsid w:val="00430CB4"/>
    <w:rsid w:val="0043472E"/>
    <w:rsid w:val="00437BFC"/>
    <w:rsid w:val="00443296"/>
    <w:rsid w:val="00452519"/>
    <w:rsid w:val="00461D7B"/>
    <w:rsid w:val="00463241"/>
    <w:rsid w:val="004635E0"/>
    <w:rsid w:val="004645F3"/>
    <w:rsid w:val="004655C5"/>
    <w:rsid w:val="004773E6"/>
    <w:rsid w:val="0048083B"/>
    <w:rsid w:val="00480979"/>
    <w:rsid w:val="004837D6"/>
    <w:rsid w:val="00485163"/>
    <w:rsid w:val="004878B6"/>
    <w:rsid w:val="00487E09"/>
    <w:rsid w:val="0049058A"/>
    <w:rsid w:val="004A1F7D"/>
    <w:rsid w:val="004A3FC6"/>
    <w:rsid w:val="004A79C0"/>
    <w:rsid w:val="004B076C"/>
    <w:rsid w:val="004C34A7"/>
    <w:rsid w:val="004D3603"/>
    <w:rsid w:val="004D4B07"/>
    <w:rsid w:val="004D4B6E"/>
    <w:rsid w:val="004D6A38"/>
    <w:rsid w:val="004E09A2"/>
    <w:rsid w:val="004E0A75"/>
    <w:rsid w:val="004E6CEA"/>
    <w:rsid w:val="004F7F21"/>
    <w:rsid w:val="00502E37"/>
    <w:rsid w:val="0050389B"/>
    <w:rsid w:val="0051503F"/>
    <w:rsid w:val="0051563B"/>
    <w:rsid w:val="00517CD4"/>
    <w:rsid w:val="00527864"/>
    <w:rsid w:val="0053210F"/>
    <w:rsid w:val="00533242"/>
    <w:rsid w:val="00545C34"/>
    <w:rsid w:val="00557D21"/>
    <w:rsid w:val="00560C58"/>
    <w:rsid w:val="00570FD4"/>
    <w:rsid w:val="00573396"/>
    <w:rsid w:val="0057659C"/>
    <w:rsid w:val="005814CA"/>
    <w:rsid w:val="00581F94"/>
    <w:rsid w:val="00595621"/>
    <w:rsid w:val="00597BAB"/>
    <w:rsid w:val="005A0FA8"/>
    <w:rsid w:val="005A1BC5"/>
    <w:rsid w:val="005A3592"/>
    <w:rsid w:val="005A7BF9"/>
    <w:rsid w:val="005B3AC2"/>
    <w:rsid w:val="005B7506"/>
    <w:rsid w:val="005C55B9"/>
    <w:rsid w:val="005E03CA"/>
    <w:rsid w:val="005E2000"/>
    <w:rsid w:val="00601E5E"/>
    <w:rsid w:val="00602F4A"/>
    <w:rsid w:val="006118B1"/>
    <w:rsid w:val="00621EAA"/>
    <w:rsid w:val="00623C01"/>
    <w:rsid w:val="0062524D"/>
    <w:rsid w:val="00631958"/>
    <w:rsid w:val="00635539"/>
    <w:rsid w:val="0064079B"/>
    <w:rsid w:val="006633AE"/>
    <w:rsid w:val="0066439D"/>
    <w:rsid w:val="00665000"/>
    <w:rsid w:val="006709BD"/>
    <w:rsid w:val="006725A7"/>
    <w:rsid w:val="00672B49"/>
    <w:rsid w:val="006849DD"/>
    <w:rsid w:val="00687E88"/>
    <w:rsid w:val="006902B7"/>
    <w:rsid w:val="00694DBC"/>
    <w:rsid w:val="006A51DE"/>
    <w:rsid w:val="006C0F60"/>
    <w:rsid w:val="006C220D"/>
    <w:rsid w:val="006C4EFF"/>
    <w:rsid w:val="006D0919"/>
    <w:rsid w:val="006D1988"/>
    <w:rsid w:val="006D4CEC"/>
    <w:rsid w:val="006D55FD"/>
    <w:rsid w:val="006D7805"/>
    <w:rsid w:val="006E07FF"/>
    <w:rsid w:val="006F3E34"/>
    <w:rsid w:val="006F4E0F"/>
    <w:rsid w:val="00700BBE"/>
    <w:rsid w:val="00705C6A"/>
    <w:rsid w:val="00706305"/>
    <w:rsid w:val="007126AC"/>
    <w:rsid w:val="007435C0"/>
    <w:rsid w:val="00744387"/>
    <w:rsid w:val="00746922"/>
    <w:rsid w:val="00752C7B"/>
    <w:rsid w:val="00761C88"/>
    <w:rsid w:val="00761F9B"/>
    <w:rsid w:val="00762BFA"/>
    <w:rsid w:val="00764468"/>
    <w:rsid w:val="00764A61"/>
    <w:rsid w:val="007665CC"/>
    <w:rsid w:val="0077298F"/>
    <w:rsid w:val="00787AC0"/>
    <w:rsid w:val="007976A7"/>
    <w:rsid w:val="007A4CC8"/>
    <w:rsid w:val="007A6498"/>
    <w:rsid w:val="007B0C13"/>
    <w:rsid w:val="007B48B3"/>
    <w:rsid w:val="007B70F3"/>
    <w:rsid w:val="007C20CB"/>
    <w:rsid w:val="007C6422"/>
    <w:rsid w:val="007D248A"/>
    <w:rsid w:val="007D46F0"/>
    <w:rsid w:val="007E0743"/>
    <w:rsid w:val="007F4124"/>
    <w:rsid w:val="007F5EA0"/>
    <w:rsid w:val="007F67AE"/>
    <w:rsid w:val="00800556"/>
    <w:rsid w:val="00803B24"/>
    <w:rsid w:val="008124F8"/>
    <w:rsid w:val="008127C6"/>
    <w:rsid w:val="00814C2D"/>
    <w:rsid w:val="0082038C"/>
    <w:rsid w:val="00823194"/>
    <w:rsid w:val="008262C8"/>
    <w:rsid w:val="008430D2"/>
    <w:rsid w:val="00843BD0"/>
    <w:rsid w:val="00844914"/>
    <w:rsid w:val="00844EB1"/>
    <w:rsid w:val="00845653"/>
    <w:rsid w:val="00847899"/>
    <w:rsid w:val="00851695"/>
    <w:rsid w:val="0085630A"/>
    <w:rsid w:val="008608C1"/>
    <w:rsid w:val="008729A4"/>
    <w:rsid w:val="00875625"/>
    <w:rsid w:val="00884F2D"/>
    <w:rsid w:val="0088516F"/>
    <w:rsid w:val="00891284"/>
    <w:rsid w:val="00896E6E"/>
    <w:rsid w:val="008A3B5C"/>
    <w:rsid w:val="008B10DB"/>
    <w:rsid w:val="008B28BE"/>
    <w:rsid w:val="008B6616"/>
    <w:rsid w:val="008C19E3"/>
    <w:rsid w:val="008C4AC9"/>
    <w:rsid w:val="008D0FED"/>
    <w:rsid w:val="008D66B8"/>
    <w:rsid w:val="0091382F"/>
    <w:rsid w:val="00921314"/>
    <w:rsid w:val="0092254E"/>
    <w:rsid w:val="00936E09"/>
    <w:rsid w:val="0094194F"/>
    <w:rsid w:val="00944E59"/>
    <w:rsid w:val="0094522A"/>
    <w:rsid w:val="00965126"/>
    <w:rsid w:val="009659DC"/>
    <w:rsid w:val="009714AE"/>
    <w:rsid w:val="00972D9B"/>
    <w:rsid w:val="00974DE7"/>
    <w:rsid w:val="00994C9F"/>
    <w:rsid w:val="009A2D9B"/>
    <w:rsid w:val="009A46A9"/>
    <w:rsid w:val="009A5D4D"/>
    <w:rsid w:val="009B32D2"/>
    <w:rsid w:val="009B3A29"/>
    <w:rsid w:val="009B49BD"/>
    <w:rsid w:val="009C3147"/>
    <w:rsid w:val="009D0C92"/>
    <w:rsid w:val="009D142A"/>
    <w:rsid w:val="009D1DE0"/>
    <w:rsid w:val="009D2DB7"/>
    <w:rsid w:val="009D2F7D"/>
    <w:rsid w:val="009D5D0E"/>
    <w:rsid w:val="009E08BF"/>
    <w:rsid w:val="009E1ACE"/>
    <w:rsid w:val="009E322F"/>
    <w:rsid w:val="009E61A7"/>
    <w:rsid w:val="009E6D32"/>
    <w:rsid w:val="009F70D5"/>
    <w:rsid w:val="00A031B9"/>
    <w:rsid w:val="00A10FC9"/>
    <w:rsid w:val="00A11378"/>
    <w:rsid w:val="00A11CE0"/>
    <w:rsid w:val="00A16517"/>
    <w:rsid w:val="00A26114"/>
    <w:rsid w:val="00A27701"/>
    <w:rsid w:val="00A27FD0"/>
    <w:rsid w:val="00A52B51"/>
    <w:rsid w:val="00A53B21"/>
    <w:rsid w:val="00A54B1B"/>
    <w:rsid w:val="00A55F75"/>
    <w:rsid w:val="00A56D3B"/>
    <w:rsid w:val="00A62FC5"/>
    <w:rsid w:val="00A64CAC"/>
    <w:rsid w:val="00A669D2"/>
    <w:rsid w:val="00A7103A"/>
    <w:rsid w:val="00A7115F"/>
    <w:rsid w:val="00A77A4E"/>
    <w:rsid w:val="00A77CF5"/>
    <w:rsid w:val="00A85734"/>
    <w:rsid w:val="00A90DBE"/>
    <w:rsid w:val="00A91264"/>
    <w:rsid w:val="00A96F55"/>
    <w:rsid w:val="00A9735A"/>
    <w:rsid w:val="00AB21F3"/>
    <w:rsid w:val="00AB6004"/>
    <w:rsid w:val="00AC58F1"/>
    <w:rsid w:val="00AD5EAC"/>
    <w:rsid w:val="00AD6FC8"/>
    <w:rsid w:val="00AE190A"/>
    <w:rsid w:val="00AE7DB9"/>
    <w:rsid w:val="00AF164B"/>
    <w:rsid w:val="00B04995"/>
    <w:rsid w:val="00B137ED"/>
    <w:rsid w:val="00B1432E"/>
    <w:rsid w:val="00B153D0"/>
    <w:rsid w:val="00B1569E"/>
    <w:rsid w:val="00B20547"/>
    <w:rsid w:val="00B218FF"/>
    <w:rsid w:val="00B24BE3"/>
    <w:rsid w:val="00B2683F"/>
    <w:rsid w:val="00B31669"/>
    <w:rsid w:val="00B4281D"/>
    <w:rsid w:val="00B43CC0"/>
    <w:rsid w:val="00B4527A"/>
    <w:rsid w:val="00B46200"/>
    <w:rsid w:val="00B47EF8"/>
    <w:rsid w:val="00B50895"/>
    <w:rsid w:val="00B509F1"/>
    <w:rsid w:val="00B5139E"/>
    <w:rsid w:val="00B573B4"/>
    <w:rsid w:val="00B60D3E"/>
    <w:rsid w:val="00B61269"/>
    <w:rsid w:val="00B64F71"/>
    <w:rsid w:val="00B70C4C"/>
    <w:rsid w:val="00B72A6C"/>
    <w:rsid w:val="00B72BB3"/>
    <w:rsid w:val="00B744A4"/>
    <w:rsid w:val="00B82A37"/>
    <w:rsid w:val="00B82A45"/>
    <w:rsid w:val="00B87023"/>
    <w:rsid w:val="00B94A2E"/>
    <w:rsid w:val="00BA3CB6"/>
    <w:rsid w:val="00BA420E"/>
    <w:rsid w:val="00BB34BB"/>
    <w:rsid w:val="00BC1902"/>
    <w:rsid w:val="00BC2F3B"/>
    <w:rsid w:val="00BD5AA8"/>
    <w:rsid w:val="00C054B4"/>
    <w:rsid w:val="00C169F9"/>
    <w:rsid w:val="00C33470"/>
    <w:rsid w:val="00C33E4D"/>
    <w:rsid w:val="00C36631"/>
    <w:rsid w:val="00C501C6"/>
    <w:rsid w:val="00C51F6E"/>
    <w:rsid w:val="00C5469D"/>
    <w:rsid w:val="00C649D4"/>
    <w:rsid w:val="00C657DB"/>
    <w:rsid w:val="00C87827"/>
    <w:rsid w:val="00C918CD"/>
    <w:rsid w:val="00C94B24"/>
    <w:rsid w:val="00CA1825"/>
    <w:rsid w:val="00CB1B3E"/>
    <w:rsid w:val="00CB79E7"/>
    <w:rsid w:val="00CC0E7E"/>
    <w:rsid w:val="00CD0071"/>
    <w:rsid w:val="00CD4F29"/>
    <w:rsid w:val="00CE61DF"/>
    <w:rsid w:val="00CE7912"/>
    <w:rsid w:val="00CF4CC5"/>
    <w:rsid w:val="00CF5332"/>
    <w:rsid w:val="00D03E75"/>
    <w:rsid w:val="00D14AA3"/>
    <w:rsid w:val="00D21D6A"/>
    <w:rsid w:val="00D24F82"/>
    <w:rsid w:val="00D41122"/>
    <w:rsid w:val="00D417A1"/>
    <w:rsid w:val="00D42B35"/>
    <w:rsid w:val="00D53574"/>
    <w:rsid w:val="00D5615C"/>
    <w:rsid w:val="00D60E21"/>
    <w:rsid w:val="00D621D3"/>
    <w:rsid w:val="00D72054"/>
    <w:rsid w:val="00D73D0C"/>
    <w:rsid w:val="00D744B0"/>
    <w:rsid w:val="00D747C3"/>
    <w:rsid w:val="00D7796B"/>
    <w:rsid w:val="00D827FB"/>
    <w:rsid w:val="00D85090"/>
    <w:rsid w:val="00D871DE"/>
    <w:rsid w:val="00D91486"/>
    <w:rsid w:val="00DA405B"/>
    <w:rsid w:val="00DA5F65"/>
    <w:rsid w:val="00DA63B5"/>
    <w:rsid w:val="00DB08B1"/>
    <w:rsid w:val="00DB3F5C"/>
    <w:rsid w:val="00DB5D89"/>
    <w:rsid w:val="00DE28C5"/>
    <w:rsid w:val="00DE3698"/>
    <w:rsid w:val="00DE603E"/>
    <w:rsid w:val="00DE6CD0"/>
    <w:rsid w:val="00DF6085"/>
    <w:rsid w:val="00DF6769"/>
    <w:rsid w:val="00E075E8"/>
    <w:rsid w:val="00E13815"/>
    <w:rsid w:val="00E2086D"/>
    <w:rsid w:val="00E36295"/>
    <w:rsid w:val="00E376A9"/>
    <w:rsid w:val="00E40B2B"/>
    <w:rsid w:val="00E428CD"/>
    <w:rsid w:val="00E432BB"/>
    <w:rsid w:val="00E44876"/>
    <w:rsid w:val="00E46568"/>
    <w:rsid w:val="00E46D80"/>
    <w:rsid w:val="00E5226B"/>
    <w:rsid w:val="00E73608"/>
    <w:rsid w:val="00E73803"/>
    <w:rsid w:val="00E74034"/>
    <w:rsid w:val="00E8698A"/>
    <w:rsid w:val="00E92B9E"/>
    <w:rsid w:val="00EA6FC2"/>
    <w:rsid w:val="00EB7C77"/>
    <w:rsid w:val="00EC0AD9"/>
    <w:rsid w:val="00EC400D"/>
    <w:rsid w:val="00ED3561"/>
    <w:rsid w:val="00ED5F43"/>
    <w:rsid w:val="00EE0FD5"/>
    <w:rsid w:val="00EE3723"/>
    <w:rsid w:val="00EE5347"/>
    <w:rsid w:val="00EE5ED6"/>
    <w:rsid w:val="00EE69A9"/>
    <w:rsid w:val="00EF2EBD"/>
    <w:rsid w:val="00EF62DF"/>
    <w:rsid w:val="00EF716B"/>
    <w:rsid w:val="00EF773B"/>
    <w:rsid w:val="00EF7C94"/>
    <w:rsid w:val="00F00C39"/>
    <w:rsid w:val="00F034D0"/>
    <w:rsid w:val="00F078CA"/>
    <w:rsid w:val="00F1729F"/>
    <w:rsid w:val="00F244CD"/>
    <w:rsid w:val="00F246FE"/>
    <w:rsid w:val="00F25760"/>
    <w:rsid w:val="00F31E84"/>
    <w:rsid w:val="00F3460B"/>
    <w:rsid w:val="00F3463D"/>
    <w:rsid w:val="00F44BC9"/>
    <w:rsid w:val="00F47971"/>
    <w:rsid w:val="00F57717"/>
    <w:rsid w:val="00F6021A"/>
    <w:rsid w:val="00F6159C"/>
    <w:rsid w:val="00F76453"/>
    <w:rsid w:val="00F77870"/>
    <w:rsid w:val="00F915EB"/>
    <w:rsid w:val="00F967C3"/>
    <w:rsid w:val="00F96841"/>
    <w:rsid w:val="00FB7E73"/>
    <w:rsid w:val="00FC016F"/>
    <w:rsid w:val="00FC63A8"/>
    <w:rsid w:val="00FD465B"/>
    <w:rsid w:val="00FD5A59"/>
    <w:rsid w:val="00FD75FD"/>
    <w:rsid w:val="00FE0855"/>
    <w:rsid w:val="00FE78BE"/>
    <w:rsid w:val="00FF2107"/>
    <w:rsid w:val="00FF6602"/>
    <w:rsid w:val="00FF7C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7717"/>
    <w:rPr>
      <w:rFonts w:eastAsia="Batang"/>
      <w:sz w:val="24"/>
    </w:rPr>
  </w:style>
  <w:style w:type="paragraph" w:styleId="Heading1">
    <w:name w:val="heading 1"/>
    <w:basedOn w:val="Normal"/>
    <w:next w:val="Normal"/>
    <w:link w:val="Heading1Char"/>
    <w:qFormat/>
    <w:rsid w:val="00B4527A"/>
    <w:pPr>
      <w:keepNext/>
      <w:outlineLvl w:val="0"/>
    </w:pPr>
    <w:rPr>
      <w:rFonts w:ascii="Helvetica-Narrow" w:hAnsi="Helvetica-Narrow"/>
      <w:b/>
      <w:smallCaps/>
      <w:sz w:val="32"/>
    </w:rPr>
  </w:style>
  <w:style w:type="paragraph" w:styleId="Heading2">
    <w:name w:val="heading 2"/>
    <w:basedOn w:val="Normal"/>
    <w:next w:val="Normal"/>
    <w:qFormat/>
    <w:rsid w:val="00746922"/>
    <w:pPr>
      <w:keepNext/>
      <w:outlineLvl w:val="1"/>
    </w:pPr>
    <w:rPr>
      <w:b/>
    </w:rPr>
  </w:style>
  <w:style w:type="paragraph" w:styleId="Heading3">
    <w:name w:val="heading 3"/>
    <w:basedOn w:val="Normal"/>
    <w:next w:val="Normal"/>
    <w:link w:val="Heading3Char"/>
    <w:unhideWhenUsed/>
    <w:qFormat/>
    <w:rsid w:val="0023640F"/>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autoRedefine/>
    <w:qFormat/>
    <w:rsid w:val="00B4527A"/>
    <w:pPr>
      <w:keepNext/>
      <w:jc w:val="center"/>
      <w:outlineLvl w:val="3"/>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4527A"/>
    <w:rPr>
      <w:rFonts w:ascii="Helvetica-Narrow" w:eastAsia="Batang" w:hAnsi="Helvetica-Narrow"/>
      <w:b/>
      <w:smallCaps/>
      <w:sz w:val="32"/>
    </w:rPr>
  </w:style>
  <w:style w:type="character" w:customStyle="1" w:styleId="Heading3Char">
    <w:name w:val="Heading 3 Char"/>
    <w:basedOn w:val="DefaultParagraphFont"/>
    <w:link w:val="Heading3"/>
    <w:semiHidden/>
    <w:rsid w:val="0023640F"/>
    <w:rPr>
      <w:rFonts w:ascii="Cambria" w:eastAsia="Times New Roman" w:hAnsi="Cambria" w:cs="Times New Roman"/>
      <w:b/>
      <w:bCs/>
      <w:sz w:val="26"/>
      <w:szCs w:val="26"/>
    </w:rPr>
  </w:style>
  <w:style w:type="character" w:customStyle="1" w:styleId="Heading4Char">
    <w:name w:val="Heading 4 Char"/>
    <w:basedOn w:val="DefaultParagraphFont"/>
    <w:link w:val="Heading4"/>
    <w:rsid w:val="00B4527A"/>
    <w:rPr>
      <w:rFonts w:ascii="Arial" w:eastAsia="Batang" w:hAnsi="Arial"/>
      <w:i/>
      <w:sz w:val="24"/>
    </w:rPr>
  </w:style>
  <w:style w:type="paragraph" w:styleId="BodyTextIndent">
    <w:name w:val="Body Text Indent"/>
    <w:basedOn w:val="Normal"/>
    <w:rsid w:val="00746922"/>
    <w:pPr>
      <w:numPr>
        <w:ilvl w:val="12"/>
      </w:numPr>
      <w:tabs>
        <w:tab w:val="left" w:pos="720"/>
        <w:tab w:val="left" w:pos="1440"/>
      </w:tabs>
      <w:ind w:firstLine="720"/>
    </w:pPr>
  </w:style>
  <w:style w:type="paragraph" w:styleId="Header">
    <w:name w:val="header"/>
    <w:basedOn w:val="Normal"/>
    <w:rsid w:val="00746922"/>
    <w:pPr>
      <w:tabs>
        <w:tab w:val="center" w:pos="4320"/>
        <w:tab w:val="right" w:pos="8640"/>
      </w:tabs>
    </w:pPr>
  </w:style>
  <w:style w:type="paragraph" w:styleId="Footer">
    <w:name w:val="footer"/>
    <w:basedOn w:val="Normal"/>
    <w:rsid w:val="00746922"/>
    <w:pPr>
      <w:tabs>
        <w:tab w:val="center" w:pos="4320"/>
        <w:tab w:val="right" w:pos="8640"/>
      </w:tabs>
    </w:pPr>
  </w:style>
  <w:style w:type="character" w:styleId="PageNumber">
    <w:name w:val="page number"/>
    <w:basedOn w:val="DefaultParagraphFont"/>
    <w:rsid w:val="00746922"/>
  </w:style>
  <w:style w:type="paragraph" w:customStyle="1" w:styleId="HEAD1">
    <w:name w:val="HEAD1"/>
    <w:autoRedefine/>
    <w:rsid w:val="00746922"/>
    <w:pPr>
      <w:spacing w:before="80" w:after="240" w:line="360" w:lineRule="auto"/>
      <w:jc w:val="center"/>
    </w:pPr>
    <w:rPr>
      <w:rFonts w:ascii="Times New Roman Bold" w:eastAsia="Batang" w:hAnsi="Times New Roman Bold"/>
      <w:b/>
      <w:caps/>
      <w:noProof/>
      <w:sz w:val="36"/>
      <w:szCs w:val="36"/>
    </w:rPr>
  </w:style>
  <w:style w:type="paragraph" w:styleId="BodyTextIndent3">
    <w:name w:val="Body Text Indent 3"/>
    <w:basedOn w:val="Normal"/>
    <w:rsid w:val="00746922"/>
    <w:pPr>
      <w:spacing w:after="120"/>
      <w:ind w:left="360"/>
    </w:pPr>
    <w:rPr>
      <w:sz w:val="16"/>
      <w:szCs w:val="16"/>
    </w:rPr>
  </w:style>
  <w:style w:type="paragraph" w:customStyle="1" w:styleId="HEAD3">
    <w:name w:val="HEAD3"/>
    <w:autoRedefine/>
    <w:rsid w:val="003C53F4"/>
    <w:pPr>
      <w:tabs>
        <w:tab w:val="left" w:pos="0"/>
      </w:tabs>
      <w:spacing w:before="200" w:after="200"/>
    </w:pPr>
    <w:rPr>
      <w:rFonts w:ascii="Times New Roman Bold" w:hAnsi="Times New Roman Bold"/>
      <w:b/>
      <w:noProof/>
      <w:sz w:val="30"/>
      <w:szCs w:val="28"/>
    </w:rPr>
  </w:style>
  <w:style w:type="paragraph" w:customStyle="1" w:styleId="Text">
    <w:name w:val="Text"/>
    <w:rsid w:val="00746922"/>
    <w:pPr>
      <w:keepNext/>
      <w:tabs>
        <w:tab w:val="left" w:pos="720"/>
      </w:tabs>
      <w:spacing w:line="360" w:lineRule="auto"/>
      <w:ind w:firstLine="720"/>
    </w:pPr>
    <w:rPr>
      <w:rFonts w:eastAsia="Batang"/>
      <w:sz w:val="23"/>
    </w:rPr>
  </w:style>
  <w:style w:type="paragraph" w:customStyle="1" w:styleId="Exhibit">
    <w:name w:val="Exhibit"/>
    <w:basedOn w:val="Normal"/>
    <w:autoRedefine/>
    <w:rsid w:val="00E075E8"/>
    <w:pPr>
      <w:spacing w:before="240" w:after="120"/>
      <w:jc w:val="center"/>
    </w:pPr>
    <w:rPr>
      <w:rFonts w:ascii="Helvetica" w:hAnsi="Helvetica"/>
      <w:b/>
      <w:bCs/>
      <w:noProof/>
      <w:sz w:val="28"/>
    </w:rPr>
  </w:style>
  <w:style w:type="paragraph" w:customStyle="1" w:styleId="TEXT0">
    <w:name w:val="TEXT"/>
    <w:basedOn w:val="BodyText"/>
    <w:rsid w:val="00746922"/>
    <w:pPr>
      <w:spacing w:after="0" w:line="480" w:lineRule="auto"/>
      <w:ind w:firstLine="720"/>
    </w:pPr>
  </w:style>
  <w:style w:type="paragraph" w:styleId="BodyText">
    <w:name w:val="Body Text"/>
    <w:basedOn w:val="Normal"/>
    <w:rsid w:val="00746922"/>
    <w:pPr>
      <w:spacing w:after="120"/>
    </w:pPr>
  </w:style>
  <w:style w:type="table" w:styleId="TableGrid">
    <w:name w:val="Table Grid"/>
    <w:basedOn w:val="TableNormal"/>
    <w:rsid w:val="00746922"/>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
    <w:name w:val="HEAD-2"/>
    <w:basedOn w:val="Normal"/>
    <w:autoRedefine/>
    <w:rsid w:val="00A77A4E"/>
    <w:pPr>
      <w:spacing w:before="280" w:after="360"/>
      <w:jc w:val="center"/>
    </w:pPr>
    <w:rPr>
      <w:rFonts w:ascii="Times New Roman Bold" w:eastAsia="Times New Roman" w:hAnsi="Times New Roman Bold"/>
      <w:b/>
      <w:smallCaps/>
      <w:sz w:val="34"/>
      <w:szCs w:val="32"/>
    </w:rPr>
  </w:style>
  <w:style w:type="paragraph" w:customStyle="1" w:styleId="Head4">
    <w:name w:val="Head4"/>
    <w:basedOn w:val="Heading2"/>
    <w:autoRedefine/>
    <w:rsid w:val="00E075E8"/>
    <w:pPr>
      <w:spacing w:before="180" w:after="240"/>
    </w:pPr>
    <w:rPr>
      <w:rFonts w:ascii="Times New Roman Bold" w:hAnsi="Times New Roman Bold"/>
      <w:bCs/>
      <w:i/>
      <w:sz w:val="26"/>
      <w:szCs w:val="26"/>
    </w:rPr>
  </w:style>
  <w:style w:type="character" w:styleId="FootnoteReference">
    <w:name w:val="footnote reference"/>
    <w:basedOn w:val="DefaultParagraphFont"/>
    <w:semiHidden/>
    <w:rsid w:val="00FE0855"/>
    <w:rPr>
      <w:vertAlign w:val="superscript"/>
    </w:rPr>
  </w:style>
  <w:style w:type="paragraph" w:customStyle="1" w:styleId="Sub1">
    <w:name w:val="Sub 1"/>
    <w:basedOn w:val="Normal"/>
    <w:next w:val="Text"/>
    <w:autoRedefine/>
    <w:rsid w:val="001141E4"/>
    <w:pPr>
      <w:spacing w:line="360" w:lineRule="auto"/>
      <w:ind w:left="480"/>
    </w:pPr>
    <w:rPr>
      <w:rFonts w:eastAsia="Times New Roman"/>
      <w:szCs w:val="24"/>
    </w:rPr>
  </w:style>
  <w:style w:type="paragraph" w:styleId="BalloonText">
    <w:name w:val="Balloon Text"/>
    <w:basedOn w:val="Normal"/>
    <w:link w:val="BalloonTextChar"/>
    <w:rsid w:val="008262C8"/>
    <w:rPr>
      <w:rFonts w:ascii="Tahoma" w:hAnsi="Tahoma" w:cs="Tahoma"/>
      <w:sz w:val="16"/>
      <w:szCs w:val="16"/>
    </w:rPr>
  </w:style>
  <w:style w:type="character" w:customStyle="1" w:styleId="BalloonTextChar">
    <w:name w:val="Balloon Text Char"/>
    <w:basedOn w:val="DefaultParagraphFont"/>
    <w:link w:val="BalloonText"/>
    <w:rsid w:val="008262C8"/>
    <w:rPr>
      <w:rFonts w:ascii="Tahoma" w:eastAsia="Batang" w:hAnsi="Tahoma" w:cs="Tahoma"/>
      <w:sz w:val="16"/>
      <w:szCs w:val="16"/>
    </w:rPr>
  </w:style>
  <w:style w:type="character" w:styleId="CommentReference">
    <w:name w:val="annotation reference"/>
    <w:basedOn w:val="DefaultParagraphFont"/>
    <w:rsid w:val="008262C8"/>
    <w:rPr>
      <w:sz w:val="16"/>
      <w:szCs w:val="16"/>
    </w:rPr>
  </w:style>
  <w:style w:type="paragraph" w:styleId="CommentText">
    <w:name w:val="annotation text"/>
    <w:basedOn w:val="Normal"/>
    <w:link w:val="CommentTextChar"/>
    <w:rsid w:val="008262C8"/>
    <w:rPr>
      <w:sz w:val="20"/>
    </w:rPr>
  </w:style>
  <w:style w:type="character" w:customStyle="1" w:styleId="CommentTextChar">
    <w:name w:val="Comment Text Char"/>
    <w:basedOn w:val="DefaultParagraphFont"/>
    <w:link w:val="CommentText"/>
    <w:rsid w:val="008262C8"/>
    <w:rPr>
      <w:rFonts w:ascii="Arial Narrow" w:eastAsia="Batang" w:hAnsi="Arial Narrow"/>
    </w:rPr>
  </w:style>
  <w:style w:type="paragraph" w:styleId="CommentSubject">
    <w:name w:val="annotation subject"/>
    <w:basedOn w:val="CommentText"/>
    <w:next w:val="CommentText"/>
    <w:link w:val="CommentSubjectChar"/>
    <w:rsid w:val="008262C8"/>
    <w:rPr>
      <w:b/>
      <w:bCs/>
    </w:rPr>
  </w:style>
  <w:style w:type="character" w:customStyle="1" w:styleId="CommentSubjectChar">
    <w:name w:val="Comment Subject Char"/>
    <w:basedOn w:val="CommentTextChar"/>
    <w:link w:val="CommentSubject"/>
    <w:rsid w:val="008262C8"/>
    <w:rPr>
      <w:b/>
      <w:bCs/>
    </w:rPr>
  </w:style>
  <w:style w:type="paragraph" w:customStyle="1" w:styleId="CovAIRName">
    <w:name w:val="Cov—AIR Name"/>
    <w:rsid w:val="00E2086D"/>
    <w:pPr>
      <w:jc w:val="right"/>
    </w:pPr>
    <w:rPr>
      <w:smallCaps/>
      <w:color w:val="008080"/>
      <w:sz w:val="60"/>
    </w:rPr>
  </w:style>
  <w:style w:type="paragraph" w:customStyle="1" w:styleId="CovTrademarkNotice">
    <w:name w:val="Cov—Trademark Notice"/>
    <w:rsid w:val="00E2086D"/>
    <w:pPr>
      <w:spacing w:after="280"/>
      <w:ind w:left="1714"/>
      <w:jc w:val="both"/>
    </w:pPr>
    <w:rPr>
      <w:i/>
      <w:sz w:val="18"/>
      <w:szCs w:val="18"/>
    </w:rPr>
  </w:style>
  <w:style w:type="paragraph" w:customStyle="1" w:styleId="CovAIRAddressFooter">
    <w:name w:val="Cov—AIR Address Footer"/>
    <w:rsid w:val="00E2086D"/>
    <w:pPr>
      <w:ind w:left="1440"/>
      <w:jc w:val="center"/>
    </w:pPr>
    <w:rPr>
      <w:smallCaps/>
      <w:color w:val="008080"/>
      <w:sz w:val="28"/>
      <w:szCs w:val="24"/>
    </w:rPr>
  </w:style>
  <w:style w:type="paragraph" w:customStyle="1" w:styleId="CovAddresses">
    <w:name w:val="Cov—Addresses"/>
    <w:rsid w:val="00E2086D"/>
    <w:pPr>
      <w:spacing w:after="280"/>
      <w:jc w:val="right"/>
    </w:pPr>
    <w:rPr>
      <w:sz w:val="24"/>
      <w:szCs w:val="24"/>
    </w:rPr>
  </w:style>
  <w:style w:type="paragraph" w:customStyle="1" w:styleId="CovAddressesLast">
    <w:name w:val="Cov—Addresses Last"/>
    <w:rsid w:val="00E2086D"/>
    <w:pPr>
      <w:spacing w:after="560"/>
      <w:jc w:val="right"/>
    </w:pPr>
    <w:rPr>
      <w:sz w:val="24"/>
      <w:szCs w:val="24"/>
    </w:rPr>
  </w:style>
  <w:style w:type="paragraph" w:customStyle="1" w:styleId="CovMainHeading">
    <w:name w:val="Cov—Main Heading"/>
    <w:rsid w:val="00E2086D"/>
    <w:pPr>
      <w:spacing w:after="720"/>
      <w:ind w:left="1253"/>
      <w:jc w:val="right"/>
    </w:pPr>
    <w:rPr>
      <w:rFonts w:ascii="Times New Roman Bold" w:hAnsi="Times New Roman Bold"/>
      <w:b/>
      <w:bCs/>
      <w:caps/>
      <w:sz w:val="36"/>
      <w:szCs w:val="36"/>
    </w:rPr>
  </w:style>
  <w:style w:type="paragraph" w:customStyle="1" w:styleId="CovPrepHeading">
    <w:name w:val="Cov—Prep Heading"/>
    <w:rsid w:val="00E2086D"/>
    <w:pPr>
      <w:spacing w:after="240"/>
      <w:jc w:val="right"/>
    </w:pPr>
    <w:rPr>
      <w:rFonts w:ascii="Times New Roman Bold" w:hAnsi="Times New Roman Bold"/>
      <w:b/>
      <w:bCs/>
      <w:smallCaps/>
      <w:sz w:val="28"/>
      <w:szCs w:val="28"/>
    </w:rPr>
  </w:style>
  <w:style w:type="paragraph" w:customStyle="1" w:styleId="CovDate">
    <w:name w:val="Cov—Date"/>
    <w:rsid w:val="00E2086D"/>
    <w:pPr>
      <w:spacing w:after="280"/>
      <w:jc w:val="right"/>
    </w:pPr>
    <w:rPr>
      <w:rFonts w:ascii="Times New Roman Bold" w:hAnsi="Times New Roman Bold"/>
      <w:b/>
      <w:bCs/>
      <w:smallCaps/>
      <w:kern w:val="32"/>
      <w:sz w:val="28"/>
    </w:rPr>
  </w:style>
  <w:style w:type="paragraph" w:styleId="BodyText2">
    <w:name w:val="Body Text 2"/>
    <w:basedOn w:val="Normal"/>
    <w:link w:val="BodyText2Char"/>
    <w:rsid w:val="0023640F"/>
    <w:pPr>
      <w:spacing w:after="120" w:line="480" w:lineRule="auto"/>
    </w:pPr>
  </w:style>
  <w:style w:type="character" w:customStyle="1" w:styleId="BodyText2Char">
    <w:name w:val="Body Text 2 Char"/>
    <w:basedOn w:val="DefaultParagraphFont"/>
    <w:link w:val="BodyText2"/>
    <w:rsid w:val="0023640F"/>
    <w:rPr>
      <w:rFonts w:ascii="Arial Narrow" w:eastAsia="Batang" w:hAnsi="Arial Narrow"/>
      <w:sz w:val="22"/>
    </w:rPr>
  </w:style>
  <w:style w:type="paragraph" w:styleId="BodyText3">
    <w:name w:val="Body Text 3"/>
    <w:basedOn w:val="Normal"/>
    <w:link w:val="BodyText3Char"/>
    <w:rsid w:val="0023640F"/>
    <w:pPr>
      <w:spacing w:after="120"/>
    </w:pPr>
    <w:rPr>
      <w:sz w:val="16"/>
      <w:szCs w:val="16"/>
    </w:rPr>
  </w:style>
  <w:style w:type="character" w:customStyle="1" w:styleId="BodyText3Char">
    <w:name w:val="Body Text 3 Char"/>
    <w:basedOn w:val="DefaultParagraphFont"/>
    <w:link w:val="BodyText3"/>
    <w:rsid w:val="0023640F"/>
    <w:rPr>
      <w:rFonts w:ascii="Arial Narrow" w:eastAsia="Batang" w:hAnsi="Arial Narrow"/>
      <w:sz w:val="16"/>
      <w:szCs w:val="16"/>
    </w:rPr>
  </w:style>
  <w:style w:type="character" w:styleId="Hyperlink">
    <w:name w:val="Hyperlink"/>
    <w:basedOn w:val="DefaultParagraphFont"/>
    <w:uiPriority w:val="99"/>
    <w:rsid w:val="0023640F"/>
    <w:rPr>
      <w:color w:val="0000FF"/>
      <w:u w:val="single"/>
    </w:rPr>
  </w:style>
  <w:style w:type="paragraph" w:styleId="BodyTextIndent2">
    <w:name w:val="Body Text Indent 2"/>
    <w:basedOn w:val="Normal"/>
    <w:link w:val="BodyTextIndent2Char"/>
    <w:rsid w:val="00B4527A"/>
    <w:pPr>
      <w:ind w:left="360"/>
    </w:pPr>
    <w:rPr>
      <w:rFonts w:ascii="Arial Narrow" w:hAnsi="Arial Narrow"/>
      <w:i/>
      <w:snapToGrid w:val="0"/>
      <w:sz w:val="18"/>
    </w:rPr>
  </w:style>
  <w:style w:type="character" w:customStyle="1" w:styleId="BodyTextIndent2Char">
    <w:name w:val="Body Text Indent 2 Char"/>
    <w:basedOn w:val="DefaultParagraphFont"/>
    <w:link w:val="BodyTextIndent2"/>
    <w:rsid w:val="00B4527A"/>
    <w:rPr>
      <w:rFonts w:ascii="Arial Narrow" w:eastAsia="Batang" w:hAnsi="Arial Narrow"/>
      <w:i/>
      <w:snapToGrid w:val="0"/>
      <w:sz w:val="18"/>
    </w:rPr>
  </w:style>
  <w:style w:type="paragraph" w:customStyle="1" w:styleId="Default">
    <w:name w:val="Default"/>
    <w:rsid w:val="00B4527A"/>
    <w:pPr>
      <w:autoSpaceDE w:val="0"/>
      <w:autoSpaceDN w:val="0"/>
      <w:adjustRightInd w:val="0"/>
    </w:pPr>
    <w:rPr>
      <w:rFonts w:eastAsia="Batang"/>
      <w:color w:val="000000"/>
      <w:sz w:val="24"/>
      <w:szCs w:val="24"/>
    </w:rPr>
  </w:style>
  <w:style w:type="paragraph" w:styleId="FootnoteText">
    <w:name w:val="footnote text"/>
    <w:basedOn w:val="Normal"/>
    <w:link w:val="FootnoteTextChar"/>
    <w:rsid w:val="00B4527A"/>
    <w:rPr>
      <w:sz w:val="20"/>
    </w:rPr>
  </w:style>
  <w:style w:type="character" w:customStyle="1" w:styleId="FootnoteTextChar">
    <w:name w:val="Footnote Text Char"/>
    <w:basedOn w:val="DefaultParagraphFont"/>
    <w:link w:val="FootnoteText"/>
    <w:rsid w:val="00B4527A"/>
    <w:rPr>
      <w:rFonts w:eastAsia="Batang"/>
    </w:rPr>
  </w:style>
  <w:style w:type="paragraph" w:customStyle="1" w:styleId="HEAD2">
    <w:name w:val="HEAD2"/>
    <w:basedOn w:val="Normal"/>
    <w:autoRedefine/>
    <w:rsid w:val="00B4527A"/>
    <w:pPr>
      <w:spacing w:before="120" w:after="240"/>
      <w:jc w:val="center"/>
    </w:pPr>
    <w:rPr>
      <w:rFonts w:ascii="Times New Roman Bold" w:eastAsia="Times" w:hAnsi="Times New Roman Bold"/>
      <w:b/>
      <w:bCs/>
      <w:caps/>
      <w:smallCaps/>
      <w:sz w:val="32"/>
      <w:szCs w:val="32"/>
    </w:rPr>
  </w:style>
  <w:style w:type="paragraph" w:customStyle="1" w:styleId="H1">
    <w:name w:val="H1"/>
    <w:basedOn w:val="Heading2"/>
    <w:rsid w:val="00B4527A"/>
    <w:pPr>
      <w:spacing w:before="240" w:after="60"/>
    </w:pPr>
    <w:rPr>
      <w:b w:val="0"/>
      <w:sz w:val="40"/>
    </w:rPr>
  </w:style>
  <w:style w:type="paragraph" w:customStyle="1" w:styleId="Table">
    <w:name w:val="Table"/>
    <w:basedOn w:val="Normal"/>
    <w:autoRedefine/>
    <w:rsid w:val="00B4527A"/>
    <w:pPr>
      <w:spacing w:before="120" w:after="240"/>
      <w:jc w:val="center"/>
    </w:pPr>
    <w:rPr>
      <w:rFonts w:ascii="Helvetica" w:hAnsi="Helvetica"/>
      <w:b/>
      <w:sz w:val="28"/>
      <w:szCs w:val="28"/>
    </w:rPr>
  </w:style>
  <w:style w:type="paragraph" w:styleId="TOC1">
    <w:name w:val="toc 1"/>
    <w:basedOn w:val="Normal"/>
    <w:next w:val="Normal"/>
    <w:autoRedefine/>
    <w:uiPriority w:val="39"/>
    <w:rsid w:val="002114DA"/>
    <w:pPr>
      <w:tabs>
        <w:tab w:val="right" w:leader="dot" w:pos="9350"/>
      </w:tabs>
      <w:spacing w:before="200"/>
    </w:pPr>
    <w:rPr>
      <w:rFonts w:eastAsia="Times New Roman"/>
      <w:b/>
      <w:bCs/>
      <w:caps/>
      <w:noProof/>
      <w:szCs w:val="24"/>
    </w:rPr>
  </w:style>
  <w:style w:type="paragraph" w:styleId="TOC2">
    <w:name w:val="toc 2"/>
    <w:basedOn w:val="Normal"/>
    <w:next w:val="Normal"/>
    <w:autoRedefine/>
    <w:uiPriority w:val="39"/>
    <w:rsid w:val="00921314"/>
    <w:pPr>
      <w:tabs>
        <w:tab w:val="right" w:leader="dot" w:pos="9350"/>
      </w:tabs>
      <w:spacing w:before="120"/>
      <w:ind w:left="360"/>
    </w:pPr>
    <w:rPr>
      <w:smallCaps/>
      <w:noProof/>
      <w:sz w:val="22"/>
      <w:szCs w:val="22"/>
    </w:rPr>
  </w:style>
  <w:style w:type="paragraph" w:styleId="TOC3">
    <w:name w:val="toc 3"/>
    <w:basedOn w:val="Normal"/>
    <w:next w:val="Normal"/>
    <w:autoRedefine/>
    <w:uiPriority w:val="39"/>
    <w:rsid w:val="00921314"/>
    <w:pPr>
      <w:tabs>
        <w:tab w:val="right" w:leader="dot" w:pos="9350"/>
      </w:tabs>
      <w:spacing w:before="100"/>
      <w:ind w:left="720"/>
    </w:pPr>
    <w:rPr>
      <w:i/>
      <w:iCs/>
      <w:noProof/>
      <w:sz w:val="22"/>
      <w:szCs w:val="22"/>
    </w:rPr>
  </w:style>
  <w:style w:type="paragraph" w:styleId="TOC4">
    <w:name w:val="toc 4"/>
    <w:basedOn w:val="Normal"/>
    <w:next w:val="Normal"/>
    <w:autoRedefine/>
    <w:uiPriority w:val="39"/>
    <w:rsid w:val="00921314"/>
    <w:pPr>
      <w:tabs>
        <w:tab w:val="right" w:leader="dot" w:pos="9350"/>
      </w:tabs>
      <w:spacing w:before="40"/>
      <w:ind w:left="1080"/>
    </w:pPr>
    <w:rPr>
      <w:noProof/>
      <w:sz w:val="22"/>
      <w:szCs w:val="22"/>
    </w:rPr>
  </w:style>
  <w:style w:type="paragraph" w:styleId="TOC5">
    <w:name w:val="toc 5"/>
    <w:basedOn w:val="Normal"/>
    <w:next w:val="Normal"/>
    <w:autoRedefine/>
    <w:rsid w:val="00B4527A"/>
    <w:pPr>
      <w:ind w:left="960"/>
    </w:pPr>
    <w:rPr>
      <w:rFonts w:ascii="Calibri" w:hAnsi="Calibri"/>
      <w:sz w:val="18"/>
      <w:szCs w:val="18"/>
    </w:rPr>
  </w:style>
  <w:style w:type="paragraph" w:styleId="TOC6">
    <w:name w:val="toc 6"/>
    <w:basedOn w:val="Normal"/>
    <w:next w:val="Normal"/>
    <w:autoRedefine/>
    <w:rsid w:val="00B4527A"/>
    <w:pPr>
      <w:ind w:left="1200"/>
    </w:pPr>
    <w:rPr>
      <w:rFonts w:ascii="Calibri" w:hAnsi="Calibri"/>
      <w:sz w:val="18"/>
      <w:szCs w:val="18"/>
    </w:rPr>
  </w:style>
  <w:style w:type="paragraph" w:styleId="TOC7">
    <w:name w:val="toc 7"/>
    <w:basedOn w:val="Normal"/>
    <w:next w:val="Normal"/>
    <w:autoRedefine/>
    <w:rsid w:val="00B4527A"/>
    <w:pPr>
      <w:ind w:left="1440"/>
    </w:pPr>
    <w:rPr>
      <w:rFonts w:ascii="Calibri" w:hAnsi="Calibri"/>
      <w:sz w:val="18"/>
      <w:szCs w:val="18"/>
    </w:rPr>
  </w:style>
  <w:style w:type="paragraph" w:styleId="TOC8">
    <w:name w:val="toc 8"/>
    <w:basedOn w:val="Normal"/>
    <w:next w:val="Normal"/>
    <w:autoRedefine/>
    <w:rsid w:val="00B4527A"/>
    <w:pPr>
      <w:ind w:left="1680"/>
    </w:pPr>
    <w:rPr>
      <w:rFonts w:ascii="Calibri" w:hAnsi="Calibri"/>
      <w:sz w:val="18"/>
      <w:szCs w:val="18"/>
    </w:rPr>
  </w:style>
  <w:style w:type="paragraph" w:styleId="TOC9">
    <w:name w:val="toc 9"/>
    <w:basedOn w:val="Normal"/>
    <w:next w:val="Normal"/>
    <w:autoRedefine/>
    <w:rsid w:val="00B4527A"/>
    <w:pPr>
      <w:ind w:left="1920"/>
    </w:pPr>
    <w:rPr>
      <w:rFonts w:ascii="Calibri" w:hAnsi="Calibri"/>
      <w:sz w:val="18"/>
      <w:szCs w:val="18"/>
    </w:rPr>
  </w:style>
  <w:style w:type="paragraph" w:customStyle="1" w:styleId="Subhead">
    <w:name w:val="Subhead"/>
    <w:rsid w:val="00B4527A"/>
    <w:pPr>
      <w:spacing w:after="240" w:line="228" w:lineRule="auto"/>
      <w:jc w:val="right"/>
    </w:pPr>
    <w:rPr>
      <w:rFonts w:ascii="Times New Roman Bold" w:hAnsi="Times New Roman Bold"/>
      <w:b/>
      <w:smallCaps/>
      <w:sz w:val="28"/>
      <w:szCs w:val="28"/>
    </w:rPr>
  </w:style>
  <w:style w:type="paragraph" w:customStyle="1" w:styleId="TextRight">
    <w:name w:val="Text Right"/>
    <w:rsid w:val="00B4527A"/>
    <w:pPr>
      <w:jc w:val="right"/>
    </w:pPr>
    <w:rPr>
      <w:bCs/>
      <w:sz w:val="24"/>
      <w:szCs w:val="28"/>
    </w:rPr>
  </w:style>
  <w:style w:type="paragraph" w:customStyle="1" w:styleId="Bullet1">
    <w:name w:val="Bullet 1"/>
    <w:basedOn w:val="Normal"/>
    <w:rsid w:val="00B4527A"/>
    <w:pPr>
      <w:tabs>
        <w:tab w:val="num" w:pos="1800"/>
      </w:tabs>
      <w:ind w:left="1800" w:hanging="360"/>
    </w:pPr>
    <w:rPr>
      <w:szCs w:val="24"/>
    </w:rPr>
  </w:style>
  <w:style w:type="paragraph" w:customStyle="1" w:styleId="qre1">
    <w:name w:val="q're 1"/>
    <w:basedOn w:val="Normal"/>
    <w:rsid w:val="00B4527A"/>
    <w:pPr>
      <w:ind w:left="450" w:hanging="450"/>
    </w:pPr>
    <w:rPr>
      <w:rFonts w:ascii="Times" w:hAnsi="Times"/>
    </w:rPr>
  </w:style>
  <w:style w:type="paragraph" w:styleId="ListParagraph">
    <w:name w:val="List Paragraph"/>
    <w:basedOn w:val="Normal"/>
    <w:uiPriority w:val="34"/>
    <w:qFormat/>
    <w:rsid w:val="005E20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5C96-C79B-43AD-A4C8-504C9708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3917</Words>
  <Characters>22332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INTRODUCTION AND OVERVIEW</vt:lpstr>
    </vt:vector>
  </TitlesOfParts>
  <Company>American Institutes for Research</Company>
  <LinksUpToDate>false</LinksUpToDate>
  <CharactersWithSpaces>26197</CharactersWithSpaces>
  <SharedDoc>false</SharedDoc>
  <HLinks>
    <vt:vector size="72" baseType="variant">
      <vt:variant>
        <vt:i4>1310769</vt:i4>
      </vt:variant>
      <vt:variant>
        <vt:i4>68</vt:i4>
      </vt:variant>
      <vt:variant>
        <vt:i4>0</vt:i4>
      </vt:variant>
      <vt:variant>
        <vt:i4>5</vt:i4>
      </vt:variant>
      <vt:variant>
        <vt:lpwstr/>
      </vt:variant>
      <vt:variant>
        <vt:lpwstr>_Toc237756110</vt:lpwstr>
      </vt:variant>
      <vt:variant>
        <vt:i4>1376305</vt:i4>
      </vt:variant>
      <vt:variant>
        <vt:i4>62</vt:i4>
      </vt:variant>
      <vt:variant>
        <vt:i4>0</vt:i4>
      </vt:variant>
      <vt:variant>
        <vt:i4>5</vt:i4>
      </vt:variant>
      <vt:variant>
        <vt:lpwstr/>
      </vt:variant>
      <vt:variant>
        <vt:lpwstr>_Toc237756109</vt:lpwstr>
      </vt:variant>
      <vt:variant>
        <vt:i4>1376305</vt:i4>
      </vt:variant>
      <vt:variant>
        <vt:i4>56</vt:i4>
      </vt:variant>
      <vt:variant>
        <vt:i4>0</vt:i4>
      </vt:variant>
      <vt:variant>
        <vt:i4>5</vt:i4>
      </vt:variant>
      <vt:variant>
        <vt:lpwstr/>
      </vt:variant>
      <vt:variant>
        <vt:lpwstr>_Toc237756108</vt:lpwstr>
      </vt:variant>
      <vt:variant>
        <vt:i4>1376305</vt:i4>
      </vt:variant>
      <vt:variant>
        <vt:i4>50</vt:i4>
      </vt:variant>
      <vt:variant>
        <vt:i4>0</vt:i4>
      </vt:variant>
      <vt:variant>
        <vt:i4>5</vt:i4>
      </vt:variant>
      <vt:variant>
        <vt:lpwstr/>
      </vt:variant>
      <vt:variant>
        <vt:lpwstr>_Toc237756107</vt:lpwstr>
      </vt:variant>
      <vt:variant>
        <vt:i4>1376305</vt:i4>
      </vt:variant>
      <vt:variant>
        <vt:i4>44</vt:i4>
      </vt:variant>
      <vt:variant>
        <vt:i4>0</vt:i4>
      </vt:variant>
      <vt:variant>
        <vt:i4>5</vt:i4>
      </vt:variant>
      <vt:variant>
        <vt:lpwstr/>
      </vt:variant>
      <vt:variant>
        <vt:lpwstr>_Toc237756106</vt:lpwstr>
      </vt:variant>
      <vt:variant>
        <vt:i4>1376305</vt:i4>
      </vt:variant>
      <vt:variant>
        <vt:i4>38</vt:i4>
      </vt:variant>
      <vt:variant>
        <vt:i4>0</vt:i4>
      </vt:variant>
      <vt:variant>
        <vt:i4>5</vt:i4>
      </vt:variant>
      <vt:variant>
        <vt:lpwstr/>
      </vt:variant>
      <vt:variant>
        <vt:lpwstr>_Toc237756105</vt:lpwstr>
      </vt:variant>
      <vt:variant>
        <vt:i4>1376305</vt:i4>
      </vt:variant>
      <vt:variant>
        <vt:i4>32</vt:i4>
      </vt:variant>
      <vt:variant>
        <vt:i4>0</vt:i4>
      </vt:variant>
      <vt:variant>
        <vt:i4>5</vt:i4>
      </vt:variant>
      <vt:variant>
        <vt:lpwstr/>
      </vt:variant>
      <vt:variant>
        <vt:lpwstr>_Toc237756104</vt:lpwstr>
      </vt:variant>
      <vt:variant>
        <vt:i4>1376305</vt:i4>
      </vt:variant>
      <vt:variant>
        <vt:i4>26</vt:i4>
      </vt:variant>
      <vt:variant>
        <vt:i4>0</vt:i4>
      </vt:variant>
      <vt:variant>
        <vt:i4>5</vt:i4>
      </vt:variant>
      <vt:variant>
        <vt:lpwstr/>
      </vt:variant>
      <vt:variant>
        <vt:lpwstr>_Toc237756103</vt:lpwstr>
      </vt:variant>
      <vt:variant>
        <vt:i4>1376305</vt:i4>
      </vt:variant>
      <vt:variant>
        <vt:i4>20</vt:i4>
      </vt:variant>
      <vt:variant>
        <vt:i4>0</vt:i4>
      </vt:variant>
      <vt:variant>
        <vt:i4>5</vt:i4>
      </vt:variant>
      <vt:variant>
        <vt:lpwstr/>
      </vt:variant>
      <vt:variant>
        <vt:lpwstr>_Toc237756102</vt:lpwstr>
      </vt:variant>
      <vt:variant>
        <vt:i4>1376305</vt:i4>
      </vt:variant>
      <vt:variant>
        <vt:i4>14</vt:i4>
      </vt:variant>
      <vt:variant>
        <vt:i4>0</vt:i4>
      </vt:variant>
      <vt:variant>
        <vt:i4>5</vt:i4>
      </vt:variant>
      <vt:variant>
        <vt:lpwstr/>
      </vt:variant>
      <vt:variant>
        <vt:lpwstr>_Toc237756101</vt:lpwstr>
      </vt:variant>
      <vt:variant>
        <vt:i4>1376305</vt:i4>
      </vt:variant>
      <vt:variant>
        <vt:i4>8</vt:i4>
      </vt:variant>
      <vt:variant>
        <vt:i4>0</vt:i4>
      </vt:variant>
      <vt:variant>
        <vt:i4>5</vt:i4>
      </vt:variant>
      <vt:variant>
        <vt:lpwstr/>
      </vt:variant>
      <vt:variant>
        <vt:lpwstr>_Toc237756100</vt:lpwstr>
      </vt:variant>
      <vt:variant>
        <vt:i4>1835056</vt:i4>
      </vt:variant>
      <vt:variant>
        <vt:i4>2</vt:i4>
      </vt:variant>
      <vt:variant>
        <vt:i4>0</vt:i4>
      </vt:variant>
      <vt:variant>
        <vt:i4>5</vt:i4>
      </vt:variant>
      <vt:variant>
        <vt:lpwstr/>
      </vt:variant>
      <vt:variant>
        <vt:lpwstr>_Toc237756099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AND OVERVIEW</dc:title>
  <dc:subject/>
  <dc:creator>American Institutes for Research</dc:creator>
  <cp:keywords/>
  <dc:description/>
  <cp:lastModifiedBy>Authorised User</cp:lastModifiedBy>
  <cp:revision>5</cp:revision>
  <cp:lastPrinted>2009-09-17T22:35:00Z</cp:lastPrinted>
  <dcterms:created xsi:type="dcterms:W3CDTF">2009-10-22T12:44:00Z</dcterms:created>
  <dcterms:modified xsi:type="dcterms:W3CDTF">2009-11-05T13:20:00Z</dcterms:modified>
</cp:coreProperties>
</file>