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14C8" w:rsidRDefault="003314C8" w:rsidP="003314C8">
      <w:pPr>
        <w:jc w:val="center"/>
        <w:rPr>
          <w:sz w:val="28"/>
          <w:szCs w:val="28"/>
        </w:rPr>
      </w:pPr>
    </w:p>
    <w:p w:rsidR="003314C8" w:rsidRDefault="003314C8" w:rsidP="003314C8">
      <w:pPr>
        <w:jc w:val="center"/>
        <w:rPr>
          <w:sz w:val="28"/>
          <w:szCs w:val="28"/>
        </w:rPr>
      </w:pPr>
    </w:p>
    <w:p w:rsidR="003314C8" w:rsidRDefault="003314C8" w:rsidP="003314C8">
      <w:pPr>
        <w:jc w:val="center"/>
        <w:rPr>
          <w:sz w:val="28"/>
          <w:szCs w:val="28"/>
        </w:rPr>
      </w:pPr>
    </w:p>
    <w:p w:rsidR="003314C8" w:rsidRDefault="003314C8" w:rsidP="003314C8">
      <w:pPr>
        <w:jc w:val="center"/>
        <w:rPr>
          <w:b/>
          <w:sz w:val="28"/>
          <w:szCs w:val="28"/>
        </w:rPr>
      </w:pPr>
      <w:r w:rsidRPr="00456179">
        <w:rPr>
          <w:b/>
          <w:sz w:val="28"/>
          <w:szCs w:val="28"/>
        </w:rPr>
        <w:t>SUPPORTING STATEMENT</w:t>
      </w:r>
    </w:p>
    <w:p w:rsidR="003314C8" w:rsidRDefault="003314C8" w:rsidP="003314C8">
      <w:pPr>
        <w:jc w:val="center"/>
        <w:rPr>
          <w:b/>
          <w:sz w:val="28"/>
          <w:szCs w:val="28"/>
        </w:rPr>
      </w:pPr>
    </w:p>
    <w:p w:rsidR="003314C8" w:rsidRDefault="003314C8" w:rsidP="003314C8">
      <w:pPr>
        <w:jc w:val="center"/>
        <w:rPr>
          <w:sz w:val="28"/>
          <w:szCs w:val="28"/>
        </w:rPr>
      </w:pPr>
      <w:r>
        <w:rPr>
          <w:b/>
          <w:sz w:val="28"/>
          <w:szCs w:val="28"/>
        </w:rPr>
        <w:t>Part A</w:t>
      </w:r>
    </w:p>
    <w:p w:rsidR="003314C8" w:rsidRDefault="003314C8" w:rsidP="003314C8">
      <w:pPr>
        <w:jc w:val="center"/>
        <w:rPr>
          <w:sz w:val="28"/>
          <w:szCs w:val="28"/>
        </w:rPr>
      </w:pPr>
    </w:p>
    <w:p w:rsidR="003314C8" w:rsidRDefault="003314C8" w:rsidP="003314C8">
      <w:pPr>
        <w:jc w:val="center"/>
        <w:rPr>
          <w:sz w:val="28"/>
          <w:szCs w:val="28"/>
        </w:rPr>
      </w:pPr>
    </w:p>
    <w:p w:rsidR="003314C8" w:rsidRDefault="003314C8" w:rsidP="003314C8">
      <w:pPr>
        <w:jc w:val="center"/>
        <w:rPr>
          <w:sz w:val="28"/>
          <w:szCs w:val="28"/>
        </w:rPr>
      </w:pPr>
    </w:p>
    <w:p w:rsidR="003314C8" w:rsidRDefault="003314C8" w:rsidP="003314C8">
      <w:pPr>
        <w:jc w:val="center"/>
        <w:rPr>
          <w:sz w:val="28"/>
          <w:szCs w:val="28"/>
        </w:rPr>
      </w:pPr>
    </w:p>
    <w:p w:rsidR="003314C8" w:rsidRDefault="003314C8" w:rsidP="003314C8">
      <w:pPr>
        <w:jc w:val="center"/>
        <w:rPr>
          <w:sz w:val="28"/>
          <w:szCs w:val="28"/>
        </w:rPr>
      </w:pPr>
    </w:p>
    <w:p w:rsidR="003314C8" w:rsidRPr="000755C7" w:rsidRDefault="003314C8" w:rsidP="003314C8">
      <w:pPr>
        <w:jc w:val="center"/>
        <w:rPr>
          <w:sz w:val="28"/>
          <w:szCs w:val="28"/>
        </w:rPr>
      </w:pPr>
      <w:r>
        <w:rPr>
          <w:sz w:val="28"/>
          <w:szCs w:val="28"/>
        </w:rPr>
        <w:t>Consumer Research on Public Reporting of Hospital Outpatient Measures</w:t>
      </w:r>
    </w:p>
    <w:p w:rsidR="003314C8" w:rsidRPr="00082047" w:rsidRDefault="003314C8" w:rsidP="003314C8">
      <w:pPr>
        <w:jc w:val="center"/>
        <w:rPr>
          <w:i/>
          <w:sz w:val="28"/>
          <w:szCs w:val="28"/>
        </w:rPr>
      </w:pPr>
    </w:p>
    <w:p w:rsidR="003314C8" w:rsidRDefault="003314C8" w:rsidP="003314C8">
      <w:pPr>
        <w:jc w:val="center"/>
        <w:rPr>
          <w:sz w:val="28"/>
          <w:szCs w:val="28"/>
        </w:rPr>
      </w:pPr>
    </w:p>
    <w:p w:rsidR="003314C8" w:rsidRDefault="003314C8" w:rsidP="003314C8">
      <w:pPr>
        <w:jc w:val="center"/>
        <w:rPr>
          <w:sz w:val="28"/>
          <w:szCs w:val="28"/>
        </w:rPr>
      </w:pPr>
    </w:p>
    <w:p w:rsidR="003314C8" w:rsidRDefault="003314C8" w:rsidP="003314C8">
      <w:pPr>
        <w:jc w:val="center"/>
        <w:rPr>
          <w:sz w:val="28"/>
          <w:szCs w:val="28"/>
        </w:rPr>
      </w:pPr>
    </w:p>
    <w:p w:rsidR="003314C8" w:rsidRDefault="003314C8" w:rsidP="003314C8">
      <w:pPr>
        <w:jc w:val="center"/>
        <w:rPr>
          <w:sz w:val="28"/>
          <w:szCs w:val="28"/>
        </w:rPr>
      </w:pPr>
    </w:p>
    <w:p w:rsidR="003314C8" w:rsidRDefault="003314C8" w:rsidP="003314C8">
      <w:pPr>
        <w:jc w:val="center"/>
        <w:rPr>
          <w:sz w:val="28"/>
          <w:szCs w:val="28"/>
        </w:rPr>
      </w:pPr>
    </w:p>
    <w:p w:rsidR="003314C8" w:rsidRDefault="003314C8" w:rsidP="003314C8">
      <w:pPr>
        <w:jc w:val="center"/>
        <w:rPr>
          <w:sz w:val="28"/>
          <w:szCs w:val="28"/>
        </w:rPr>
      </w:pPr>
    </w:p>
    <w:p w:rsidR="003314C8" w:rsidRDefault="003314C8" w:rsidP="003314C8">
      <w:pPr>
        <w:jc w:val="center"/>
        <w:rPr>
          <w:sz w:val="28"/>
          <w:szCs w:val="28"/>
        </w:rPr>
      </w:pPr>
      <w:r>
        <w:rPr>
          <w:sz w:val="28"/>
          <w:szCs w:val="28"/>
        </w:rPr>
        <w:t>Division of Consumer Assessment &amp; Plan Performance (DCAPP)</w:t>
      </w:r>
    </w:p>
    <w:p w:rsidR="003314C8" w:rsidRDefault="003314C8" w:rsidP="003314C8">
      <w:pPr>
        <w:jc w:val="center"/>
        <w:rPr>
          <w:sz w:val="28"/>
          <w:szCs w:val="28"/>
        </w:rPr>
      </w:pPr>
      <w:r>
        <w:rPr>
          <w:sz w:val="28"/>
          <w:szCs w:val="28"/>
        </w:rPr>
        <w:t>Medicare Drug Benefit and C &amp; D Data Group (MDBG)</w:t>
      </w:r>
    </w:p>
    <w:p w:rsidR="003314C8" w:rsidRDefault="003314C8" w:rsidP="003314C8">
      <w:pPr>
        <w:jc w:val="center"/>
        <w:rPr>
          <w:sz w:val="28"/>
          <w:szCs w:val="28"/>
        </w:rPr>
      </w:pPr>
      <w:r>
        <w:rPr>
          <w:sz w:val="28"/>
          <w:szCs w:val="28"/>
        </w:rPr>
        <w:t>Center for Drug and Health Plan Choice (CPC)</w:t>
      </w:r>
    </w:p>
    <w:p w:rsidR="003314C8" w:rsidRDefault="003314C8" w:rsidP="003314C8">
      <w:pPr>
        <w:jc w:val="center"/>
        <w:rPr>
          <w:sz w:val="28"/>
          <w:szCs w:val="28"/>
        </w:rPr>
      </w:pPr>
      <w:r>
        <w:rPr>
          <w:sz w:val="28"/>
          <w:szCs w:val="28"/>
        </w:rPr>
        <w:t>Centers for Medicare &amp; Medicaid Services (CMS)</w:t>
      </w:r>
    </w:p>
    <w:p w:rsidR="003314C8" w:rsidRDefault="003314C8" w:rsidP="003314C8">
      <w:pPr>
        <w:jc w:val="center"/>
        <w:rPr>
          <w:sz w:val="28"/>
          <w:szCs w:val="28"/>
        </w:rPr>
      </w:pPr>
    </w:p>
    <w:p w:rsidR="003314C8" w:rsidRDefault="003314C8">
      <w:pPr>
        <w:rPr>
          <w:sz w:val="28"/>
          <w:szCs w:val="28"/>
        </w:rPr>
      </w:pPr>
    </w:p>
    <w:p w:rsidR="003314C8" w:rsidRDefault="003314C8">
      <w:pPr>
        <w:rPr>
          <w:sz w:val="28"/>
          <w:szCs w:val="28"/>
        </w:rPr>
      </w:pPr>
    </w:p>
    <w:p w:rsidR="003314C8" w:rsidRDefault="003314C8" w:rsidP="003314C8">
      <w:pPr>
        <w:rPr>
          <w:b/>
        </w:rPr>
      </w:pPr>
      <w:r>
        <w:br w:type="page"/>
      </w:r>
      <w:r w:rsidRPr="001D0454">
        <w:rPr>
          <w:b/>
        </w:rPr>
        <w:lastRenderedPageBreak/>
        <w:t>Table of contents</w:t>
      </w:r>
    </w:p>
    <w:p w:rsidR="003314C8" w:rsidRDefault="003314C8" w:rsidP="003314C8">
      <w:pPr>
        <w:jc w:val="center"/>
        <w:rPr>
          <w:b/>
        </w:rPr>
      </w:pPr>
    </w:p>
    <w:p w:rsidR="003314C8" w:rsidRDefault="003314C8" w:rsidP="003314C8">
      <w:pPr>
        <w:tabs>
          <w:tab w:val="left" w:leader="dot" w:pos="8280"/>
        </w:tabs>
      </w:pPr>
      <w:r w:rsidRPr="008C580E">
        <w:t>A. Justification</w:t>
      </w:r>
      <w:r>
        <w:tab/>
        <w:t>2</w:t>
      </w:r>
    </w:p>
    <w:p w:rsidR="003314C8" w:rsidRDefault="003314C8" w:rsidP="003314C8">
      <w:pPr>
        <w:tabs>
          <w:tab w:val="left" w:pos="360"/>
          <w:tab w:val="left" w:leader="dot" w:pos="8280"/>
        </w:tabs>
      </w:pPr>
      <w:r>
        <w:tab/>
        <w:t>1. Circumstances that make the collection of information necessary</w:t>
      </w:r>
      <w:r>
        <w:tab/>
        <w:t>2</w:t>
      </w:r>
    </w:p>
    <w:p w:rsidR="003314C8" w:rsidRDefault="003314C8" w:rsidP="003314C8">
      <w:pPr>
        <w:tabs>
          <w:tab w:val="left" w:pos="360"/>
          <w:tab w:val="left" w:leader="dot" w:pos="8280"/>
        </w:tabs>
      </w:pPr>
      <w:r>
        <w:tab/>
        <w:t>2. Purpose and use of i</w:t>
      </w:r>
      <w:r w:rsidRPr="007B3A8E">
        <w:t>nformation</w:t>
      </w:r>
      <w:r>
        <w:tab/>
        <w:t>5</w:t>
      </w:r>
    </w:p>
    <w:p w:rsidR="003314C8" w:rsidRDefault="003314C8" w:rsidP="003314C8">
      <w:pPr>
        <w:tabs>
          <w:tab w:val="left" w:pos="360"/>
          <w:tab w:val="left" w:leader="dot" w:pos="8280"/>
        </w:tabs>
      </w:pPr>
      <w:r>
        <w:tab/>
        <w:t xml:space="preserve">3. </w:t>
      </w:r>
      <w:r w:rsidRPr="007B3A8E">
        <w:t>Use of Improved Information Technology</w:t>
      </w:r>
      <w:r>
        <w:tab/>
        <w:t>5</w:t>
      </w:r>
    </w:p>
    <w:p w:rsidR="003314C8" w:rsidRDefault="003314C8" w:rsidP="003314C8">
      <w:pPr>
        <w:tabs>
          <w:tab w:val="left" w:pos="360"/>
          <w:tab w:val="left" w:leader="dot" w:pos="8280"/>
        </w:tabs>
      </w:pPr>
      <w:r>
        <w:tab/>
        <w:t xml:space="preserve">4. </w:t>
      </w:r>
      <w:r w:rsidRPr="007B3A8E">
        <w:t>Efforts to Identify Duplication</w:t>
      </w:r>
      <w:r>
        <w:tab/>
        <w:t>5</w:t>
      </w:r>
    </w:p>
    <w:p w:rsidR="003314C8" w:rsidRDefault="003314C8" w:rsidP="003314C8">
      <w:pPr>
        <w:tabs>
          <w:tab w:val="left" w:pos="360"/>
          <w:tab w:val="left" w:leader="dot" w:pos="8280"/>
        </w:tabs>
      </w:pPr>
      <w:r>
        <w:tab/>
        <w:t xml:space="preserve">5. </w:t>
      </w:r>
      <w:r w:rsidRPr="00556066">
        <w:t>Involvement of Small Entities</w:t>
      </w:r>
      <w:r>
        <w:tab/>
        <w:t>5</w:t>
      </w:r>
    </w:p>
    <w:p w:rsidR="003314C8" w:rsidRDefault="003314C8" w:rsidP="003314C8">
      <w:pPr>
        <w:tabs>
          <w:tab w:val="left" w:pos="360"/>
          <w:tab w:val="left" w:leader="dot" w:pos="8280"/>
        </w:tabs>
      </w:pPr>
      <w:r>
        <w:tab/>
        <w:t xml:space="preserve">6. </w:t>
      </w:r>
      <w:r w:rsidRPr="00556066">
        <w:t>Consequences if Information Collected Less Frequently</w:t>
      </w:r>
      <w:r>
        <w:tab/>
        <w:t>6</w:t>
      </w:r>
    </w:p>
    <w:p w:rsidR="003314C8" w:rsidRDefault="003314C8" w:rsidP="003314C8">
      <w:pPr>
        <w:tabs>
          <w:tab w:val="left" w:pos="360"/>
          <w:tab w:val="left" w:leader="dot" w:pos="8280"/>
        </w:tabs>
      </w:pPr>
      <w:r>
        <w:tab/>
        <w:t xml:space="preserve">7. </w:t>
      </w:r>
      <w:r w:rsidRPr="00556066">
        <w:t>Special Circumstances</w:t>
      </w:r>
      <w:r>
        <w:tab/>
        <w:t>6</w:t>
      </w:r>
    </w:p>
    <w:p w:rsidR="003314C8" w:rsidRDefault="003314C8" w:rsidP="003314C8">
      <w:pPr>
        <w:tabs>
          <w:tab w:val="left" w:pos="360"/>
          <w:tab w:val="left" w:leader="dot" w:pos="8280"/>
        </w:tabs>
      </w:pPr>
      <w:r>
        <w:tab/>
        <w:t xml:space="preserve">8. </w:t>
      </w:r>
      <w:r w:rsidRPr="00556066">
        <w:t>Consultation outside the Agency</w:t>
      </w:r>
      <w:r>
        <w:tab/>
        <w:t>6</w:t>
      </w:r>
    </w:p>
    <w:p w:rsidR="003314C8" w:rsidRDefault="003314C8" w:rsidP="003314C8">
      <w:pPr>
        <w:tabs>
          <w:tab w:val="left" w:pos="360"/>
          <w:tab w:val="left" w:leader="dot" w:pos="8280"/>
        </w:tabs>
      </w:pPr>
      <w:r>
        <w:tab/>
        <w:t xml:space="preserve">9. </w:t>
      </w:r>
      <w:r w:rsidRPr="00556066">
        <w:t>Payments/Gifts to Respondents</w:t>
      </w:r>
      <w:r>
        <w:tab/>
        <w:t>6</w:t>
      </w:r>
    </w:p>
    <w:p w:rsidR="003314C8" w:rsidRDefault="003314C8" w:rsidP="003314C8">
      <w:pPr>
        <w:tabs>
          <w:tab w:val="left" w:pos="360"/>
          <w:tab w:val="left" w:leader="dot" w:pos="8280"/>
        </w:tabs>
      </w:pPr>
      <w:r>
        <w:tab/>
        <w:t xml:space="preserve">10. </w:t>
      </w:r>
      <w:r w:rsidRPr="00556066">
        <w:t>Assurance of Confidentiality</w:t>
      </w:r>
      <w:r>
        <w:tab/>
        <w:t>5</w:t>
      </w:r>
    </w:p>
    <w:p w:rsidR="003314C8" w:rsidRDefault="003314C8" w:rsidP="003314C8">
      <w:pPr>
        <w:tabs>
          <w:tab w:val="left" w:pos="360"/>
          <w:tab w:val="left" w:leader="dot" w:pos="8280"/>
        </w:tabs>
      </w:pPr>
      <w:r>
        <w:tab/>
        <w:t xml:space="preserve">11. </w:t>
      </w:r>
      <w:r w:rsidRPr="00556066">
        <w:t>Questions of a Sensitive Nature</w:t>
      </w:r>
      <w:r>
        <w:tab/>
        <w:t>7</w:t>
      </w:r>
    </w:p>
    <w:p w:rsidR="003314C8" w:rsidRDefault="003314C8" w:rsidP="003314C8">
      <w:pPr>
        <w:tabs>
          <w:tab w:val="left" w:pos="360"/>
          <w:tab w:val="left" w:leader="dot" w:pos="8280"/>
        </w:tabs>
      </w:pPr>
      <w:r>
        <w:tab/>
        <w:t xml:space="preserve">12. </w:t>
      </w:r>
      <w:r w:rsidRPr="00556066">
        <w:t>Estimates of Annualized Burden Hours and Costs</w:t>
      </w:r>
      <w:r>
        <w:tab/>
        <w:t>7</w:t>
      </w:r>
    </w:p>
    <w:p w:rsidR="003314C8" w:rsidRDefault="003314C8" w:rsidP="003314C8">
      <w:pPr>
        <w:tabs>
          <w:tab w:val="left" w:pos="360"/>
          <w:tab w:val="left" w:leader="dot" w:pos="8280"/>
        </w:tabs>
      </w:pPr>
      <w:r>
        <w:tab/>
        <w:t xml:space="preserve">13. </w:t>
      </w:r>
      <w:r w:rsidRPr="00556066">
        <w:t>Estimates of Annualized Respondent Capital and Maintenance Costs</w:t>
      </w:r>
      <w:r>
        <w:tab/>
        <w:t>8</w:t>
      </w:r>
    </w:p>
    <w:p w:rsidR="003314C8" w:rsidRDefault="003314C8" w:rsidP="003314C8">
      <w:pPr>
        <w:tabs>
          <w:tab w:val="left" w:pos="360"/>
          <w:tab w:val="left" w:leader="dot" w:pos="8280"/>
        </w:tabs>
      </w:pPr>
      <w:r>
        <w:tab/>
        <w:t xml:space="preserve">14. </w:t>
      </w:r>
      <w:r w:rsidRPr="00556066">
        <w:t>Estimates of Annualized Cost to the Government</w:t>
      </w:r>
      <w:r>
        <w:tab/>
        <w:t>8</w:t>
      </w:r>
    </w:p>
    <w:p w:rsidR="003314C8" w:rsidRDefault="003314C8" w:rsidP="003314C8">
      <w:pPr>
        <w:tabs>
          <w:tab w:val="left" w:pos="360"/>
          <w:tab w:val="left" w:leader="dot" w:pos="8280"/>
        </w:tabs>
      </w:pPr>
      <w:r>
        <w:tab/>
        <w:t xml:space="preserve">15. </w:t>
      </w:r>
      <w:r w:rsidRPr="00556066">
        <w:t>Changes in Hour Burden</w:t>
      </w:r>
      <w:r>
        <w:tab/>
        <w:t>8</w:t>
      </w:r>
    </w:p>
    <w:p w:rsidR="003314C8" w:rsidRDefault="003314C8" w:rsidP="003314C8">
      <w:pPr>
        <w:tabs>
          <w:tab w:val="left" w:pos="360"/>
          <w:tab w:val="left" w:leader="dot" w:pos="8280"/>
        </w:tabs>
      </w:pPr>
      <w:r>
        <w:tab/>
        <w:t xml:space="preserve">16. </w:t>
      </w:r>
      <w:r w:rsidRPr="006014DB">
        <w:t>Time Schedule, Publication and Analysis Plans</w:t>
      </w:r>
      <w:r>
        <w:tab/>
        <w:t>8</w:t>
      </w:r>
    </w:p>
    <w:p w:rsidR="003314C8" w:rsidRDefault="003314C8" w:rsidP="003314C8">
      <w:pPr>
        <w:tabs>
          <w:tab w:val="left" w:pos="360"/>
          <w:tab w:val="left" w:leader="dot" w:pos="8280"/>
        </w:tabs>
      </w:pPr>
      <w:r>
        <w:tab/>
        <w:t xml:space="preserve">17. </w:t>
      </w:r>
      <w:r w:rsidRPr="006014DB">
        <w:t>Exemption for Display of Expiration Date</w:t>
      </w:r>
      <w:r>
        <w:tab/>
        <w:t>8</w:t>
      </w:r>
    </w:p>
    <w:p w:rsidR="003314C8" w:rsidRPr="00556066" w:rsidRDefault="003314C8" w:rsidP="003314C8">
      <w:pPr>
        <w:tabs>
          <w:tab w:val="left" w:pos="360"/>
          <w:tab w:val="left" w:leader="dot" w:pos="8280"/>
        </w:tabs>
      </w:pPr>
      <w:r>
        <w:tab/>
      </w:r>
    </w:p>
    <w:p w:rsidR="003314C8" w:rsidRPr="00556066" w:rsidRDefault="003314C8" w:rsidP="003314C8">
      <w:pPr>
        <w:tabs>
          <w:tab w:val="left" w:pos="360"/>
          <w:tab w:val="left" w:leader="dot" w:pos="8280"/>
        </w:tabs>
      </w:pPr>
      <w:r>
        <w:tab/>
      </w:r>
    </w:p>
    <w:p w:rsidR="003314C8" w:rsidRDefault="003314C8" w:rsidP="003314C8">
      <w:pPr>
        <w:jc w:val="center"/>
        <w:rPr>
          <w:b/>
        </w:rPr>
      </w:pPr>
    </w:p>
    <w:p w:rsidR="003314C8" w:rsidRPr="00386E1D" w:rsidRDefault="003314C8" w:rsidP="003314C8">
      <w:pPr>
        <w:pStyle w:val="Heading1"/>
        <w:rPr>
          <w:rFonts w:ascii="Times New Roman" w:hAnsi="Times New Roman" w:cs="Times New Roman"/>
          <w:sz w:val="24"/>
          <w:szCs w:val="24"/>
        </w:rPr>
      </w:pPr>
      <w:r>
        <w:br w:type="page"/>
      </w:r>
      <w:bookmarkStart w:id="0" w:name="_Toc151782175"/>
      <w:bookmarkStart w:id="1" w:name="_Toc158526215"/>
      <w:r w:rsidRPr="00386E1D">
        <w:rPr>
          <w:rFonts w:ascii="Times New Roman" w:hAnsi="Times New Roman" w:cs="Times New Roman"/>
          <w:sz w:val="24"/>
          <w:szCs w:val="24"/>
        </w:rPr>
        <w:lastRenderedPageBreak/>
        <w:t>A. Justification</w:t>
      </w:r>
      <w:bookmarkEnd w:id="0"/>
      <w:bookmarkEnd w:id="1"/>
    </w:p>
    <w:p w:rsidR="003314C8" w:rsidRPr="00386E1D" w:rsidRDefault="003314C8" w:rsidP="003314C8"/>
    <w:p w:rsidR="003314C8" w:rsidRPr="00386E1D" w:rsidRDefault="003314C8" w:rsidP="003314C8">
      <w:pPr>
        <w:pStyle w:val="Heading2"/>
        <w:spacing w:before="0" w:after="0"/>
        <w:rPr>
          <w:rFonts w:ascii="Times New Roman" w:hAnsi="Times New Roman" w:cs="Times New Roman"/>
          <w:sz w:val="24"/>
          <w:szCs w:val="24"/>
        </w:rPr>
      </w:pPr>
      <w:bookmarkStart w:id="2" w:name="_Toc151782176"/>
      <w:bookmarkStart w:id="3" w:name="_Toc158526216"/>
      <w:r w:rsidRPr="00386E1D">
        <w:rPr>
          <w:rFonts w:ascii="Times New Roman" w:hAnsi="Times New Roman" w:cs="Times New Roman"/>
          <w:sz w:val="24"/>
          <w:szCs w:val="24"/>
        </w:rPr>
        <w:t xml:space="preserve">1. </w:t>
      </w:r>
      <w:bookmarkEnd w:id="2"/>
      <w:bookmarkEnd w:id="3"/>
      <w:r w:rsidRPr="00386E1D">
        <w:rPr>
          <w:rFonts w:ascii="Times New Roman" w:hAnsi="Times New Roman" w:cs="Times New Roman"/>
          <w:sz w:val="24"/>
          <w:szCs w:val="24"/>
        </w:rPr>
        <w:t>Circumstances that make the collection of information necessary</w:t>
      </w:r>
    </w:p>
    <w:p w:rsidR="003314C8" w:rsidRPr="00386E1D" w:rsidRDefault="003314C8" w:rsidP="003314C8"/>
    <w:p w:rsidR="003314C8" w:rsidRDefault="003314C8" w:rsidP="003314C8">
      <w:r>
        <w:t>One of the primary</w:t>
      </w:r>
      <w:r w:rsidRPr="00386E1D">
        <w:t xml:space="preserve"> mission</w:t>
      </w:r>
      <w:r>
        <w:t>s</w:t>
      </w:r>
      <w:r w:rsidRPr="00386E1D">
        <w:t xml:space="preserve"> of the </w:t>
      </w:r>
      <w:r>
        <w:t xml:space="preserve">Centers for Medicare &amp; Medicaid Services (CMS) is to improve the quality and efficiency of care in the Fee-for-Service (FFS) program.  One of the several vehicles used for this mission is the public reporting of quality, efficiency and cost information about hospital care on the </w:t>
      </w:r>
      <w:r w:rsidRPr="00AB3D27">
        <w:rPr>
          <w:i/>
        </w:rPr>
        <w:t>Hospital Compare</w:t>
      </w:r>
      <w:r>
        <w:t xml:space="preserve"> website.  This vehicle also serves to provide Medicare beneficiaries and other consumers with the type of data needed to make informed decisions about which providers (in this case, hospitals) to use for their care.</w:t>
      </w:r>
    </w:p>
    <w:p w:rsidR="003314C8" w:rsidRDefault="003314C8" w:rsidP="003314C8"/>
    <w:p w:rsidR="003314C8" w:rsidRPr="00FD621D" w:rsidRDefault="003314C8" w:rsidP="003314C8">
      <w:r>
        <w:t>T</w:t>
      </w:r>
      <w:r w:rsidRPr="00FD621D">
        <w:t>he Medicare Improvements and Extension Act under Division B of Title I of the Tax Relief and Health Care Act (MIEA-TRHCA) of 2006, enacted in December of 2006, made changes in the Outpatient Prospective Payment</w:t>
      </w:r>
      <w:r>
        <w:t xml:space="preserve"> System (OPPS). </w:t>
      </w:r>
      <w:r w:rsidRPr="003A1567">
        <w:t>Consequently</w:t>
      </w:r>
      <w:r>
        <w:t>, CMS</w:t>
      </w:r>
      <w:r w:rsidRPr="00FD621D">
        <w:t xml:space="preserve"> is now statutorily required to establish a program under which hospitals will report data on the quality of hospital outpatient care using standardized measures to receive the full annual update to the OPPS payment rate</w:t>
      </w:r>
      <w:r>
        <w:t xml:space="preserve">. This will be </w:t>
      </w:r>
      <w:r w:rsidRPr="00FD621D">
        <w:t xml:space="preserve">effective for payments beginning in calendar year (CY) 2009. The program established under these amendments is the Hospital Outpatient Quality Data Reporting Program (HOP QDRP). The measures will expand as additional priority areas for quality improvement in hospital outpatient settings are identified and will be designed to evaluate the diversity of services and clinical topics provided to adult patients in hospital outpatient settings. </w:t>
      </w:r>
    </w:p>
    <w:p w:rsidR="003314C8" w:rsidRPr="002B7225" w:rsidRDefault="003314C8" w:rsidP="003314C8">
      <w:r w:rsidRPr="002B7225">
        <w:t xml:space="preserve"> </w:t>
      </w:r>
    </w:p>
    <w:p w:rsidR="003314C8" w:rsidRDefault="003314C8" w:rsidP="003314C8">
      <w:r>
        <w:t xml:space="preserve">In 2010, CMS </w:t>
      </w:r>
      <w:r w:rsidR="002176B5">
        <w:t>plans to</w:t>
      </w:r>
      <w:r w:rsidR="0078429B">
        <w:t xml:space="preserve"> </w:t>
      </w:r>
      <w:r>
        <w:t xml:space="preserve">publicly report new hospital outpatient quality and efficiency measures on the </w:t>
      </w:r>
      <w:r w:rsidRPr="00AB3D27">
        <w:rPr>
          <w:i/>
        </w:rPr>
        <w:t>Hospital Compare</w:t>
      </w:r>
      <w:r>
        <w:t xml:space="preserve"> website</w:t>
      </w:r>
      <w:r w:rsidR="002176B5">
        <w:t xml:space="preserve"> depending, in part, on the results of consumer testing</w:t>
      </w:r>
      <w:r>
        <w:t>.  These measures include:</w:t>
      </w:r>
    </w:p>
    <w:p w:rsidR="003314C8" w:rsidRDefault="003314C8" w:rsidP="003314C8"/>
    <w:tbl>
      <w:tblPr>
        <w:tblW w:w="79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BF"/>
      </w:tblPr>
      <w:tblGrid>
        <w:gridCol w:w="990"/>
        <w:gridCol w:w="6930"/>
      </w:tblGrid>
      <w:tr w:rsidR="003314C8" w:rsidRPr="002E5118">
        <w:tc>
          <w:tcPr>
            <w:tcW w:w="7920" w:type="dxa"/>
            <w:gridSpan w:val="2"/>
            <w:shd w:val="clear" w:color="auto" w:fill="4F81BD"/>
          </w:tcPr>
          <w:p w:rsidR="003314C8" w:rsidRPr="002E5118" w:rsidRDefault="003314C8" w:rsidP="003314C8">
            <w:pPr>
              <w:pStyle w:val="NormalSS"/>
              <w:spacing w:before="60" w:after="60"/>
              <w:ind w:firstLine="0"/>
              <w:jc w:val="left"/>
              <w:rPr>
                <w:rFonts w:ascii="Times" w:hAnsi="Times"/>
                <w:b/>
                <w:color w:val="FFFFFF"/>
                <w:sz w:val="22"/>
                <w:szCs w:val="22"/>
              </w:rPr>
            </w:pPr>
            <w:r w:rsidRPr="002E5118">
              <w:rPr>
                <w:rFonts w:ascii="Times" w:hAnsi="Times"/>
                <w:b/>
                <w:color w:val="FFFFFF"/>
                <w:sz w:val="22"/>
                <w:szCs w:val="22"/>
              </w:rPr>
              <w:t>Outpatient Acute Myocardial Infarction (AMI) and Chest Pain/Emergency Department (ED)</w:t>
            </w:r>
          </w:p>
        </w:tc>
      </w:tr>
      <w:tr w:rsidR="003314C8" w:rsidRPr="000203A6">
        <w:tc>
          <w:tcPr>
            <w:tcW w:w="990" w:type="dxa"/>
          </w:tcPr>
          <w:p w:rsidR="003314C8" w:rsidRPr="000203A6" w:rsidRDefault="003314C8" w:rsidP="003314C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Calibri" w:hAnsi="Helvetica" w:cs="Helvetica"/>
                <w:b/>
                <w:sz w:val="22"/>
              </w:rPr>
            </w:pPr>
            <w:r w:rsidRPr="000203A6">
              <w:rPr>
                <w:rFonts w:ascii="Times" w:eastAsia="Calibri" w:hAnsi="Times" w:cs="Times"/>
                <w:b/>
                <w:sz w:val="22"/>
                <w:szCs w:val="20"/>
              </w:rPr>
              <w:t>OP-1</w:t>
            </w:r>
          </w:p>
        </w:tc>
        <w:tc>
          <w:tcPr>
            <w:tcW w:w="6930" w:type="dxa"/>
          </w:tcPr>
          <w:p w:rsidR="003314C8" w:rsidRPr="000203A6" w:rsidRDefault="003314C8" w:rsidP="003314C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Calibri" w:hAnsi="Helvetica" w:cs="Helvetica"/>
                <w:sz w:val="22"/>
              </w:rPr>
            </w:pPr>
            <w:r w:rsidRPr="000203A6">
              <w:rPr>
                <w:rFonts w:ascii="Times" w:hAnsi="Times" w:cs="Times"/>
                <w:sz w:val="22"/>
              </w:rPr>
              <w:t>Median Time to Fibrinolysis</w:t>
            </w:r>
          </w:p>
        </w:tc>
      </w:tr>
      <w:tr w:rsidR="003314C8" w:rsidRPr="000203A6">
        <w:tc>
          <w:tcPr>
            <w:tcW w:w="990" w:type="dxa"/>
          </w:tcPr>
          <w:p w:rsidR="003314C8" w:rsidRPr="000203A6" w:rsidRDefault="003314C8" w:rsidP="003314C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Calibri" w:hAnsi="Helvetica" w:cs="Helvetica"/>
                <w:b/>
                <w:sz w:val="22"/>
              </w:rPr>
            </w:pPr>
            <w:r w:rsidRPr="000203A6">
              <w:rPr>
                <w:rFonts w:ascii="Times" w:eastAsia="Calibri" w:hAnsi="Times" w:cs="Times"/>
                <w:b/>
                <w:sz w:val="22"/>
                <w:szCs w:val="20"/>
              </w:rPr>
              <w:t>OP-2</w:t>
            </w:r>
          </w:p>
        </w:tc>
        <w:tc>
          <w:tcPr>
            <w:tcW w:w="6930" w:type="dxa"/>
          </w:tcPr>
          <w:p w:rsidR="003314C8" w:rsidRPr="000203A6" w:rsidRDefault="003314C8" w:rsidP="003314C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2"/>
              </w:rPr>
            </w:pPr>
            <w:r w:rsidRPr="000203A6">
              <w:rPr>
                <w:rFonts w:ascii="Times" w:hAnsi="Times" w:cs="Times"/>
                <w:sz w:val="22"/>
              </w:rPr>
              <w:t>Fibrinolytic Therapy Received Within 30 Minutes of ED Arrival</w:t>
            </w:r>
            <w:r w:rsidRPr="000203A6">
              <w:rPr>
                <w:rFonts w:ascii="Times" w:hAnsi="Times" w:cs="Times"/>
                <w:sz w:val="22"/>
                <w:szCs w:val="20"/>
              </w:rPr>
              <w:t xml:space="preserve"> </w:t>
            </w:r>
          </w:p>
        </w:tc>
      </w:tr>
      <w:tr w:rsidR="003314C8" w:rsidRPr="000203A6">
        <w:tc>
          <w:tcPr>
            <w:tcW w:w="990" w:type="dxa"/>
          </w:tcPr>
          <w:p w:rsidR="003314C8" w:rsidRPr="000203A6" w:rsidRDefault="003314C8" w:rsidP="003314C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Calibri" w:hAnsi="Helvetica" w:cs="Helvetica"/>
                <w:b/>
                <w:sz w:val="22"/>
              </w:rPr>
            </w:pPr>
            <w:r w:rsidRPr="000203A6">
              <w:rPr>
                <w:rFonts w:ascii="Times" w:eastAsia="Calibri" w:hAnsi="Times" w:cs="Times"/>
                <w:b/>
                <w:sz w:val="22"/>
                <w:szCs w:val="20"/>
              </w:rPr>
              <w:t>OP-3</w:t>
            </w:r>
          </w:p>
        </w:tc>
        <w:tc>
          <w:tcPr>
            <w:tcW w:w="6930" w:type="dxa"/>
          </w:tcPr>
          <w:p w:rsidR="003314C8" w:rsidRPr="000203A6" w:rsidRDefault="003314C8" w:rsidP="003314C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2"/>
              </w:rPr>
            </w:pPr>
            <w:r w:rsidRPr="000203A6">
              <w:rPr>
                <w:rFonts w:ascii="Times" w:hAnsi="Times" w:cs="Times"/>
                <w:sz w:val="22"/>
              </w:rPr>
              <w:t xml:space="preserve">Median Time to Transfer to Another Facility for Acute Coronary Intervention </w:t>
            </w:r>
          </w:p>
        </w:tc>
      </w:tr>
      <w:tr w:rsidR="003314C8" w:rsidRPr="000203A6">
        <w:tc>
          <w:tcPr>
            <w:tcW w:w="990" w:type="dxa"/>
          </w:tcPr>
          <w:p w:rsidR="003314C8" w:rsidRPr="000203A6" w:rsidRDefault="003314C8" w:rsidP="003314C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Calibri" w:hAnsi="Helvetica" w:cs="Helvetica"/>
                <w:b/>
                <w:sz w:val="22"/>
              </w:rPr>
            </w:pPr>
            <w:r w:rsidRPr="000203A6">
              <w:rPr>
                <w:rFonts w:ascii="Times" w:eastAsia="Calibri" w:hAnsi="Times" w:cs="Times"/>
                <w:b/>
                <w:sz w:val="22"/>
                <w:szCs w:val="20"/>
              </w:rPr>
              <w:t>OP-4</w:t>
            </w:r>
          </w:p>
        </w:tc>
        <w:tc>
          <w:tcPr>
            <w:tcW w:w="6930" w:type="dxa"/>
          </w:tcPr>
          <w:p w:rsidR="003314C8" w:rsidRPr="000203A6" w:rsidRDefault="003314C8" w:rsidP="003314C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Calibri" w:hAnsi="Helvetica" w:cs="Helvetica"/>
                <w:sz w:val="22"/>
              </w:rPr>
            </w:pPr>
            <w:r w:rsidRPr="000203A6">
              <w:rPr>
                <w:rFonts w:ascii="Times" w:hAnsi="Times" w:cs="Times"/>
                <w:sz w:val="22"/>
              </w:rPr>
              <w:t>Aspirin at Arrival</w:t>
            </w:r>
          </w:p>
        </w:tc>
      </w:tr>
      <w:tr w:rsidR="003314C8" w:rsidRPr="000203A6">
        <w:tc>
          <w:tcPr>
            <w:tcW w:w="990" w:type="dxa"/>
            <w:tcBorders>
              <w:bottom w:val="single" w:sz="4" w:space="0" w:color="000000"/>
            </w:tcBorders>
          </w:tcPr>
          <w:p w:rsidR="003314C8" w:rsidRPr="000203A6" w:rsidRDefault="003314C8" w:rsidP="003314C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Calibri" w:hAnsi="Helvetica" w:cs="Helvetica"/>
                <w:b/>
                <w:sz w:val="22"/>
              </w:rPr>
            </w:pPr>
            <w:r w:rsidRPr="000203A6">
              <w:rPr>
                <w:rFonts w:ascii="Times" w:eastAsia="Calibri" w:hAnsi="Times" w:cs="Times"/>
                <w:b/>
                <w:sz w:val="22"/>
                <w:szCs w:val="20"/>
              </w:rPr>
              <w:t>OP-5</w:t>
            </w:r>
          </w:p>
        </w:tc>
        <w:tc>
          <w:tcPr>
            <w:tcW w:w="6930" w:type="dxa"/>
            <w:tcBorders>
              <w:bottom w:val="single" w:sz="4" w:space="0" w:color="000000"/>
            </w:tcBorders>
          </w:tcPr>
          <w:p w:rsidR="003314C8" w:rsidRPr="000203A6" w:rsidRDefault="003314C8" w:rsidP="003314C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Calibri" w:hAnsi="Helvetica" w:cs="Helvetica"/>
                <w:sz w:val="22"/>
              </w:rPr>
            </w:pPr>
            <w:r w:rsidRPr="000203A6">
              <w:rPr>
                <w:rFonts w:ascii="Times" w:hAnsi="Times" w:cs="Times"/>
                <w:sz w:val="22"/>
              </w:rPr>
              <w:t>Median Time to ECG</w:t>
            </w:r>
          </w:p>
        </w:tc>
      </w:tr>
      <w:tr w:rsidR="003314C8" w:rsidRPr="002E5118">
        <w:tc>
          <w:tcPr>
            <w:tcW w:w="7920" w:type="dxa"/>
            <w:gridSpan w:val="2"/>
            <w:shd w:val="clear" w:color="auto" w:fill="4F81BD"/>
          </w:tcPr>
          <w:p w:rsidR="003314C8" w:rsidRPr="002E5118" w:rsidRDefault="003314C8" w:rsidP="003314C8">
            <w:pPr>
              <w:pStyle w:val="NormalSS"/>
              <w:spacing w:before="60" w:after="60"/>
              <w:ind w:firstLine="0"/>
              <w:jc w:val="left"/>
              <w:rPr>
                <w:rFonts w:ascii="Times" w:hAnsi="Times"/>
                <w:b/>
                <w:color w:val="FFFFFF"/>
                <w:sz w:val="22"/>
                <w:szCs w:val="22"/>
              </w:rPr>
            </w:pPr>
            <w:r w:rsidRPr="002E5118">
              <w:rPr>
                <w:rFonts w:ascii="Times" w:hAnsi="Times"/>
                <w:b/>
                <w:color w:val="FFFFFF"/>
                <w:sz w:val="22"/>
                <w:szCs w:val="22"/>
              </w:rPr>
              <w:t xml:space="preserve">Outpatient Surgery </w:t>
            </w:r>
          </w:p>
        </w:tc>
      </w:tr>
      <w:tr w:rsidR="003314C8" w:rsidRPr="000203A6">
        <w:tc>
          <w:tcPr>
            <w:tcW w:w="990" w:type="dxa"/>
          </w:tcPr>
          <w:p w:rsidR="003314C8" w:rsidRPr="000203A6" w:rsidRDefault="003314C8" w:rsidP="003314C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eastAsia="Calibri" w:hAnsi="Times" w:cs="Times"/>
                <w:b/>
                <w:sz w:val="22"/>
                <w:szCs w:val="20"/>
              </w:rPr>
            </w:pPr>
            <w:r w:rsidRPr="000203A6">
              <w:rPr>
                <w:rFonts w:ascii="Times" w:eastAsia="Calibri" w:hAnsi="Times" w:cs="Times"/>
                <w:b/>
                <w:sz w:val="22"/>
                <w:szCs w:val="20"/>
              </w:rPr>
              <w:t>OP-6</w:t>
            </w:r>
          </w:p>
        </w:tc>
        <w:tc>
          <w:tcPr>
            <w:tcW w:w="6930" w:type="dxa"/>
          </w:tcPr>
          <w:p w:rsidR="003314C8" w:rsidRPr="000203A6" w:rsidRDefault="003314C8" w:rsidP="003314C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sz w:val="22"/>
              </w:rPr>
            </w:pPr>
            <w:r w:rsidRPr="000203A6">
              <w:rPr>
                <w:rFonts w:ascii="Times" w:hAnsi="Times" w:cs="Times"/>
                <w:sz w:val="22"/>
              </w:rPr>
              <w:t>Timing of Antibiotic Prophylaxis (Prophylactic Antibiotic Initiated Within One Hour Prior to Surgical Incision)</w:t>
            </w:r>
          </w:p>
        </w:tc>
      </w:tr>
      <w:tr w:rsidR="003314C8" w:rsidRPr="000203A6">
        <w:tc>
          <w:tcPr>
            <w:tcW w:w="990" w:type="dxa"/>
            <w:tcBorders>
              <w:bottom w:val="single" w:sz="4" w:space="0" w:color="000000"/>
            </w:tcBorders>
          </w:tcPr>
          <w:p w:rsidR="003314C8" w:rsidRPr="000203A6" w:rsidRDefault="003314C8" w:rsidP="003314C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b/>
                <w:sz w:val="22"/>
              </w:rPr>
            </w:pPr>
            <w:r w:rsidRPr="000203A6">
              <w:rPr>
                <w:rFonts w:ascii="Times" w:hAnsi="Times" w:cs="Times"/>
                <w:b/>
                <w:sz w:val="22"/>
              </w:rPr>
              <w:t xml:space="preserve">OP-7 </w:t>
            </w:r>
          </w:p>
        </w:tc>
        <w:tc>
          <w:tcPr>
            <w:tcW w:w="6930" w:type="dxa"/>
            <w:tcBorders>
              <w:bottom w:val="single" w:sz="4" w:space="0" w:color="000000"/>
            </w:tcBorders>
          </w:tcPr>
          <w:p w:rsidR="003314C8" w:rsidRPr="000203A6" w:rsidRDefault="003314C8" w:rsidP="003314C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sz w:val="22"/>
              </w:rPr>
            </w:pPr>
            <w:r w:rsidRPr="000203A6">
              <w:rPr>
                <w:rFonts w:ascii="Times" w:hAnsi="Times" w:cs="Times"/>
                <w:sz w:val="22"/>
              </w:rPr>
              <w:t xml:space="preserve">Prophylactic Antibiotic Selection for Surgical Patients </w:t>
            </w:r>
          </w:p>
        </w:tc>
      </w:tr>
      <w:tr w:rsidR="003314C8" w:rsidRPr="002E5118">
        <w:tc>
          <w:tcPr>
            <w:tcW w:w="7920" w:type="dxa"/>
            <w:gridSpan w:val="2"/>
            <w:shd w:val="clear" w:color="auto" w:fill="4F81BD"/>
          </w:tcPr>
          <w:p w:rsidR="003314C8" w:rsidRPr="002E5118" w:rsidRDefault="003314C8" w:rsidP="003314C8">
            <w:pPr>
              <w:pStyle w:val="NormalSS"/>
              <w:spacing w:before="60" w:after="60"/>
              <w:ind w:firstLine="0"/>
              <w:jc w:val="left"/>
              <w:rPr>
                <w:rFonts w:ascii="Times" w:hAnsi="Times"/>
                <w:b/>
                <w:color w:val="FFFFFF"/>
                <w:sz w:val="22"/>
                <w:szCs w:val="22"/>
              </w:rPr>
            </w:pPr>
            <w:r w:rsidRPr="002E5118">
              <w:rPr>
                <w:rFonts w:ascii="Times" w:hAnsi="Times"/>
                <w:b/>
                <w:color w:val="FFFFFF"/>
                <w:sz w:val="22"/>
                <w:szCs w:val="22"/>
              </w:rPr>
              <w:t xml:space="preserve">Imaging Efficiency </w:t>
            </w:r>
          </w:p>
        </w:tc>
      </w:tr>
      <w:tr w:rsidR="003314C8" w:rsidRPr="000203A6">
        <w:tc>
          <w:tcPr>
            <w:tcW w:w="990" w:type="dxa"/>
          </w:tcPr>
          <w:p w:rsidR="003314C8" w:rsidRPr="000203A6" w:rsidRDefault="003314C8" w:rsidP="003314C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Calibri" w:hAnsi="Helvetica" w:cs="Helvetica"/>
                <w:b/>
                <w:sz w:val="22"/>
              </w:rPr>
            </w:pPr>
            <w:r w:rsidRPr="000203A6">
              <w:rPr>
                <w:rFonts w:ascii="Times" w:eastAsia="Calibri" w:hAnsi="Times" w:cs="Times"/>
                <w:b/>
                <w:sz w:val="22"/>
                <w:szCs w:val="20"/>
              </w:rPr>
              <w:t>OP-8</w:t>
            </w:r>
          </w:p>
        </w:tc>
        <w:tc>
          <w:tcPr>
            <w:tcW w:w="6930" w:type="dxa"/>
          </w:tcPr>
          <w:p w:rsidR="003314C8" w:rsidRPr="000203A6" w:rsidRDefault="003314C8" w:rsidP="003314C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Calibri" w:hAnsi="Helvetica" w:cs="Helvetica"/>
                <w:sz w:val="22"/>
              </w:rPr>
            </w:pPr>
            <w:r w:rsidRPr="000203A6">
              <w:rPr>
                <w:rFonts w:ascii="Times" w:eastAsia="Calibri" w:hAnsi="Times" w:cs="Times"/>
                <w:sz w:val="22"/>
                <w:szCs w:val="20"/>
              </w:rPr>
              <w:t>MRI Lumbar Spine for Low Back Pain</w:t>
            </w:r>
          </w:p>
        </w:tc>
      </w:tr>
      <w:tr w:rsidR="003314C8" w:rsidRPr="000203A6">
        <w:tc>
          <w:tcPr>
            <w:tcW w:w="990" w:type="dxa"/>
          </w:tcPr>
          <w:p w:rsidR="003314C8" w:rsidRPr="000203A6" w:rsidRDefault="003314C8" w:rsidP="003314C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Calibri" w:hAnsi="Helvetica" w:cs="Helvetica"/>
                <w:b/>
                <w:sz w:val="22"/>
              </w:rPr>
            </w:pPr>
            <w:r w:rsidRPr="000203A6">
              <w:rPr>
                <w:rFonts w:ascii="Times" w:eastAsia="Calibri" w:hAnsi="Times" w:cs="Times"/>
                <w:b/>
                <w:sz w:val="22"/>
                <w:szCs w:val="20"/>
              </w:rPr>
              <w:t>OP-9</w:t>
            </w:r>
          </w:p>
        </w:tc>
        <w:tc>
          <w:tcPr>
            <w:tcW w:w="6930" w:type="dxa"/>
          </w:tcPr>
          <w:p w:rsidR="003314C8" w:rsidRPr="000203A6" w:rsidRDefault="003314C8" w:rsidP="003314C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Calibri" w:hAnsi="Helvetica" w:cs="Helvetica"/>
                <w:sz w:val="22"/>
              </w:rPr>
            </w:pPr>
            <w:r w:rsidRPr="000203A6">
              <w:rPr>
                <w:rFonts w:ascii="Times" w:eastAsia="Calibri" w:hAnsi="Times" w:cs="Times"/>
                <w:sz w:val="22"/>
                <w:szCs w:val="20"/>
              </w:rPr>
              <w:t>Mammography Follow-up Rates</w:t>
            </w:r>
          </w:p>
        </w:tc>
      </w:tr>
      <w:tr w:rsidR="003314C8" w:rsidRPr="000203A6">
        <w:tc>
          <w:tcPr>
            <w:tcW w:w="990" w:type="dxa"/>
          </w:tcPr>
          <w:p w:rsidR="003314C8" w:rsidRPr="000203A6" w:rsidRDefault="003314C8" w:rsidP="003314C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Calibri" w:hAnsi="Helvetica" w:cs="Helvetica"/>
                <w:b/>
                <w:sz w:val="22"/>
              </w:rPr>
            </w:pPr>
            <w:r w:rsidRPr="000203A6">
              <w:rPr>
                <w:rFonts w:ascii="Times" w:eastAsia="Calibri" w:hAnsi="Times" w:cs="Times"/>
                <w:b/>
                <w:sz w:val="22"/>
                <w:szCs w:val="20"/>
              </w:rPr>
              <w:t>OP-10</w:t>
            </w:r>
          </w:p>
        </w:tc>
        <w:tc>
          <w:tcPr>
            <w:tcW w:w="6930" w:type="dxa"/>
          </w:tcPr>
          <w:p w:rsidR="003314C8" w:rsidRPr="000203A6" w:rsidRDefault="003314C8" w:rsidP="003314C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Calibri" w:hAnsi="Helvetica" w:cs="Helvetica"/>
                <w:sz w:val="22"/>
              </w:rPr>
            </w:pPr>
            <w:r w:rsidRPr="000203A6">
              <w:rPr>
                <w:rFonts w:ascii="Times" w:eastAsia="Calibri" w:hAnsi="Times" w:cs="Times"/>
                <w:sz w:val="22"/>
                <w:szCs w:val="20"/>
              </w:rPr>
              <w:t xml:space="preserve">Abdomen CT - Use of Contrast Material </w:t>
            </w:r>
          </w:p>
        </w:tc>
      </w:tr>
      <w:tr w:rsidR="003314C8" w:rsidRPr="000203A6">
        <w:tc>
          <w:tcPr>
            <w:tcW w:w="990" w:type="dxa"/>
          </w:tcPr>
          <w:p w:rsidR="003314C8" w:rsidRPr="000203A6" w:rsidRDefault="003314C8" w:rsidP="003314C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Calibri" w:hAnsi="Helvetica" w:cs="Helvetica"/>
                <w:b/>
                <w:sz w:val="22"/>
              </w:rPr>
            </w:pPr>
            <w:r w:rsidRPr="000203A6">
              <w:rPr>
                <w:rFonts w:ascii="Times" w:eastAsia="Calibri" w:hAnsi="Times" w:cs="Times"/>
                <w:b/>
                <w:sz w:val="22"/>
                <w:szCs w:val="20"/>
              </w:rPr>
              <w:t>OP-11</w:t>
            </w:r>
          </w:p>
        </w:tc>
        <w:tc>
          <w:tcPr>
            <w:tcW w:w="6930" w:type="dxa"/>
          </w:tcPr>
          <w:p w:rsidR="003314C8" w:rsidRPr="000203A6" w:rsidRDefault="003314C8" w:rsidP="003314C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Calibri" w:hAnsi="Helvetica" w:cs="Helvetica"/>
                <w:sz w:val="22"/>
              </w:rPr>
            </w:pPr>
            <w:r w:rsidRPr="000203A6">
              <w:rPr>
                <w:rFonts w:ascii="Times" w:eastAsia="Calibri" w:hAnsi="Times" w:cs="Times"/>
                <w:sz w:val="22"/>
                <w:szCs w:val="20"/>
              </w:rPr>
              <w:t xml:space="preserve">Thorax CT - Use of Contrast Material </w:t>
            </w:r>
          </w:p>
        </w:tc>
      </w:tr>
    </w:tbl>
    <w:p w:rsidR="003314C8" w:rsidRPr="00386E1D" w:rsidRDefault="003314C8" w:rsidP="003314C8"/>
    <w:p w:rsidR="003314C8" w:rsidRDefault="003314C8" w:rsidP="003314C8">
      <w:r w:rsidRPr="00BF544A">
        <w:lastRenderedPageBreak/>
        <w:t xml:space="preserve">The Centers for Medicare &amp; Medicaid Services (CMS) contracted with L&amp;M Policy Research, LLC (L&amp;M) and its subcontractors, Mathematica Policy Research, Inc. (MPR) and McGee </w:t>
      </w:r>
      <w:r>
        <w:t>&amp;</w:t>
      </w:r>
      <w:r w:rsidRPr="00BF544A">
        <w:t xml:space="preserve"> Evers Consulting</w:t>
      </w:r>
      <w:r>
        <w:t xml:space="preserve"> (M&amp;E)</w:t>
      </w:r>
      <w:r w:rsidRPr="00BF544A">
        <w:t xml:space="preserve">, to conduct </w:t>
      </w:r>
      <w:r>
        <w:t xml:space="preserve">exploratory or </w:t>
      </w:r>
      <w:r w:rsidRPr="00BF544A">
        <w:t>formative research around the new Hospital Outpatient Measures.</w:t>
      </w:r>
      <w:r>
        <w:t xml:space="preserve">  Concepts and topics</w:t>
      </w:r>
      <w:r w:rsidRPr="00BF544A">
        <w:t xml:space="preserve"> were presented to groups of consumers and caregivers, and to individual physicians. A moderator explored how these subjects cognitively approached the topics, what distinctions they drew or failed to draw, and how they would react to and use new measure types (e.g., efficiency).  Specifically, the research team conducted a total of four focus group discussions with consumers and caregivers. The consumer participants ranged in age from 40 to 70 years of age and had a mix of experience with outpatient hospital services; the caregiver participants ranged in age from 18 to 70 years of age and provide care for persons who have had a mix of experience with outpatient hospital services. The team also conducted a total of six in-depth interviews with providers, including three primary care physicians, one emergency room doctor, and two radiologists. The research was conducted in Boston, MA on August 12 and 13, 2009. </w:t>
      </w:r>
    </w:p>
    <w:p w:rsidR="003314C8" w:rsidRDefault="003314C8" w:rsidP="003314C8"/>
    <w:p w:rsidR="003314C8" w:rsidRPr="00BF544A" w:rsidRDefault="003314C8" w:rsidP="003314C8">
      <w:r>
        <w:t>Subsequent to this exploratory or formative research, the research team designed mock-ups of the planned measures, utilizing feedback from the measure developers, the website programmers, plain language experts, and other CMS staff and contractors.  The goals of the mock-ups were to integrate the measures into an existing website using the display devices similar to those used for extant measures, but presenting the measures clearly and in such a way that consumers and professionals could draw accurate and useful inferences from the data.  The research team and CMS remain concerned about a number of issues in the displays and would like to conduct additional website research with consumers, caregivers and professionals to fine tune the recommendations to the website owners and programmers.   The team proposes to conduct cognitive interviews with mock-ups and protocols in January 2010 in order to meet Agency deadlines for presentation of the data by June 2010.</w:t>
      </w:r>
    </w:p>
    <w:p w:rsidR="003314C8" w:rsidRPr="00E85358" w:rsidRDefault="003314C8" w:rsidP="003314C8">
      <w:pPr>
        <w:jc w:val="both"/>
        <w:rPr>
          <w:snapToGrid w:val="0"/>
          <w:sz w:val="22"/>
        </w:rPr>
      </w:pPr>
    </w:p>
    <w:p w:rsidR="003314C8" w:rsidRDefault="003314C8" w:rsidP="003314C8">
      <w:r>
        <w:t xml:space="preserve">The purpose of the cognitive interviews is to gain some feedback from subjects who may reflect the population of users of the website, without attempting to definitively determine how any particular population of users would react to and use the site.  That is, the team is not attempting to achieve an understanding that can be generalized, so much as to be alerted to “landmines” or dangers to be avoided in the presentation of the data.  </w:t>
      </w:r>
      <w:r w:rsidRPr="00FC7AD8">
        <w:t>Because this study</w:t>
      </w:r>
      <w:r>
        <w:t xml:space="preserve"> is qualitative</w:t>
      </w:r>
      <w:r w:rsidRPr="00FC7AD8">
        <w:t xml:space="preserve">, the data collection will employ convenience samples of individuals from different segments of the population. </w:t>
      </w:r>
      <w:r>
        <w:t xml:space="preserve"> These samples include: patients with prior hospital outpatient experience, patients with medical conditions to the hospital outpatient measures, primary care physicians who refer to hospital outpatient departments for services being measured, radiologists, emergency room physicians, and other specialists with some knowledge of the measures or of the services and procedures underlying the measures.</w:t>
      </w:r>
      <w:r w:rsidRPr="00FC7AD8">
        <w:t xml:space="preserve"> </w:t>
      </w:r>
    </w:p>
    <w:p w:rsidR="003314C8" w:rsidRDefault="003314C8" w:rsidP="003314C8"/>
    <w:p w:rsidR="003314C8" w:rsidRDefault="003314C8" w:rsidP="003314C8">
      <w:r>
        <w:t xml:space="preserve">This project consists of the following data collections: </w:t>
      </w:r>
    </w:p>
    <w:p w:rsidR="003314C8" w:rsidRDefault="003314C8" w:rsidP="003314C8"/>
    <w:p w:rsidR="003314C8" w:rsidRDefault="003314C8" w:rsidP="003314C8">
      <w:pPr>
        <w:numPr>
          <w:ilvl w:val="0"/>
          <w:numId w:val="47"/>
        </w:numPr>
      </w:pPr>
      <w:r>
        <w:t xml:space="preserve">Recruitment screening forms to be used by the research facility to match the participant pool to the recruitment goals of the research team (see Attachment B); </w:t>
      </w:r>
    </w:p>
    <w:p w:rsidR="003314C8" w:rsidRDefault="003314C8" w:rsidP="003314C8">
      <w:pPr>
        <w:ind w:left="720"/>
      </w:pPr>
    </w:p>
    <w:p w:rsidR="003314C8" w:rsidRDefault="003314C8" w:rsidP="003314C8">
      <w:pPr>
        <w:numPr>
          <w:ilvl w:val="0"/>
          <w:numId w:val="47"/>
        </w:numPr>
      </w:pPr>
      <w:r>
        <w:t>Semi-structured interviews with patients, caregivers, radiology technicians, health plan benefit managers, primary care physicians and specialists (see Attachment</w:t>
      </w:r>
      <w:r w:rsidR="00662CE2">
        <w:t xml:space="preserve"> C</w:t>
      </w:r>
      <w:r>
        <w:t>).</w:t>
      </w:r>
    </w:p>
    <w:p w:rsidR="003314C8" w:rsidRDefault="003314C8" w:rsidP="003314C8"/>
    <w:p w:rsidR="003314C8" w:rsidRDefault="003314C8" w:rsidP="003314C8">
      <w:pPr>
        <w:ind w:left="360"/>
      </w:pPr>
    </w:p>
    <w:p w:rsidR="003314C8" w:rsidRPr="00FC7AD8" w:rsidRDefault="003314C8" w:rsidP="003314C8">
      <w:r w:rsidRPr="00FC7AD8">
        <w:t xml:space="preserve">This project </w:t>
      </w:r>
      <w:r>
        <w:t>shall support CMS’s efforts to understand how racially and ethnically diverse populations react to and utilize consumer information</w:t>
      </w:r>
      <w:r w:rsidRPr="00FC7AD8">
        <w:t xml:space="preserve">. </w:t>
      </w:r>
      <w:r>
        <w:t xml:space="preserve"> The research shall be conducted in a location with different population characteristics from the initial exploratory study location (Boston, MA).</w:t>
      </w:r>
    </w:p>
    <w:p w:rsidR="003314C8" w:rsidRPr="00FC7AD8" w:rsidRDefault="003314C8" w:rsidP="003314C8">
      <w:pPr>
        <w:pStyle w:val="Heading2"/>
        <w:rPr>
          <w:rFonts w:ascii="Times New Roman" w:hAnsi="Times New Roman" w:cs="Times New Roman"/>
          <w:sz w:val="24"/>
          <w:szCs w:val="24"/>
        </w:rPr>
      </w:pPr>
      <w:bookmarkStart w:id="4" w:name="_Toc151782177"/>
      <w:bookmarkStart w:id="5" w:name="_Toc158526217"/>
      <w:r w:rsidRPr="00FC7AD8">
        <w:rPr>
          <w:rFonts w:ascii="Times New Roman" w:hAnsi="Times New Roman" w:cs="Times New Roman"/>
          <w:sz w:val="24"/>
          <w:szCs w:val="24"/>
        </w:rPr>
        <w:t>2. Purpose and Use of Information</w:t>
      </w:r>
      <w:bookmarkEnd w:id="4"/>
      <w:bookmarkEnd w:id="5"/>
    </w:p>
    <w:p w:rsidR="003314C8" w:rsidRPr="00FC7AD8" w:rsidRDefault="003314C8" w:rsidP="003314C8">
      <w:pPr>
        <w:spacing w:after="240"/>
      </w:pPr>
      <w:r w:rsidRPr="00FC7AD8">
        <w:t>The inform</w:t>
      </w:r>
      <w:r>
        <w:t xml:space="preserve">ation that is collected in the interviews will be used to revise mockups </w:t>
      </w:r>
      <w:r w:rsidR="00662CE2">
        <w:t xml:space="preserve">(Attachment D) </w:t>
      </w:r>
      <w:r>
        <w:t>of measure displays.  Areas that are of concern from testing will be presented with options and pros and cons for leadership decision-making.  For example, if two different display options have both advantages and disadvantages, the report describing results of this research shall attempt to provide leadership with a basis for making a decision.</w:t>
      </w:r>
      <w:r w:rsidRPr="00FC7AD8">
        <w:t xml:space="preserve">  </w:t>
      </w:r>
      <w:r>
        <w:t>The format of the report will include screenshots and detailed instructions to help website programmers accurately implement the recommendations.</w:t>
      </w:r>
    </w:p>
    <w:p w:rsidR="003314C8" w:rsidRPr="00FC7AD8" w:rsidRDefault="003314C8" w:rsidP="003314C8">
      <w:pPr>
        <w:spacing w:before="100" w:beforeAutospacing="1" w:after="100" w:afterAutospacing="1"/>
      </w:pPr>
      <w:r w:rsidRPr="00FC7AD8">
        <w:t xml:space="preserve">Each participant will participate in one </w:t>
      </w:r>
      <w:r>
        <w:t>cognitive interview</w:t>
      </w:r>
      <w:r w:rsidRPr="00FC7AD8">
        <w:t xml:space="preserve"> session. Once the </w:t>
      </w:r>
      <w:r>
        <w:t>interview data are collected, they</w:t>
      </w:r>
      <w:r w:rsidRPr="00FC7AD8">
        <w:t xml:space="preserve"> will be transcribed. A process of qualitative analysis will be used to identify common themes</w:t>
      </w:r>
      <w:r>
        <w:t xml:space="preserve"> across multiple subjects.  Transcripts, video and audio recordings will be reviewed to insure that no biases were introduced (e.g., from leading questions) and that alternate interpretations of the data are considered.</w:t>
      </w:r>
    </w:p>
    <w:p w:rsidR="003314C8" w:rsidRPr="00FC7AD8" w:rsidRDefault="003314C8" w:rsidP="003314C8">
      <w:pPr>
        <w:pStyle w:val="Heading2"/>
        <w:rPr>
          <w:rFonts w:ascii="Times New Roman" w:hAnsi="Times New Roman" w:cs="Times New Roman"/>
          <w:sz w:val="24"/>
          <w:szCs w:val="24"/>
        </w:rPr>
      </w:pPr>
      <w:bookmarkStart w:id="6" w:name="_Toc151782178"/>
      <w:bookmarkStart w:id="7" w:name="_Toc158526218"/>
      <w:r w:rsidRPr="00FC7AD8">
        <w:rPr>
          <w:rFonts w:ascii="Times New Roman" w:hAnsi="Times New Roman" w:cs="Times New Roman"/>
          <w:sz w:val="24"/>
          <w:szCs w:val="24"/>
        </w:rPr>
        <w:t>3. Use of Improved Information Technology</w:t>
      </w:r>
      <w:bookmarkEnd w:id="6"/>
      <w:bookmarkEnd w:id="7"/>
    </w:p>
    <w:p w:rsidR="003314C8" w:rsidRPr="00FC7AD8" w:rsidRDefault="003314C8" w:rsidP="003314C8">
      <w:pPr>
        <w:jc w:val="both"/>
        <w:rPr>
          <w:i/>
        </w:rPr>
      </w:pPr>
      <w:r w:rsidRPr="00FC7AD8">
        <w:t xml:space="preserve">This data collection will utilize digital recording technology to collect, store, and manage the </w:t>
      </w:r>
      <w:r>
        <w:t xml:space="preserve">interview </w:t>
      </w:r>
      <w:r w:rsidRPr="00FC7AD8">
        <w:t>data. Participants will respond verbally to guiding questions.</w:t>
      </w:r>
      <w:r w:rsidRPr="00FC7AD8">
        <w:rPr>
          <w:i/>
        </w:rPr>
        <w:t xml:space="preserve"> </w:t>
      </w:r>
    </w:p>
    <w:p w:rsidR="003314C8" w:rsidRPr="00FC7AD8" w:rsidRDefault="003314C8" w:rsidP="003314C8">
      <w:pPr>
        <w:pStyle w:val="Heading2"/>
        <w:rPr>
          <w:rFonts w:ascii="Times New Roman" w:hAnsi="Times New Roman" w:cs="Times New Roman"/>
          <w:sz w:val="24"/>
          <w:szCs w:val="24"/>
        </w:rPr>
      </w:pPr>
      <w:bookmarkStart w:id="8" w:name="_Toc151782179"/>
      <w:bookmarkStart w:id="9" w:name="_Toc158526219"/>
      <w:r w:rsidRPr="00FC7AD8">
        <w:rPr>
          <w:rFonts w:ascii="Times New Roman" w:hAnsi="Times New Roman" w:cs="Times New Roman"/>
          <w:sz w:val="24"/>
          <w:szCs w:val="24"/>
        </w:rPr>
        <w:t>4. Efforts to Identify Duplication</w:t>
      </w:r>
      <w:bookmarkEnd w:id="8"/>
      <w:bookmarkEnd w:id="9"/>
    </w:p>
    <w:p w:rsidR="003314C8" w:rsidRPr="00FC7AD8" w:rsidRDefault="003314C8" w:rsidP="003314C8">
      <w:pPr>
        <w:rPr>
          <w:b/>
          <w:bCs/>
          <w:i/>
          <w:iCs/>
        </w:rPr>
      </w:pPr>
      <w:r>
        <w:t>An extensive review of the scientific literature was conducted.  Some of the outpatient measures are similar to extant inpatient measures and hence will not be studied as intensively.  However, most of the measures are new to public reporting and/or have not been reported as outpatient measures.</w:t>
      </w:r>
      <w:r w:rsidRPr="00FC7AD8" w:rsidDel="00FC7AD8">
        <w:rPr>
          <w:i/>
        </w:rPr>
        <w:t xml:space="preserve"> </w:t>
      </w:r>
      <w:r>
        <w:rPr>
          <w:i/>
        </w:rPr>
        <w:t xml:space="preserve"> </w:t>
      </w:r>
      <w:r>
        <w:t>Hence, while prior research provides some guidance on how to present these data, additional research is needed to insure the data are accurately interpreted and effectively used.  Some of the imaging efficiency measures remain controversial in some circles, so feedback from radiologists and others with an interest in the measures may be needed to address the concerns of clinicians and professionals as well as the needs of patients and consumers.</w:t>
      </w:r>
    </w:p>
    <w:p w:rsidR="003314C8" w:rsidRPr="00FC7AD8" w:rsidRDefault="003314C8" w:rsidP="003314C8">
      <w:pPr>
        <w:pStyle w:val="Heading2"/>
        <w:rPr>
          <w:rFonts w:ascii="Times New Roman" w:hAnsi="Times New Roman" w:cs="Times New Roman"/>
          <w:sz w:val="24"/>
          <w:szCs w:val="24"/>
        </w:rPr>
      </w:pPr>
      <w:bookmarkStart w:id="10" w:name="_Toc151782180"/>
      <w:bookmarkStart w:id="11" w:name="_Toc158526220"/>
      <w:r w:rsidRPr="00FC7AD8">
        <w:rPr>
          <w:rFonts w:ascii="Times New Roman" w:hAnsi="Times New Roman" w:cs="Times New Roman"/>
          <w:sz w:val="24"/>
          <w:szCs w:val="24"/>
        </w:rPr>
        <w:t>5. Involvement of Small Entities</w:t>
      </w:r>
      <w:bookmarkEnd w:id="10"/>
      <w:bookmarkEnd w:id="11"/>
    </w:p>
    <w:p w:rsidR="003314C8" w:rsidRPr="00A511C9" w:rsidRDefault="003314C8" w:rsidP="003314C8">
      <w:r w:rsidRPr="00FC7AD8">
        <w:t>This data collection does not involve or impact small businesses or other small entities</w:t>
      </w:r>
      <w:r>
        <w:t>.</w:t>
      </w:r>
      <w:r w:rsidRPr="00A511C9">
        <w:t xml:space="preserve"> </w:t>
      </w:r>
    </w:p>
    <w:p w:rsidR="003314C8" w:rsidRPr="00FC7AD8" w:rsidRDefault="003314C8" w:rsidP="003314C8">
      <w:pPr>
        <w:pStyle w:val="Heading2"/>
        <w:rPr>
          <w:rFonts w:ascii="Times New Roman" w:hAnsi="Times New Roman" w:cs="Times New Roman"/>
          <w:sz w:val="24"/>
          <w:szCs w:val="24"/>
        </w:rPr>
      </w:pPr>
      <w:bookmarkStart w:id="12" w:name="_Toc151782181"/>
      <w:bookmarkStart w:id="13" w:name="_Toc158526221"/>
      <w:r w:rsidRPr="00FC7AD8">
        <w:rPr>
          <w:rFonts w:ascii="Times New Roman" w:hAnsi="Times New Roman" w:cs="Times New Roman"/>
          <w:sz w:val="24"/>
          <w:szCs w:val="24"/>
        </w:rPr>
        <w:t>6. Consequences if Information Collected Less Frequently</w:t>
      </w:r>
      <w:bookmarkEnd w:id="12"/>
      <w:bookmarkEnd w:id="13"/>
    </w:p>
    <w:p w:rsidR="003314C8" w:rsidRPr="00A511C9" w:rsidRDefault="003314C8" w:rsidP="003314C8">
      <w:bookmarkStart w:id="14" w:name="_Toc151782182"/>
      <w:bookmarkStart w:id="15" w:name="_Toc158526222"/>
      <w:r>
        <w:t>T</w:t>
      </w:r>
      <w:r w:rsidRPr="00FC7AD8">
        <w:t xml:space="preserve">his is a one-time data collection. </w:t>
      </w:r>
      <w:r w:rsidRPr="00A511C9">
        <w:t xml:space="preserve"> </w:t>
      </w:r>
    </w:p>
    <w:p w:rsidR="003314C8" w:rsidRPr="00FC7AD8" w:rsidRDefault="003314C8" w:rsidP="003314C8">
      <w:pPr>
        <w:pStyle w:val="Heading2"/>
        <w:rPr>
          <w:rFonts w:ascii="Times New Roman" w:hAnsi="Times New Roman" w:cs="Times New Roman"/>
          <w:sz w:val="24"/>
          <w:szCs w:val="24"/>
        </w:rPr>
      </w:pPr>
      <w:r w:rsidRPr="00FC7AD8">
        <w:rPr>
          <w:rFonts w:ascii="Times New Roman" w:hAnsi="Times New Roman" w:cs="Times New Roman"/>
          <w:sz w:val="24"/>
          <w:szCs w:val="24"/>
        </w:rPr>
        <w:t>7. Special Circumstances</w:t>
      </w:r>
      <w:bookmarkEnd w:id="14"/>
      <w:bookmarkEnd w:id="15"/>
    </w:p>
    <w:p w:rsidR="003314C8" w:rsidRPr="004C6D60" w:rsidRDefault="003314C8" w:rsidP="003314C8">
      <w:pPr>
        <w:spacing w:before="120"/>
      </w:pPr>
      <w:r w:rsidRPr="004C6D60">
        <w:t>This request is consistent with the general information collection guidelines of 5 CFR 1320.5(d</w:t>
      </w:r>
      <w:proofErr w:type="gramStart"/>
      <w:r w:rsidRPr="004C6D60">
        <w:t>)(</w:t>
      </w:r>
      <w:proofErr w:type="gramEnd"/>
      <w:r w:rsidRPr="004C6D60">
        <w:t>2).  No special circumstances apply.</w:t>
      </w:r>
    </w:p>
    <w:p w:rsidR="003314C8" w:rsidRPr="00FC7AD8" w:rsidRDefault="003314C8" w:rsidP="003314C8">
      <w:pPr>
        <w:pStyle w:val="Heading2"/>
        <w:rPr>
          <w:rFonts w:ascii="Times New Roman" w:hAnsi="Times New Roman" w:cs="Times New Roman"/>
          <w:sz w:val="24"/>
          <w:szCs w:val="24"/>
        </w:rPr>
      </w:pPr>
      <w:bookmarkStart w:id="16" w:name="_Toc151782183"/>
      <w:bookmarkStart w:id="17" w:name="_Toc158526223"/>
      <w:r w:rsidRPr="00FC7AD8">
        <w:rPr>
          <w:rFonts w:ascii="Times New Roman" w:hAnsi="Times New Roman" w:cs="Times New Roman"/>
          <w:sz w:val="24"/>
          <w:szCs w:val="24"/>
        </w:rPr>
        <w:lastRenderedPageBreak/>
        <w:t xml:space="preserve">8. </w:t>
      </w:r>
      <w:bookmarkEnd w:id="16"/>
      <w:bookmarkEnd w:id="17"/>
      <w:r w:rsidRPr="00FC7AD8">
        <w:rPr>
          <w:rFonts w:ascii="Times New Roman" w:hAnsi="Times New Roman" w:cs="Times New Roman"/>
          <w:sz w:val="24"/>
          <w:szCs w:val="24"/>
        </w:rPr>
        <w:t>Federal Register Notice and Outside Consultations</w:t>
      </w:r>
    </w:p>
    <w:p w:rsidR="003314C8" w:rsidRPr="00FC7AD8" w:rsidRDefault="003314C8" w:rsidP="003314C8">
      <w:pPr>
        <w:rPr>
          <w:b/>
          <w:bCs/>
          <w:i/>
          <w:iCs/>
        </w:rPr>
      </w:pPr>
      <w:proofErr w:type="gramStart"/>
      <w:r w:rsidRPr="00FC7AD8">
        <w:rPr>
          <w:b/>
          <w:i/>
        </w:rPr>
        <w:t>8.a</w:t>
      </w:r>
      <w:proofErr w:type="gramEnd"/>
      <w:r w:rsidRPr="00FC7AD8">
        <w:rPr>
          <w:b/>
          <w:i/>
        </w:rPr>
        <w:t>.</w:t>
      </w:r>
      <w:r w:rsidRPr="00FC7AD8">
        <w:t xml:space="preserve"> </w:t>
      </w:r>
      <w:r w:rsidRPr="00FC7AD8">
        <w:rPr>
          <w:b/>
          <w:bCs/>
          <w:i/>
          <w:iCs/>
        </w:rPr>
        <w:t>Federal Register Notice to be added after FR notice</w:t>
      </w:r>
    </w:p>
    <w:p w:rsidR="003314C8" w:rsidRPr="00FC7AD8" w:rsidRDefault="003314C8" w:rsidP="003314C8"/>
    <w:p w:rsidR="003314C8" w:rsidRDefault="003314C8" w:rsidP="003314C8">
      <w:r>
        <w:t xml:space="preserve">CMS has committed itself to publicly reporting hospital outpatient measures on </w:t>
      </w:r>
      <w:r w:rsidRPr="00A511C9">
        <w:rPr>
          <w:i/>
        </w:rPr>
        <w:t>Hospital Compare</w:t>
      </w:r>
      <w:r>
        <w:t xml:space="preserve"> when it updates the website in June 2010</w:t>
      </w:r>
      <w:r w:rsidR="00B4513E">
        <w:t xml:space="preserve"> depending, in part, on the results of this consumer testing</w:t>
      </w:r>
      <w:r>
        <w:t>.  Workflows for measure developers and website programmers require that consumer testing recommendations be available in January 2010 to meet this deadline. Therefore, CMS requests that OMB waive the</w:t>
      </w:r>
      <w:r w:rsidRPr="006142F9">
        <w:t xml:space="preserve"> </w:t>
      </w:r>
      <w:r>
        <w:t>CFR 1320.8(d) requirement that a Federal Register notice be</w:t>
      </w:r>
      <w:r w:rsidRPr="006142F9">
        <w:t xml:space="preserve"> published in the Federal Register for 60 days </w:t>
      </w:r>
      <w:r>
        <w:t xml:space="preserve">prior to OMB consideration. As required in </w:t>
      </w:r>
      <w:r w:rsidR="00B572A3">
        <w:t xml:space="preserve">5 </w:t>
      </w:r>
      <w:r>
        <w:t xml:space="preserve">CFR 1320.13, this request is being made for emergency processing because the collection of information is essential to the mission of the Agency and is needed prior to the expiration of time periods established under </w:t>
      </w:r>
      <w:r w:rsidR="00B572A3">
        <w:t xml:space="preserve">5 </w:t>
      </w:r>
      <w:r>
        <w:t>CFR 1320.8.</w:t>
      </w:r>
    </w:p>
    <w:p w:rsidR="00B572A3" w:rsidRDefault="00B572A3" w:rsidP="003314C8"/>
    <w:p w:rsidR="00B572A3" w:rsidRDefault="00B572A3" w:rsidP="003314C8">
      <w:r>
        <w:t xml:space="preserve">The emergency </w:t>
      </w:r>
      <w:r w:rsidRPr="00B572A3">
        <w:rPr>
          <w:u w:val="single"/>
        </w:rPr>
        <w:t>Federal Register</w:t>
      </w:r>
      <w:r>
        <w:t xml:space="preserve"> notice is scheduled for publication on or about </w:t>
      </w:r>
    </w:p>
    <w:p w:rsidR="00B572A3" w:rsidRPr="005B7050" w:rsidRDefault="0078429B" w:rsidP="003314C8">
      <w:r>
        <w:t>January 5, 2010.</w:t>
      </w:r>
      <w:r w:rsidR="00B572A3">
        <w:t xml:space="preserve"> </w:t>
      </w:r>
    </w:p>
    <w:p w:rsidR="003314C8" w:rsidRDefault="003314C8" w:rsidP="003314C8">
      <w:pPr>
        <w:pStyle w:val="Heading2"/>
        <w:rPr>
          <w:rFonts w:ascii="Times New Roman" w:hAnsi="Times New Roman" w:cs="Times New Roman"/>
          <w:sz w:val="24"/>
          <w:szCs w:val="24"/>
        </w:rPr>
      </w:pPr>
      <w:proofErr w:type="gramStart"/>
      <w:r w:rsidRPr="00FC7AD8">
        <w:rPr>
          <w:rFonts w:ascii="Times New Roman" w:hAnsi="Times New Roman" w:cs="Times New Roman"/>
          <w:sz w:val="24"/>
          <w:szCs w:val="24"/>
        </w:rPr>
        <w:t>8.b</w:t>
      </w:r>
      <w:proofErr w:type="gramEnd"/>
      <w:r w:rsidRPr="00FC7AD8">
        <w:rPr>
          <w:rFonts w:ascii="Times New Roman" w:hAnsi="Times New Roman" w:cs="Times New Roman"/>
          <w:sz w:val="24"/>
          <w:szCs w:val="24"/>
        </w:rPr>
        <w:t>.  Outside Consultations</w:t>
      </w:r>
    </w:p>
    <w:p w:rsidR="003314C8" w:rsidRPr="0060531A" w:rsidRDefault="003314C8" w:rsidP="003314C8">
      <w:r>
        <w:t>A stakeholder workgroup will be convened by CMS’s contractor to obtain feedback on the research approach from a diverse set of stakeholders. This workgroup consists of representatives of consumer advocacy organizations, hospital associations, physicians, foundations that support public reporting of healthcare quality and quality improvement, business associations, insurers and other purchasers.</w:t>
      </w:r>
    </w:p>
    <w:p w:rsidR="003314C8" w:rsidRDefault="003314C8" w:rsidP="003314C8">
      <w:pPr>
        <w:pStyle w:val="Heading2"/>
        <w:rPr>
          <w:rFonts w:ascii="Times New Roman" w:hAnsi="Times New Roman" w:cs="Times New Roman"/>
          <w:sz w:val="24"/>
          <w:szCs w:val="24"/>
        </w:rPr>
      </w:pPr>
      <w:bookmarkStart w:id="18" w:name="_Toc457285506"/>
      <w:bookmarkStart w:id="19" w:name="_Toc58725294"/>
      <w:bookmarkStart w:id="20" w:name="_Toc151782184"/>
      <w:bookmarkStart w:id="21" w:name="_Toc158526224"/>
      <w:r w:rsidRPr="00FC7AD8">
        <w:rPr>
          <w:rFonts w:ascii="Times New Roman" w:hAnsi="Times New Roman" w:cs="Times New Roman"/>
          <w:sz w:val="24"/>
          <w:szCs w:val="24"/>
        </w:rPr>
        <w:t>9. Payments/Gifts to Respondents</w:t>
      </w:r>
      <w:bookmarkEnd w:id="18"/>
      <w:bookmarkEnd w:id="19"/>
      <w:bookmarkEnd w:id="20"/>
      <w:bookmarkEnd w:id="21"/>
    </w:p>
    <w:p w:rsidR="003314C8" w:rsidRPr="00543102" w:rsidRDefault="003314C8" w:rsidP="003314C8">
      <w:r>
        <w:t xml:space="preserve">Cognitive interview subjects will receive a stipend, with the amount varying depending on the difficulty of recruiting subjects of different characteristics. For example, radiologists and other medical specialists may be particularly challenging to recruit. Consumers, e.g. beneficiaries or </w:t>
      </w:r>
      <w:r w:rsidR="00791626">
        <w:t>caregivers</w:t>
      </w:r>
      <w:r>
        <w:t>, will receive approximately $</w:t>
      </w:r>
      <w:r w:rsidR="000F0BBE">
        <w:t xml:space="preserve">65 </w:t>
      </w:r>
      <w:r>
        <w:t xml:space="preserve">and professionals will receive </w:t>
      </w:r>
      <w:r w:rsidR="000F0BBE">
        <w:t>$100.</w:t>
      </w:r>
    </w:p>
    <w:p w:rsidR="003314C8" w:rsidRPr="00FC7AD8" w:rsidRDefault="003314C8" w:rsidP="003314C8">
      <w:pPr>
        <w:pStyle w:val="Heading2"/>
        <w:rPr>
          <w:rFonts w:ascii="Times New Roman" w:hAnsi="Times New Roman" w:cs="Times New Roman"/>
          <w:sz w:val="24"/>
          <w:szCs w:val="24"/>
        </w:rPr>
      </w:pPr>
      <w:bookmarkStart w:id="22" w:name="_Toc151782185"/>
      <w:bookmarkStart w:id="23" w:name="_Toc158526225"/>
      <w:r w:rsidRPr="00FC7AD8">
        <w:rPr>
          <w:rFonts w:ascii="Times New Roman" w:hAnsi="Times New Roman" w:cs="Times New Roman"/>
          <w:sz w:val="24"/>
          <w:szCs w:val="24"/>
        </w:rPr>
        <w:t>10. Assurance of Confidentiality</w:t>
      </w:r>
      <w:bookmarkEnd w:id="22"/>
      <w:bookmarkEnd w:id="23"/>
    </w:p>
    <w:p w:rsidR="003314C8" w:rsidRPr="00FC7AD8" w:rsidRDefault="003314C8" w:rsidP="003314C8">
      <w:pPr>
        <w:autoSpaceDE w:val="0"/>
        <w:autoSpaceDN w:val="0"/>
        <w:adjustRightInd w:val="0"/>
      </w:pPr>
      <w:r w:rsidRPr="00FC7AD8">
        <w:t xml:space="preserve">Individuals and organizations will be assured of the confidentiality of their replies under Section 934(c) of the Public Health Service Act, </w:t>
      </w:r>
      <w:proofErr w:type="gramStart"/>
      <w:r w:rsidRPr="00FC7AD8">
        <w:t>42 USC 299c-3(c)</w:t>
      </w:r>
      <w:proofErr w:type="gramEnd"/>
      <w:r w:rsidRPr="00FC7AD8">
        <w:t xml:space="preserve">.  They will be told the purposes for which the information is collected and that, in accordance with this statute, any identifiable information about them will not be used or disclosed for any other purpose. </w:t>
      </w:r>
    </w:p>
    <w:p w:rsidR="003314C8" w:rsidRPr="00FC7AD8" w:rsidRDefault="003314C8" w:rsidP="003314C8">
      <w:pPr>
        <w:autoSpaceDE w:val="0"/>
        <w:autoSpaceDN w:val="0"/>
        <w:adjustRightInd w:val="0"/>
      </w:pPr>
    </w:p>
    <w:p w:rsidR="003314C8" w:rsidRPr="00FC7AD8" w:rsidRDefault="003314C8" w:rsidP="003314C8">
      <w:pPr>
        <w:autoSpaceDE w:val="0"/>
        <w:autoSpaceDN w:val="0"/>
        <w:adjustRightInd w:val="0"/>
      </w:pPr>
      <w:r w:rsidRPr="00FC7AD8">
        <w:t>Individuals and organizations contacted will be further assured of the confidentiality of their replies under 42 U.S.C. 1306, and 20 CFR 401 and 4225 U.S.C.552a (Privacy Act of 1974).  In instances where respondent identity is needed, the information collection will fully comply with all respects of the Privacy Act.</w:t>
      </w:r>
    </w:p>
    <w:p w:rsidR="003314C8" w:rsidRPr="00FC7AD8" w:rsidRDefault="003314C8" w:rsidP="003314C8">
      <w:pPr>
        <w:autoSpaceDE w:val="0"/>
        <w:autoSpaceDN w:val="0"/>
        <w:adjustRightInd w:val="0"/>
      </w:pPr>
    </w:p>
    <w:p w:rsidR="003314C8" w:rsidRPr="00FC7AD8" w:rsidRDefault="003314C8" w:rsidP="003314C8">
      <w:r w:rsidRPr="00FC7AD8">
        <w:t>Information that can directly identify the respondent, such as name and</w:t>
      </w:r>
      <w:r>
        <w:t xml:space="preserve"> age, will be collected by the research facility. However, only the age and first name of each participant shall be passed on to the CMS research contractor. </w:t>
      </w:r>
      <w:r w:rsidRPr="00FC7AD8">
        <w:t xml:space="preserve"> Participant confidentiality will be protected by de-identifying audio data upon transcription. All data will be stored on encrypted and password protected files. Data will only be presented in aggregate and de-identified format. Only the principal investigator and research staff necessary to conduct research will have </w:t>
      </w:r>
      <w:r w:rsidRPr="00FC7AD8">
        <w:lastRenderedPageBreak/>
        <w:t xml:space="preserve">access to the data. All research data is maintained in locked cabinets within a locked data storage area. All electronic files are password and encryption protected. All activities stated in this project will be performed in concordance with the Health Insurance Portability and Accountability Act (HIPPA) Privacy Rule, 45 CFR Parts 160 and 164.  </w:t>
      </w:r>
      <w:r>
        <w:t xml:space="preserve">Informed consent will be obtained from all </w:t>
      </w:r>
      <w:r w:rsidRPr="00FC7AD8">
        <w:t xml:space="preserve">who participate in the </w:t>
      </w:r>
      <w:r>
        <w:t>semi-structured</w:t>
      </w:r>
      <w:r w:rsidRPr="00FC7AD8">
        <w:t xml:space="preserve"> interviews. </w:t>
      </w:r>
    </w:p>
    <w:p w:rsidR="003314C8" w:rsidRPr="00FC7AD8" w:rsidRDefault="003314C8" w:rsidP="003314C8">
      <w:pPr>
        <w:keepLines/>
        <w:spacing w:line="360" w:lineRule="auto"/>
        <w:rPr>
          <w:b/>
          <w:bCs/>
        </w:rPr>
      </w:pPr>
    </w:p>
    <w:p w:rsidR="003314C8" w:rsidRPr="00386E1D" w:rsidRDefault="003314C8" w:rsidP="003314C8">
      <w:pPr>
        <w:pStyle w:val="Heading2"/>
        <w:rPr>
          <w:rFonts w:ascii="Times New Roman" w:hAnsi="Times New Roman" w:cs="Times New Roman"/>
          <w:sz w:val="24"/>
        </w:rPr>
      </w:pPr>
      <w:bookmarkStart w:id="24" w:name="_Toc151782186"/>
      <w:bookmarkStart w:id="25" w:name="_Toc158526226"/>
      <w:r w:rsidRPr="00386E1D">
        <w:rPr>
          <w:rFonts w:ascii="Times New Roman" w:hAnsi="Times New Roman" w:cs="Times New Roman"/>
          <w:sz w:val="24"/>
        </w:rPr>
        <w:t>11. Questions of a Sensitive Nature</w:t>
      </w:r>
      <w:bookmarkEnd w:id="24"/>
      <w:bookmarkEnd w:id="25"/>
    </w:p>
    <w:p w:rsidR="003314C8" w:rsidRPr="00FC7AD8" w:rsidRDefault="003314C8" w:rsidP="003314C8">
      <w:r>
        <w:t xml:space="preserve">Interviews will be conducted in private with an individual interviewer and will focus on soliciting feedback on mock-up displays, rather than on any personal or sensitive information.  However, interviewees appearing distressed or confused by the interview shall be provided any additional information or a referral to medical or counseling help as needed.  Interviewees who wish to investigate CMS consumer information further will be given links and/or phone numbers as necessary. </w:t>
      </w:r>
    </w:p>
    <w:p w:rsidR="003314C8" w:rsidRPr="00386E1D" w:rsidRDefault="003314C8" w:rsidP="003314C8">
      <w:pPr>
        <w:pStyle w:val="Heading2"/>
        <w:rPr>
          <w:rFonts w:ascii="Times New Roman" w:hAnsi="Times New Roman" w:cs="Times New Roman"/>
          <w:sz w:val="24"/>
        </w:rPr>
      </w:pPr>
      <w:bookmarkStart w:id="26" w:name="_Toc151782187"/>
      <w:bookmarkStart w:id="27" w:name="_Toc158526227"/>
      <w:r w:rsidRPr="00386E1D">
        <w:rPr>
          <w:rFonts w:ascii="Times New Roman" w:hAnsi="Times New Roman" w:cs="Times New Roman"/>
          <w:sz w:val="24"/>
        </w:rPr>
        <w:t>12. Estimates of Annualized Burden Hours and Costs</w:t>
      </w:r>
      <w:bookmarkEnd w:id="26"/>
      <w:bookmarkEnd w:id="27"/>
    </w:p>
    <w:p w:rsidR="003314C8" w:rsidRPr="00386E1D" w:rsidRDefault="003314C8" w:rsidP="003314C8">
      <w:pPr>
        <w:rPr>
          <w:bCs/>
        </w:rPr>
      </w:pPr>
      <w:r w:rsidRPr="00386E1D">
        <w:rPr>
          <w:bCs/>
        </w:rPr>
        <w:t>Exhibit 1 shows the estimated annualized burden hours for the respondent</w:t>
      </w:r>
      <w:r>
        <w:rPr>
          <w:bCs/>
        </w:rPr>
        <w:t>'</w:t>
      </w:r>
      <w:r w:rsidRPr="00386E1D">
        <w:rPr>
          <w:bCs/>
        </w:rPr>
        <w:t>s</w:t>
      </w:r>
      <w:r>
        <w:rPr>
          <w:bCs/>
        </w:rPr>
        <w:t xml:space="preserve"> time</w:t>
      </w:r>
      <w:r w:rsidRPr="00386E1D">
        <w:rPr>
          <w:bCs/>
        </w:rPr>
        <w:t xml:space="preserve"> to participate in this project. The screening </w:t>
      </w:r>
      <w:r>
        <w:rPr>
          <w:bCs/>
        </w:rPr>
        <w:t>phone call</w:t>
      </w:r>
      <w:r w:rsidRPr="00386E1D">
        <w:rPr>
          <w:bCs/>
        </w:rPr>
        <w:t xml:space="preserve"> will be </w:t>
      </w:r>
      <w:r>
        <w:rPr>
          <w:bCs/>
        </w:rPr>
        <w:t>experienc</w:t>
      </w:r>
      <w:r w:rsidRPr="00386E1D">
        <w:rPr>
          <w:bCs/>
        </w:rPr>
        <w:t>ed by all participants</w:t>
      </w:r>
      <w:r>
        <w:rPr>
          <w:bCs/>
        </w:rPr>
        <w:t xml:space="preserve"> and is expected to take approximately 5 minutes to complete. It is estimated that </w:t>
      </w:r>
      <w:r w:rsidR="000F0BBE">
        <w:rPr>
          <w:bCs/>
        </w:rPr>
        <w:t xml:space="preserve">one-fourth </w:t>
      </w:r>
      <w:r>
        <w:rPr>
          <w:bCs/>
        </w:rPr>
        <w:t>of those called by the research facility will be selected for the research study. Cognitive interviews w</w:t>
      </w:r>
      <w:r w:rsidRPr="00386E1D">
        <w:rPr>
          <w:bCs/>
        </w:rPr>
        <w:t xml:space="preserve">ill </w:t>
      </w:r>
      <w:r>
        <w:rPr>
          <w:bCs/>
        </w:rPr>
        <w:t xml:space="preserve">last about 1.5 hours for consumers and 1 hour for physicians.  </w:t>
      </w:r>
      <w:r w:rsidRPr="00386E1D">
        <w:rPr>
          <w:bCs/>
        </w:rPr>
        <w:t xml:space="preserve">The total burden for all participants is estimated to be </w:t>
      </w:r>
      <w:r w:rsidR="00DA76F3">
        <w:rPr>
          <w:bCs/>
        </w:rPr>
        <w:t>41</w:t>
      </w:r>
      <w:r w:rsidRPr="00386E1D">
        <w:rPr>
          <w:bCs/>
        </w:rPr>
        <w:t xml:space="preserve"> hours.</w:t>
      </w:r>
    </w:p>
    <w:p w:rsidR="003314C8" w:rsidRPr="00386E1D" w:rsidRDefault="003314C8" w:rsidP="003314C8">
      <w:pPr>
        <w:keepLines/>
        <w:rPr>
          <w:bCs/>
        </w:rPr>
      </w:pPr>
    </w:p>
    <w:p w:rsidR="003314C8" w:rsidRPr="00386E1D" w:rsidRDefault="003314C8" w:rsidP="003314C8">
      <w:pPr>
        <w:keepLines/>
        <w:rPr>
          <w:bCs/>
        </w:rPr>
      </w:pPr>
      <w:r w:rsidRPr="00386E1D">
        <w:rPr>
          <w:bCs/>
        </w:rPr>
        <w:t>Exhibit 2 shows the estimated annualized cost burden for the respondent’s time to participate in the project. The total cost is estimated to be $</w:t>
      </w:r>
      <w:r w:rsidR="00DA76F3">
        <w:rPr>
          <w:bCs/>
        </w:rPr>
        <w:t>666</w:t>
      </w:r>
      <w:r w:rsidRPr="00386E1D">
        <w:rPr>
          <w:bCs/>
        </w:rPr>
        <w:t>.</w:t>
      </w:r>
    </w:p>
    <w:p w:rsidR="003314C8" w:rsidRPr="00386E1D" w:rsidRDefault="003314C8" w:rsidP="003314C8">
      <w:pPr>
        <w:rPr>
          <w:b/>
          <w:bCs/>
        </w:rPr>
      </w:pPr>
    </w:p>
    <w:p w:rsidR="003314C8" w:rsidRPr="00386E1D" w:rsidRDefault="003314C8" w:rsidP="003314C8">
      <w:pPr>
        <w:spacing w:line="360" w:lineRule="auto"/>
        <w:rPr>
          <w:b/>
          <w:bCs/>
        </w:rPr>
      </w:pPr>
      <w:proofErr w:type="gramStart"/>
      <w:r w:rsidRPr="00386E1D">
        <w:rPr>
          <w:b/>
          <w:bCs/>
        </w:rPr>
        <w:t>Exhibit 1.</w:t>
      </w:r>
      <w:proofErr w:type="gramEnd"/>
      <w:r w:rsidRPr="00386E1D">
        <w:rPr>
          <w:b/>
          <w:bCs/>
        </w:rPr>
        <w:t>  Estimated annualized burden hours</w:t>
      </w:r>
    </w:p>
    <w:tbl>
      <w:tblPr>
        <w:tblW w:w="0" w:type="auto"/>
        <w:tblCellMar>
          <w:left w:w="0" w:type="dxa"/>
          <w:right w:w="0" w:type="dxa"/>
        </w:tblCellMar>
        <w:tblLook w:val="0000"/>
      </w:tblPr>
      <w:tblGrid>
        <w:gridCol w:w="3708"/>
        <w:gridCol w:w="1440"/>
        <w:gridCol w:w="1440"/>
        <w:gridCol w:w="1170"/>
        <w:gridCol w:w="1170"/>
      </w:tblGrid>
      <w:tr w:rsidR="003314C8" w:rsidRPr="00386E1D">
        <w:tc>
          <w:tcPr>
            <w:tcW w:w="370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3314C8" w:rsidRPr="00386E1D" w:rsidRDefault="003314C8" w:rsidP="003314C8">
            <w:pPr>
              <w:rPr>
                <w:b/>
                <w:bCs/>
                <w:sz w:val="20"/>
                <w:szCs w:val="20"/>
              </w:rPr>
            </w:pPr>
            <w:r w:rsidRPr="00386E1D">
              <w:rPr>
                <w:b/>
                <w:bCs/>
                <w:sz w:val="20"/>
                <w:szCs w:val="20"/>
              </w:rPr>
              <w:t>Data Collection Mode</w:t>
            </w:r>
          </w:p>
        </w:tc>
        <w:tc>
          <w:tcPr>
            <w:tcW w:w="14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3314C8" w:rsidRPr="00386E1D" w:rsidRDefault="003314C8" w:rsidP="003314C8">
            <w:pPr>
              <w:jc w:val="center"/>
              <w:rPr>
                <w:b/>
                <w:bCs/>
                <w:sz w:val="20"/>
                <w:szCs w:val="20"/>
              </w:rPr>
            </w:pPr>
            <w:r w:rsidRPr="00386E1D">
              <w:rPr>
                <w:b/>
                <w:bCs/>
                <w:sz w:val="20"/>
                <w:szCs w:val="20"/>
              </w:rPr>
              <w:t>Number of respondents</w:t>
            </w:r>
          </w:p>
        </w:tc>
        <w:tc>
          <w:tcPr>
            <w:tcW w:w="14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3314C8" w:rsidRPr="00386E1D" w:rsidRDefault="003314C8" w:rsidP="003314C8">
            <w:pPr>
              <w:jc w:val="center"/>
              <w:rPr>
                <w:b/>
                <w:bCs/>
                <w:sz w:val="20"/>
                <w:szCs w:val="20"/>
              </w:rPr>
            </w:pPr>
            <w:r w:rsidRPr="00386E1D">
              <w:rPr>
                <w:b/>
                <w:bCs/>
                <w:sz w:val="20"/>
                <w:szCs w:val="20"/>
              </w:rPr>
              <w:t>Number of responses per respondent</w:t>
            </w:r>
          </w:p>
        </w:tc>
        <w:tc>
          <w:tcPr>
            <w:tcW w:w="1170" w:type="dxa"/>
            <w:tcBorders>
              <w:top w:val="single" w:sz="8" w:space="0" w:color="auto"/>
              <w:left w:val="nil"/>
              <w:bottom w:val="single" w:sz="8" w:space="0" w:color="auto"/>
              <w:right w:val="single" w:sz="8" w:space="0" w:color="auto"/>
            </w:tcBorders>
            <w:vAlign w:val="center"/>
          </w:tcPr>
          <w:p w:rsidR="003314C8" w:rsidRPr="00386E1D" w:rsidRDefault="003314C8" w:rsidP="003314C8">
            <w:pPr>
              <w:jc w:val="center"/>
              <w:rPr>
                <w:b/>
                <w:bCs/>
                <w:sz w:val="20"/>
                <w:szCs w:val="20"/>
              </w:rPr>
            </w:pPr>
            <w:r w:rsidRPr="00386E1D">
              <w:rPr>
                <w:b/>
                <w:bCs/>
                <w:sz w:val="20"/>
                <w:szCs w:val="20"/>
              </w:rPr>
              <w:t>Hours per response</w:t>
            </w:r>
          </w:p>
        </w:tc>
        <w:tc>
          <w:tcPr>
            <w:tcW w:w="117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3314C8" w:rsidRPr="00386E1D" w:rsidRDefault="003314C8" w:rsidP="003314C8">
            <w:pPr>
              <w:jc w:val="center"/>
              <w:rPr>
                <w:b/>
                <w:bCs/>
                <w:sz w:val="20"/>
                <w:szCs w:val="20"/>
              </w:rPr>
            </w:pPr>
            <w:r w:rsidRPr="00386E1D">
              <w:rPr>
                <w:b/>
                <w:bCs/>
                <w:sz w:val="20"/>
                <w:szCs w:val="20"/>
              </w:rPr>
              <w:t>Total burden hours</w:t>
            </w:r>
          </w:p>
        </w:tc>
      </w:tr>
      <w:tr w:rsidR="003314C8" w:rsidRPr="00386E1D">
        <w:tc>
          <w:tcPr>
            <w:tcW w:w="37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3314C8" w:rsidRPr="00386E1D" w:rsidRDefault="003314C8" w:rsidP="003314C8">
            <w:pPr>
              <w:rPr>
                <w:bCs/>
                <w:sz w:val="20"/>
                <w:szCs w:val="20"/>
              </w:rPr>
            </w:pPr>
            <w:r>
              <w:rPr>
                <w:b/>
                <w:bCs/>
                <w:sz w:val="20"/>
                <w:szCs w:val="20"/>
              </w:rPr>
              <w:t>Initial s</w:t>
            </w:r>
            <w:r w:rsidRPr="00386E1D">
              <w:rPr>
                <w:b/>
                <w:bCs/>
                <w:sz w:val="20"/>
                <w:szCs w:val="20"/>
              </w:rPr>
              <w:t>creenin</w:t>
            </w:r>
            <w:r>
              <w:rPr>
                <w:b/>
                <w:bCs/>
                <w:sz w:val="20"/>
                <w:szCs w:val="20"/>
              </w:rPr>
              <w:t>g</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3314C8" w:rsidRPr="00386E1D" w:rsidRDefault="003314C8" w:rsidP="003314C8">
            <w:pPr>
              <w:jc w:val="center"/>
              <w:rPr>
                <w:b/>
                <w:bCs/>
                <w:sz w:val="20"/>
                <w:szCs w:val="20"/>
              </w:rPr>
            </w:pPr>
            <w:r>
              <w:rPr>
                <w:b/>
                <w:bCs/>
                <w:sz w:val="20"/>
                <w:szCs w:val="20"/>
              </w:rPr>
              <w:t>80</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3314C8" w:rsidRPr="00386E1D" w:rsidRDefault="003314C8" w:rsidP="003314C8">
            <w:pPr>
              <w:jc w:val="center"/>
              <w:rPr>
                <w:b/>
                <w:bCs/>
                <w:sz w:val="20"/>
                <w:szCs w:val="20"/>
              </w:rPr>
            </w:pPr>
            <w:r w:rsidRPr="00386E1D">
              <w:rPr>
                <w:b/>
                <w:bCs/>
                <w:sz w:val="20"/>
                <w:szCs w:val="20"/>
              </w:rPr>
              <w:t>1</w:t>
            </w:r>
          </w:p>
        </w:tc>
        <w:tc>
          <w:tcPr>
            <w:tcW w:w="1170" w:type="dxa"/>
            <w:tcBorders>
              <w:top w:val="nil"/>
              <w:left w:val="nil"/>
              <w:bottom w:val="single" w:sz="8" w:space="0" w:color="auto"/>
              <w:right w:val="single" w:sz="8" w:space="0" w:color="auto"/>
            </w:tcBorders>
            <w:vAlign w:val="center"/>
          </w:tcPr>
          <w:p w:rsidR="003314C8" w:rsidRPr="00386E1D" w:rsidRDefault="003314C8" w:rsidP="003314C8">
            <w:pPr>
              <w:jc w:val="center"/>
              <w:rPr>
                <w:b/>
                <w:bCs/>
                <w:sz w:val="20"/>
                <w:szCs w:val="20"/>
              </w:rPr>
            </w:pPr>
            <w:r>
              <w:rPr>
                <w:b/>
                <w:bCs/>
                <w:sz w:val="20"/>
                <w:szCs w:val="20"/>
              </w:rPr>
              <w:t>0.083</w:t>
            </w:r>
          </w:p>
        </w:tc>
        <w:tc>
          <w:tcPr>
            <w:tcW w:w="117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3314C8" w:rsidRPr="00386E1D" w:rsidRDefault="003314C8" w:rsidP="003314C8">
            <w:pPr>
              <w:jc w:val="center"/>
              <w:rPr>
                <w:b/>
                <w:bCs/>
                <w:sz w:val="20"/>
                <w:szCs w:val="20"/>
              </w:rPr>
            </w:pPr>
            <w:r>
              <w:rPr>
                <w:b/>
                <w:bCs/>
                <w:sz w:val="20"/>
                <w:szCs w:val="20"/>
              </w:rPr>
              <w:t>6.64</w:t>
            </w:r>
          </w:p>
        </w:tc>
      </w:tr>
      <w:tr w:rsidR="003314C8" w:rsidRPr="00386E1D">
        <w:tc>
          <w:tcPr>
            <w:tcW w:w="37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3314C8" w:rsidRPr="00386E1D" w:rsidRDefault="003314C8" w:rsidP="003314C8">
            <w:pPr>
              <w:rPr>
                <w:bCs/>
                <w:sz w:val="20"/>
                <w:szCs w:val="20"/>
              </w:rPr>
            </w:pPr>
            <w:r>
              <w:rPr>
                <w:b/>
                <w:bCs/>
                <w:sz w:val="20"/>
                <w:szCs w:val="20"/>
              </w:rPr>
              <w:t>Semi-structured interviews with patients and caregivers</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3314C8" w:rsidRPr="00386E1D" w:rsidRDefault="003314C8" w:rsidP="003314C8">
            <w:pPr>
              <w:jc w:val="center"/>
              <w:rPr>
                <w:b/>
                <w:bCs/>
                <w:sz w:val="20"/>
                <w:szCs w:val="20"/>
              </w:rPr>
            </w:pPr>
            <w:r>
              <w:rPr>
                <w:b/>
                <w:bCs/>
                <w:sz w:val="20"/>
                <w:szCs w:val="20"/>
              </w:rPr>
              <w:t>20</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3314C8" w:rsidRPr="00386E1D" w:rsidRDefault="003314C8" w:rsidP="003314C8">
            <w:pPr>
              <w:jc w:val="center"/>
              <w:rPr>
                <w:b/>
                <w:bCs/>
                <w:sz w:val="20"/>
                <w:szCs w:val="20"/>
              </w:rPr>
            </w:pPr>
            <w:r w:rsidRPr="00386E1D">
              <w:rPr>
                <w:b/>
                <w:bCs/>
                <w:sz w:val="20"/>
                <w:szCs w:val="20"/>
              </w:rPr>
              <w:t>1</w:t>
            </w:r>
          </w:p>
        </w:tc>
        <w:tc>
          <w:tcPr>
            <w:tcW w:w="1170" w:type="dxa"/>
            <w:tcBorders>
              <w:top w:val="nil"/>
              <w:left w:val="nil"/>
              <w:bottom w:val="single" w:sz="8" w:space="0" w:color="auto"/>
              <w:right w:val="single" w:sz="8" w:space="0" w:color="auto"/>
            </w:tcBorders>
            <w:vAlign w:val="center"/>
          </w:tcPr>
          <w:p w:rsidR="003314C8" w:rsidRPr="00386E1D" w:rsidRDefault="003314C8" w:rsidP="003314C8">
            <w:pPr>
              <w:jc w:val="center"/>
              <w:rPr>
                <w:b/>
                <w:bCs/>
                <w:sz w:val="20"/>
                <w:szCs w:val="20"/>
              </w:rPr>
            </w:pPr>
            <w:r>
              <w:rPr>
                <w:b/>
                <w:bCs/>
                <w:sz w:val="20"/>
                <w:szCs w:val="20"/>
              </w:rPr>
              <w:t>1.5</w:t>
            </w:r>
          </w:p>
        </w:tc>
        <w:tc>
          <w:tcPr>
            <w:tcW w:w="117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3314C8" w:rsidRPr="00386E1D" w:rsidRDefault="003314C8" w:rsidP="003314C8">
            <w:pPr>
              <w:jc w:val="center"/>
              <w:rPr>
                <w:b/>
                <w:bCs/>
                <w:sz w:val="20"/>
                <w:szCs w:val="20"/>
              </w:rPr>
            </w:pPr>
            <w:r>
              <w:rPr>
                <w:b/>
                <w:bCs/>
                <w:sz w:val="20"/>
                <w:szCs w:val="20"/>
              </w:rPr>
              <w:t>30</w:t>
            </w:r>
          </w:p>
        </w:tc>
      </w:tr>
      <w:tr w:rsidR="003314C8" w:rsidRPr="00386E1D">
        <w:tc>
          <w:tcPr>
            <w:tcW w:w="37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3314C8" w:rsidRPr="00386E1D" w:rsidRDefault="003314C8" w:rsidP="003314C8">
            <w:pPr>
              <w:rPr>
                <w:bCs/>
                <w:sz w:val="20"/>
                <w:szCs w:val="20"/>
              </w:rPr>
            </w:pPr>
            <w:r>
              <w:rPr>
                <w:b/>
                <w:bCs/>
                <w:sz w:val="20"/>
                <w:szCs w:val="20"/>
              </w:rPr>
              <w:t>Semi-structured interviews with p</w:t>
            </w:r>
            <w:r w:rsidRPr="00386E1D">
              <w:rPr>
                <w:b/>
                <w:bCs/>
                <w:sz w:val="20"/>
                <w:szCs w:val="20"/>
              </w:rPr>
              <w:t>rimary care physician</w:t>
            </w:r>
            <w:r>
              <w:rPr>
                <w:b/>
                <w:bCs/>
                <w:sz w:val="20"/>
                <w:szCs w:val="20"/>
              </w:rPr>
              <w:t>s, specialists and technicians</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3314C8" w:rsidRPr="00386E1D" w:rsidRDefault="003314C8" w:rsidP="003314C8">
            <w:pPr>
              <w:jc w:val="center"/>
              <w:rPr>
                <w:b/>
                <w:bCs/>
                <w:sz w:val="20"/>
                <w:szCs w:val="20"/>
              </w:rPr>
            </w:pPr>
            <w:r>
              <w:rPr>
                <w:b/>
                <w:bCs/>
                <w:sz w:val="20"/>
                <w:szCs w:val="20"/>
              </w:rPr>
              <w:t>4</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3314C8" w:rsidRPr="00386E1D" w:rsidRDefault="003314C8" w:rsidP="003314C8">
            <w:pPr>
              <w:jc w:val="center"/>
              <w:rPr>
                <w:b/>
                <w:bCs/>
                <w:sz w:val="20"/>
                <w:szCs w:val="20"/>
              </w:rPr>
            </w:pPr>
            <w:r w:rsidRPr="00386E1D">
              <w:rPr>
                <w:b/>
                <w:bCs/>
                <w:sz w:val="20"/>
                <w:szCs w:val="20"/>
              </w:rPr>
              <w:t>1</w:t>
            </w:r>
          </w:p>
        </w:tc>
        <w:tc>
          <w:tcPr>
            <w:tcW w:w="1170" w:type="dxa"/>
            <w:tcBorders>
              <w:top w:val="nil"/>
              <w:left w:val="nil"/>
              <w:bottom w:val="single" w:sz="8" w:space="0" w:color="auto"/>
              <w:right w:val="single" w:sz="8" w:space="0" w:color="auto"/>
            </w:tcBorders>
            <w:vAlign w:val="center"/>
          </w:tcPr>
          <w:p w:rsidR="003314C8" w:rsidRPr="00386E1D" w:rsidRDefault="003314C8" w:rsidP="003314C8">
            <w:pPr>
              <w:jc w:val="center"/>
              <w:rPr>
                <w:b/>
                <w:bCs/>
                <w:sz w:val="20"/>
                <w:szCs w:val="20"/>
              </w:rPr>
            </w:pPr>
            <w:r>
              <w:rPr>
                <w:b/>
                <w:bCs/>
                <w:sz w:val="20"/>
                <w:szCs w:val="20"/>
              </w:rPr>
              <w:t>1.0</w:t>
            </w:r>
          </w:p>
        </w:tc>
        <w:tc>
          <w:tcPr>
            <w:tcW w:w="117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3314C8" w:rsidRPr="00386E1D" w:rsidRDefault="003314C8" w:rsidP="003314C8">
            <w:pPr>
              <w:jc w:val="center"/>
              <w:rPr>
                <w:b/>
                <w:bCs/>
                <w:sz w:val="20"/>
                <w:szCs w:val="20"/>
              </w:rPr>
            </w:pPr>
            <w:r>
              <w:rPr>
                <w:b/>
                <w:bCs/>
                <w:sz w:val="20"/>
                <w:szCs w:val="20"/>
              </w:rPr>
              <w:t>4</w:t>
            </w:r>
          </w:p>
        </w:tc>
      </w:tr>
      <w:tr w:rsidR="003314C8" w:rsidRPr="00386E1D">
        <w:tc>
          <w:tcPr>
            <w:tcW w:w="3708" w:type="dxa"/>
            <w:tcBorders>
              <w:top w:val="nil"/>
              <w:left w:val="single" w:sz="8" w:space="0" w:color="auto"/>
              <w:bottom w:val="nil"/>
              <w:right w:val="single" w:sz="8" w:space="0" w:color="auto"/>
            </w:tcBorders>
            <w:shd w:val="clear" w:color="auto" w:fill="auto"/>
            <w:tcMar>
              <w:top w:w="0" w:type="dxa"/>
              <w:left w:w="108" w:type="dxa"/>
              <w:bottom w:w="0" w:type="dxa"/>
              <w:right w:w="108" w:type="dxa"/>
            </w:tcMar>
            <w:vAlign w:val="center"/>
          </w:tcPr>
          <w:p w:rsidR="003314C8" w:rsidRPr="00386E1D" w:rsidRDefault="003314C8" w:rsidP="003314C8">
            <w:pPr>
              <w:rPr>
                <w:bCs/>
                <w:sz w:val="20"/>
                <w:szCs w:val="20"/>
              </w:rPr>
            </w:pPr>
          </w:p>
        </w:tc>
        <w:tc>
          <w:tcPr>
            <w:tcW w:w="1440" w:type="dxa"/>
            <w:tcBorders>
              <w:top w:val="nil"/>
              <w:left w:val="nil"/>
              <w:bottom w:val="nil"/>
              <w:right w:val="single" w:sz="8" w:space="0" w:color="auto"/>
            </w:tcBorders>
            <w:shd w:val="clear" w:color="auto" w:fill="auto"/>
            <w:tcMar>
              <w:top w:w="0" w:type="dxa"/>
              <w:left w:w="108" w:type="dxa"/>
              <w:bottom w:w="0" w:type="dxa"/>
              <w:right w:w="108" w:type="dxa"/>
            </w:tcMar>
            <w:vAlign w:val="center"/>
          </w:tcPr>
          <w:p w:rsidR="003314C8" w:rsidRPr="00386E1D" w:rsidRDefault="003314C8" w:rsidP="003314C8">
            <w:pPr>
              <w:jc w:val="center"/>
              <w:rPr>
                <w:b/>
                <w:bCs/>
                <w:sz w:val="20"/>
                <w:szCs w:val="20"/>
              </w:rPr>
            </w:pPr>
          </w:p>
        </w:tc>
        <w:tc>
          <w:tcPr>
            <w:tcW w:w="1440" w:type="dxa"/>
            <w:tcBorders>
              <w:top w:val="nil"/>
              <w:left w:val="nil"/>
              <w:bottom w:val="nil"/>
              <w:right w:val="single" w:sz="8" w:space="0" w:color="auto"/>
            </w:tcBorders>
            <w:shd w:val="clear" w:color="auto" w:fill="auto"/>
            <w:tcMar>
              <w:top w:w="0" w:type="dxa"/>
              <w:left w:w="108" w:type="dxa"/>
              <w:bottom w:w="0" w:type="dxa"/>
              <w:right w:w="108" w:type="dxa"/>
            </w:tcMar>
            <w:vAlign w:val="center"/>
          </w:tcPr>
          <w:p w:rsidR="003314C8" w:rsidRPr="00386E1D" w:rsidRDefault="003314C8" w:rsidP="003314C8">
            <w:pPr>
              <w:jc w:val="center"/>
              <w:rPr>
                <w:b/>
                <w:bCs/>
                <w:sz w:val="20"/>
                <w:szCs w:val="20"/>
              </w:rPr>
            </w:pPr>
          </w:p>
        </w:tc>
        <w:tc>
          <w:tcPr>
            <w:tcW w:w="1170" w:type="dxa"/>
            <w:tcBorders>
              <w:top w:val="nil"/>
              <w:left w:val="nil"/>
              <w:bottom w:val="nil"/>
              <w:right w:val="single" w:sz="8" w:space="0" w:color="auto"/>
            </w:tcBorders>
            <w:vAlign w:val="center"/>
          </w:tcPr>
          <w:p w:rsidR="003314C8" w:rsidRPr="00386E1D" w:rsidRDefault="003314C8" w:rsidP="003314C8">
            <w:pPr>
              <w:jc w:val="center"/>
              <w:rPr>
                <w:b/>
                <w:bCs/>
                <w:sz w:val="20"/>
                <w:szCs w:val="20"/>
              </w:rPr>
            </w:pPr>
          </w:p>
        </w:tc>
        <w:tc>
          <w:tcPr>
            <w:tcW w:w="117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3314C8" w:rsidRPr="00386E1D" w:rsidRDefault="003314C8" w:rsidP="003314C8">
            <w:pPr>
              <w:jc w:val="center"/>
              <w:rPr>
                <w:b/>
                <w:bCs/>
                <w:sz w:val="20"/>
                <w:szCs w:val="20"/>
              </w:rPr>
            </w:pPr>
          </w:p>
        </w:tc>
      </w:tr>
      <w:tr w:rsidR="003314C8" w:rsidRPr="00386E1D">
        <w:tc>
          <w:tcPr>
            <w:tcW w:w="37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3314C8" w:rsidRPr="00386E1D" w:rsidRDefault="003314C8" w:rsidP="003314C8">
            <w:pPr>
              <w:rPr>
                <w:b/>
                <w:bCs/>
                <w:sz w:val="20"/>
                <w:szCs w:val="20"/>
              </w:rPr>
            </w:pPr>
            <w:r w:rsidRPr="00386E1D">
              <w:rPr>
                <w:b/>
                <w:bCs/>
                <w:sz w:val="20"/>
                <w:szCs w:val="20"/>
              </w:rPr>
              <w:t>Total</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3314C8" w:rsidRPr="00386E1D" w:rsidRDefault="00DA76F3" w:rsidP="003314C8">
            <w:pPr>
              <w:jc w:val="center"/>
              <w:rPr>
                <w:b/>
                <w:bCs/>
                <w:sz w:val="20"/>
                <w:szCs w:val="20"/>
              </w:rPr>
            </w:pPr>
            <w:r>
              <w:rPr>
                <w:b/>
                <w:bCs/>
                <w:sz w:val="20"/>
                <w:szCs w:val="20"/>
              </w:rPr>
              <w:t>104</w:t>
            </w:r>
          </w:p>
        </w:tc>
        <w:tc>
          <w:tcPr>
            <w:tcW w:w="1440" w:type="dxa"/>
            <w:tcBorders>
              <w:top w:val="nil"/>
              <w:left w:val="nil"/>
              <w:bottom w:val="single" w:sz="8" w:space="0" w:color="auto"/>
              <w:right w:val="single" w:sz="8" w:space="0" w:color="auto"/>
            </w:tcBorders>
            <w:shd w:val="clear" w:color="auto" w:fill="B3B3B3"/>
            <w:tcMar>
              <w:top w:w="0" w:type="dxa"/>
              <w:left w:w="108" w:type="dxa"/>
              <w:bottom w:w="0" w:type="dxa"/>
              <w:right w:w="108" w:type="dxa"/>
            </w:tcMar>
            <w:vAlign w:val="center"/>
          </w:tcPr>
          <w:p w:rsidR="003314C8" w:rsidRPr="00386E1D" w:rsidRDefault="003314C8" w:rsidP="003314C8">
            <w:pPr>
              <w:jc w:val="center"/>
              <w:rPr>
                <w:b/>
                <w:bCs/>
                <w:sz w:val="20"/>
                <w:szCs w:val="20"/>
              </w:rPr>
            </w:pPr>
          </w:p>
        </w:tc>
        <w:tc>
          <w:tcPr>
            <w:tcW w:w="1170" w:type="dxa"/>
            <w:tcBorders>
              <w:top w:val="nil"/>
              <w:left w:val="nil"/>
              <w:bottom w:val="single" w:sz="8" w:space="0" w:color="auto"/>
              <w:right w:val="single" w:sz="8" w:space="0" w:color="auto"/>
            </w:tcBorders>
            <w:shd w:val="clear" w:color="auto" w:fill="B3B3B3"/>
            <w:vAlign w:val="center"/>
          </w:tcPr>
          <w:p w:rsidR="003314C8" w:rsidRPr="00386E1D" w:rsidRDefault="003314C8" w:rsidP="003314C8">
            <w:pPr>
              <w:jc w:val="center"/>
              <w:rPr>
                <w:b/>
                <w:bCs/>
                <w:sz w:val="20"/>
                <w:szCs w:val="20"/>
              </w:rPr>
            </w:pPr>
          </w:p>
        </w:tc>
        <w:tc>
          <w:tcPr>
            <w:tcW w:w="117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3314C8" w:rsidRPr="00386E1D" w:rsidRDefault="003314C8" w:rsidP="003314C8">
            <w:pPr>
              <w:jc w:val="center"/>
              <w:rPr>
                <w:b/>
                <w:bCs/>
                <w:sz w:val="20"/>
                <w:szCs w:val="20"/>
              </w:rPr>
            </w:pPr>
            <w:r>
              <w:rPr>
                <w:b/>
                <w:bCs/>
                <w:sz w:val="20"/>
                <w:szCs w:val="20"/>
              </w:rPr>
              <w:t>~41</w:t>
            </w:r>
          </w:p>
        </w:tc>
      </w:tr>
    </w:tbl>
    <w:p w:rsidR="003314C8" w:rsidRPr="00386E1D" w:rsidRDefault="003314C8" w:rsidP="003314C8">
      <w:pPr>
        <w:rPr>
          <w:b/>
          <w:bCs/>
        </w:rPr>
      </w:pPr>
      <w:r w:rsidRPr="00386E1D">
        <w:rPr>
          <w:b/>
          <w:bCs/>
        </w:rPr>
        <w:t> </w:t>
      </w:r>
    </w:p>
    <w:p w:rsidR="003314C8" w:rsidRPr="00386E1D" w:rsidRDefault="003314C8" w:rsidP="003314C8">
      <w:pPr>
        <w:rPr>
          <w:b/>
          <w:bCs/>
        </w:rPr>
      </w:pPr>
      <w:r>
        <w:rPr>
          <w:b/>
          <w:bCs/>
        </w:rPr>
        <w:br w:type="page"/>
      </w:r>
    </w:p>
    <w:p w:rsidR="003314C8" w:rsidRPr="00386E1D" w:rsidRDefault="003314C8" w:rsidP="003314C8">
      <w:pPr>
        <w:rPr>
          <w:b/>
          <w:bCs/>
        </w:rPr>
      </w:pPr>
      <w:proofErr w:type="gramStart"/>
      <w:r w:rsidRPr="00386E1D">
        <w:rPr>
          <w:b/>
          <w:bCs/>
        </w:rPr>
        <w:lastRenderedPageBreak/>
        <w:t>Exhibit 2.</w:t>
      </w:r>
      <w:proofErr w:type="gramEnd"/>
      <w:r w:rsidRPr="00386E1D">
        <w:rPr>
          <w:b/>
          <w:bCs/>
        </w:rPr>
        <w:t xml:space="preserve">  Estimated annualized cost burden</w:t>
      </w:r>
    </w:p>
    <w:p w:rsidR="003314C8" w:rsidRDefault="003314C8" w:rsidP="003314C8">
      <w:pPr>
        <w:keepLines/>
        <w:autoSpaceDE w:val="0"/>
        <w:autoSpaceDN w:val="0"/>
        <w:adjustRightInd w:val="0"/>
        <w:rPr>
          <w:bCs/>
          <w:sz w:val="20"/>
        </w:rPr>
      </w:pPr>
    </w:p>
    <w:tbl>
      <w:tblPr>
        <w:tblW w:w="0" w:type="auto"/>
        <w:tblCellMar>
          <w:left w:w="0" w:type="dxa"/>
          <w:right w:w="0" w:type="dxa"/>
        </w:tblCellMar>
        <w:tblLook w:val="0000"/>
      </w:tblPr>
      <w:tblGrid>
        <w:gridCol w:w="3258"/>
        <w:gridCol w:w="1440"/>
        <w:gridCol w:w="1350"/>
        <w:gridCol w:w="1350"/>
        <w:gridCol w:w="1370"/>
      </w:tblGrid>
      <w:tr w:rsidR="003314C8" w:rsidRPr="00386E1D">
        <w:tc>
          <w:tcPr>
            <w:tcW w:w="325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3314C8" w:rsidRPr="00386E1D" w:rsidRDefault="003314C8" w:rsidP="003314C8">
            <w:pPr>
              <w:rPr>
                <w:b/>
                <w:bCs/>
                <w:sz w:val="20"/>
                <w:szCs w:val="20"/>
              </w:rPr>
            </w:pPr>
            <w:r w:rsidRPr="00386E1D">
              <w:rPr>
                <w:b/>
                <w:bCs/>
                <w:sz w:val="20"/>
                <w:szCs w:val="20"/>
              </w:rPr>
              <w:t>Data Collection Mode</w:t>
            </w:r>
          </w:p>
        </w:tc>
        <w:tc>
          <w:tcPr>
            <w:tcW w:w="14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3314C8" w:rsidRPr="00386E1D" w:rsidRDefault="003314C8" w:rsidP="003314C8">
            <w:pPr>
              <w:jc w:val="center"/>
              <w:rPr>
                <w:b/>
                <w:bCs/>
                <w:sz w:val="20"/>
                <w:szCs w:val="20"/>
              </w:rPr>
            </w:pPr>
            <w:r w:rsidRPr="00386E1D">
              <w:rPr>
                <w:b/>
                <w:bCs/>
                <w:sz w:val="20"/>
                <w:szCs w:val="20"/>
              </w:rPr>
              <w:t>Number of respondents</w:t>
            </w:r>
          </w:p>
        </w:tc>
        <w:tc>
          <w:tcPr>
            <w:tcW w:w="135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3314C8" w:rsidRPr="00386E1D" w:rsidRDefault="003314C8" w:rsidP="003314C8">
            <w:pPr>
              <w:jc w:val="center"/>
              <w:rPr>
                <w:b/>
                <w:bCs/>
                <w:sz w:val="20"/>
                <w:szCs w:val="20"/>
              </w:rPr>
            </w:pPr>
            <w:r w:rsidRPr="00386E1D">
              <w:rPr>
                <w:b/>
                <w:bCs/>
                <w:sz w:val="20"/>
                <w:szCs w:val="20"/>
              </w:rPr>
              <w:t>Total burden hours</w:t>
            </w:r>
          </w:p>
        </w:tc>
        <w:tc>
          <w:tcPr>
            <w:tcW w:w="135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3314C8" w:rsidRPr="00386E1D" w:rsidRDefault="003314C8" w:rsidP="003314C8">
            <w:pPr>
              <w:jc w:val="center"/>
              <w:rPr>
                <w:b/>
                <w:bCs/>
                <w:sz w:val="20"/>
                <w:szCs w:val="20"/>
              </w:rPr>
            </w:pPr>
            <w:r w:rsidRPr="00386E1D">
              <w:rPr>
                <w:b/>
                <w:bCs/>
                <w:sz w:val="20"/>
                <w:szCs w:val="20"/>
              </w:rPr>
              <w:t>Average hourly wage rate</w:t>
            </w:r>
            <w:r w:rsidRPr="00386E1D">
              <w:rPr>
                <w:b/>
                <w:bCs/>
                <w:sz w:val="20"/>
                <w:szCs w:val="20"/>
                <w:vertAlign w:val="superscript"/>
              </w:rPr>
              <w:t>*</w:t>
            </w:r>
          </w:p>
        </w:tc>
        <w:tc>
          <w:tcPr>
            <w:tcW w:w="137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3314C8" w:rsidRPr="00386E1D" w:rsidRDefault="003314C8" w:rsidP="003314C8">
            <w:pPr>
              <w:jc w:val="center"/>
              <w:rPr>
                <w:b/>
                <w:bCs/>
                <w:sz w:val="20"/>
                <w:szCs w:val="20"/>
              </w:rPr>
            </w:pPr>
            <w:r>
              <w:rPr>
                <w:b/>
                <w:bCs/>
                <w:sz w:val="20"/>
                <w:szCs w:val="20"/>
              </w:rPr>
              <w:t xml:space="preserve">Total </w:t>
            </w:r>
            <w:r w:rsidRPr="00386E1D">
              <w:rPr>
                <w:b/>
                <w:bCs/>
                <w:sz w:val="20"/>
                <w:szCs w:val="20"/>
              </w:rPr>
              <w:t>cost burden</w:t>
            </w:r>
          </w:p>
        </w:tc>
      </w:tr>
      <w:tr w:rsidR="003314C8" w:rsidRPr="00386E1D">
        <w:trPr>
          <w:trHeight w:val="268"/>
        </w:trPr>
        <w:tc>
          <w:tcPr>
            <w:tcW w:w="325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3314C8" w:rsidRPr="00386E1D" w:rsidRDefault="003314C8" w:rsidP="003314C8">
            <w:pPr>
              <w:rPr>
                <w:b/>
                <w:bCs/>
                <w:sz w:val="20"/>
                <w:szCs w:val="20"/>
              </w:rPr>
            </w:pPr>
            <w:r w:rsidRPr="00386E1D">
              <w:rPr>
                <w:b/>
                <w:bCs/>
                <w:sz w:val="20"/>
                <w:szCs w:val="20"/>
              </w:rPr>
              <w:t xml:space="preserve">Screening form </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3314C8" w:rsidRPr="00386E1D" w:rsidRDefault="003314C8" w:rsidP="003314C8">
            <w:pPr>
              <w:jc w:val="center"/>
              <w:rPr>
                <w:b/>
                <w:bCs/>
                <w:sz w:val="20"/>
                <w:szCs w:val="20"/>
              </w:rPr>
            </w:pPr>
            <w:r>
              <w:rPr>
                <w:b/>
                <w:bCs/>
                <w:sz w:val="20"/>
                <w:szCs w:val="20"/>
              </w:rPr>
              <w:t>80</w:t>
            </w:r>
          </w:p>
        </w:tc>
        <w:tc>
          <w:tcPr>
            <w:tcW w:w="13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3314C8" w:rsidRPr="00386E1D" w:rsidRDefault="003314C8" w:rsidP="003314C8">
            <w:pPr>
              <w:jc w:val="center"/>
              <w:rPr>
                <w:b/>
                <w:bCs/>
                <w:sz w:val="20"/>
                <w:szCs w:val="20"/>
              </w:rPr>
            </w:pPr>
            <w:r>
              <w:rPr>
                <w:b/>
                <w:bCs/>
                <w:sz w:val="20"/>
                <w:szCs w:val="20"/>
              </w:rPr>
              <w:t>6.64</w:t>
            </w:r>
          </w:p>
        </w:tc>
        <w:tc>
          <w:tcPr>
            <w:tcW w:w="13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3314C8" w:rsidRPr="00386E1D" w:rsidRDefault="003314C8" w:rsidP="003314C8">
            <w:pPr>
              <w:jc w:val="center"/>
              <w:rPr>
                <w:b/>
                <w:bCs/>
                <w:sz w:val="20"/>
                <w:szCs w:val="20"/>
              </w:rPr>
            </w:pPr>
            <w:r w:rsidRPr="00386E1D">
              <w:rPr>
                <w:b/>
                <w:bCs/>
                <w:sz w:val="20"/>
                <w:szCs w:val="20"/>
              </w:rPr>
              <w:t>$10.30</w:t>
            </w:r>
          </w:p>
        </w:tc>
        <w:tc>
          <w:tcPr>
            <w:tcW w:w="137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3314C8" w:rsidRPr="00386E1D" w:rsidRDefault="003314C8" w:rsidP="003314C8">
            <w:pPr>
              <w:jc w:val="center"/>
              <w:rPr>
                <w:b/>
                <w:bCs/>
                <w:sz w:val="20"/>
                <w:szCs w:val="20"/>
              </w:rPr>
            </w:pPr>
            <w:r w:rsidRPr="00386E1D">
              <w:rPr>
                <w:b/>
                <w:bCs/>
                <w:sz w:val="20"/>
                <w:szCs w:val="20"/>
              </w:rPr>
              <w:t>$</w:t>
            </w:r>
            <w:r>
              <w:rPr>
                <w:b/>
                <w:bCs/>
                <w:sz w:val="20"/>
                <w:szCs w:val="20"/>
              </w:rPr>
              <w:t>68</w:t>
            </w:r>
          </w:p>
        </w:tc>
      </w:tr>
      <w:tr w:rsidR="003314C8" w:rsidRPr="00386E1D">
        <w:tc>
          <w:tcPr>
            <w:tcW w:w="325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3314C8" w:rsidRPr="00386E1D" w:rsidRDefault="003314C8" w:rsidP="003314C8">
            <w:pPr>
              <w:rPr>
                <w:b/>
                <w:bCs/>
                <w:sz w:val="20"/>
                <w:szCs w:val="20"/>
              </w:rPr>
            </w:pPr>
            <w:r>
              <w:rPr>
                <w:b/>
                <w:bCs/>
                <w:sz w:val="20"/>
                <w:szCs w:val="20"/>
              </w:rPr>
              <w:t>Semi-structured interviews with patients and caregivers</w:t>
            </w:r>
          </w:p>
        </w:tc>
        <w:tc>
          <w:tcPr>
            <w:tcW w:w="14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3314C8" w:rsidRPr="00386E1D" w:rsidRDefault="003314C8" w:rsidP="003314C8">
            <w:pPr>
              <w:jc w:val="center"/>
              <w:rPr>
                <w:b/>
                <w:bCs/>
                <w:sz w:val="20"/>
                <w:szCs w:val="20"/>
              </w:rPr>
            </w:pPr>
            <w:r>
              <w:rPr>
                <w:b/>
                <w:bCs/>
                <w:sz w:val="20"/>
                <w:szCs w:val="20"/>
              </w:rPr>
              <w:t>20</w:t>
            </w:r>
          </w:p>
        </w:tc>
        <w:tc>
          <w:tcPr>
            <w:tcW w:w="135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3314C8" w:rsidRPr="00386E1D" w:rsidRDefault="003314C8" w:rsidP="003314C8">
            <w:pPr>
              <w:jc w:val="center"/>
              <w:rPr>
                <w:b/>
                <w:bCs/>
                <w:sz w:val="20"/>
                <w:szCs w:val="20"/>
              </w:rPr>
            </w:pPr>
            <w:r>
              <w:rPr>
                <w:b/>
                <w:bCs/>
                <w:sz w:val="20"/>
                <w:szCs w:val="20"/>
              </w:rPr>
              <w:t>30</w:t>
            </w:r>
          </w:p>
        </w:tc>
        <w:tc>
          <w:tcPr>
            <w:tcW w:w="135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3314C8" w:rsidRPr="00386E1D" w:rsidRDefault="003314C8" w:rsidP="003314C8">
            <w:pPr>
              <w:jc w:val="center"/>
              <w:rPr>
                <w:b/>
                <w:bCs/>
                <w:sz w:val="20"/>
                <w:szCs w:val="20"/>
                <w:vertAlign w:val="superscript"/>
              </w:rPr>
            </w:pPr>
            <w:r>
              <w:rPr>
                <w:b/>
                <w:bCs/>
                <w:sz w:val="20"/>
                <w:szCs w:val="20"/>
              </w:rPr>
              <w:t>$10.30</w:t>
            </w:r>
          </w:p>
        </w:tc>
        <w:tc>
          <w:tcPr>
            <w:tcW w:w="137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3314C8" w:rsidRPr="00386E1D" w:rsidRDefault="003314C8" w:rsidP="003314C8">
            <w:pPr>
              <w:jc w:val="center"/>
              <w:rPr>
                <w:b/>
                <w:bCs/>
                <w:sz w:val="20"/>
                <w:szCs w:val="20"/>
              </w:rPr>
            </w:pPr>
            <w:r w:rsidRPr="00386E1D">
              <w:rPr>
                <w:b/>
                <w:bCs/>
                <w:sz w:val="20"/>
                <w:szCs w:val="20"/>
              </w:rPr>
              <w:t>$</w:t>
            </w:r>
            <w:r>
              <w:rPr>
                <w:b/>
                <w:bCs/>
                <w:sz w:val="20"/>
                <w:szCs w:val="20"/>
              </w:rPr>
              <w:t>309</w:t>
            </w:r>
          </w:p>
        </w:tc>
      </w:tr>
      <w:tr w:rsidR="003314C8" w:rsidRPr="00386E1D">
        <w:tc>
          <w:tcPr>
            <w:tcW w:w="325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3314C8" w:rsidRDefault="003314C8" w:rsidP="003314C8">
            <w:pPr>
              <w:rPr>
                <w:b/>
                <w:bCs/>
                <w:sz w:val="20"/>
                <w:szCs w:val="20"/>
              </w:rPr>
            </w:pPr>
            <w:r>
              <w:rPr>
                <w:b/>
                <w:bCs/>
                <w:sz w:val="20"/>
                <w:szCs w:val="20"/>
              </w:rPr>
              <w:t>Semi-structured interviews with primary care p</w:t>
            </w:r>
            <w:r w:rsidRPr="00386E1D">
              <w:rPr>
                <w:b/>
                <w:bCs/>
                <w:sz w:val="20"/>
                <w:szCs w:val="20"/>
              </w:rPr>
              <w:t>h</w:t>
            </w:r>
            <w:r>
              <w:rPr>
                <w:b/>
                <w:bCs/>
                <w:sz w:val="20"/>
                <w:szCs w:val="20"/>
              </w:rPr>
              <w:t>ysicians</w:t>
            </w:r>
          </w:p>
        </w:tc>
        <w:tc>
          <w:tcPr>
            <w:tcW w:w="14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3314C8" w:rsidRDefault="003314C8" w:rsidP="003314C8">
            <w:pPr>
              <w:jc w:val="center"/>
              <w:rPr>
                <w:b/>
                <w:bCs/>
                <w:sz w:val="20"/>
                <w:szCs w:val="20"/>
              </w:rPr>
            </w:pPr>
            <w:r>
              <w:rPr>
                <w:b/>
                <w:bCs/>
                <w:sz w:val="20"/>
                <w:szCs w:val="20"/>
              </w:rPr>
              <w:t>2</w:t>
            </w:r>
          </w:p>
        </w:tc>
        <w:tc>
          <w:tcPr>
            <w:tcW w:w="135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3314C8" w:rsidRDefault="003314C8" w:rsidP="003314C8">
            <w:pPr>
              <w:jc w:val="center"/>
              <w:rPr>
                <w:b/>
                <w:bCs/>
                <w:sz w:val="20"/>
                <w:szCs w:val="20"/>
              </w:rPr>
            </w:pPr>
            <w:r>
              <w:rPr>
                <w:b/>
                <w:bCs/>
                <w:sz w:val="20"/>
                <w:szCs w:val="20"/>
              </w:rPr>
              <w:t>2</w:t>
            </w:r>
          </w:p>
        </w:tc>
        <w:tc>
          <w:tcPr>
            <w:tcW w:w="135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3314C8" w:rsidRPr="00386E1D" w:rsidRDefault="003314C8" w:rsidP="003314C8">
            <w:pPr>
              <w:jc w:val="center"/>
              <w:rPr>
                <w:b/>
                <w:bCs/>
                <w:sz w:val="20"/>
                <w:szCs w:val="20"/>
              </w:rPr>
            </w:pPr>
            <w:r>
              <w:rPr>
                <w:b/>
                <w:bCs/>
                <w:sz w:val="20"/>
                <w:szCs w:val="20"/>
              </w:rPr>
              <w:t>$77.64</w:t>
            </w:r>
          </w:p>
        </w:tc>
        <w:tc>
          <w:tcPr>
            <w:tcW w:w="137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3314C8" w:rsidRPr="00386E1D" w:rsidRDefault="003314C8" w:rsidP="003314C8">
            <w:pPr>
              <w:jc w:val="center"/>
              <w:rPr>
                <w:b/>
                <w:bCs/>
                <w:sz w:val="20"/>
                <w:szCs w:val="20"/>
              </w:rPr>
            </w:pPr>
            <w:r>
              <w:rPr>
                <w:b/>
                <w:bCs/>
                <w:sz w:val="20"/>
                <w:szCs w:val="20"/>
              </w:rPr>
              <w:t>$155</w:t>
            </w:r>
          </w:p>
        </w:tc>
      </w:tr>
      <w:tr w:rsidR="003314C8" w:rsidRPr="00386E1D">
        <w:tc>
          <w:tcPr>
            <w:tcW w:w="325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3314C8" w:rsidRDefault="003314C8" w:rsidP="003314C8">
            <w:pPr>
              <w:rPr>
                <w:b/>
                <w:bCs/>
                <w:sz w:val="20"/>
                <w:szCs w:val="20"/>
              </w:rPr>
            </w:pPr>
            <w:r>
              <w:rPr>
                <w:b/>
                <w:bCs/>
                <w:sz w:val="20"/>
                <w:szCs w:val="20"/>
              </w:rPr>
              <w:t>Semi-structured interviews with specialists</w:t>
            </w:r>
          </w:p>
        </w:tc>
        <w:tc>
          <w:tcPr>
            <w:tcW w:w="14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3314C8" w:rsidRDefault="003314C8" w:rsidP="003314C8">
            <w:pPr>
              <w:jc w:val="center"/>
              <w:rPr>
                <w:b/>
                <w:bCs/>
                <w:sz w:val="20"/>
                <w:szCs w:val="20"/>
              </w:rPr>
            </w:pPr>
            <w:r>
              <w:rPr>
                <w:b/>
                <w:bCs/>
                <w:sz w:val="20"/>
                <w:szCs w:val="20"/>
              </w:rPr>
              <w:t>1</w:t>
            </w:r>
          </w:p>
        </w:tc>
        <w:tc>
          <w:tcPr>
            <w:tcW w:w="135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3314C8" w:rsidRDefault="003314C8" w:rsidP="003314C8">
            <w:pPr>
              <w:jc w:val="center"/>
              <w:rPr>
                <w:b/>
                <w:bCs/>
                <w:sz w:val="20"/>
                <w:szCs w:val="20"/>
              </w:rPr>
            </w:pPr>
            <w:r>
              <w:rPr>
                <w:b/>
                <w:bCs/>
                <w:sz w:val="20"/>
                <w:szCs w:val="20"/>
              </w:rPr>
              <w:t>1</w:t>
            </w:r>
          </w:p>
        </w:tc>
        <w:tc>
          <w:tcPr>
            <w:tcW w:w="135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3314C8" w:rsidRPr="00386E1D" w:rsidRDefault="003314C8" w:rsidP="003314C8">
            <w:pPr>
              <w:jc w:val="center"/>
              <w:rPr>
                <w:b/>
                <w:bCs/>
                <w:sz w:val="20"/>
                <w:szCs w:val="20"/>
              </w:rPr>
            </w:pPr>
            <w:r>
              <w:rPr>
                <w:b/>
                <w:bCs/>
                <w:sz w:val="20"/>
                <w:szCs w:val="20"/>
              </w:rPr>
              <w:t>$94.99</w:t>
            </w:r>
          </w:p>
        </w:tc>
        <w:tc>
          <w:tcPr>
            <w:tcW w:w="137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3314C8" w:rsidRPr="00386E1D" w:rsidRDefault="003314C8" w:rsidP="003314C8">
            <w:pPr>
              <w:jc w:val="center"/>
              <w:rPr>
                <w:b/>
                <w:bCs/>
                <w:sz w:val="20"/>
                <w:szCs w:val="20"/>
              </w:rPr>
            </w:pPr>
            <w:r>
              <w:rPr>
                <w:b/>
                <w:bCs/>
                <w:sz w:val="20"/>
                <w:szCs w:val="20"/>
              </w:rPr>
              <w:t>$95</w:t>
            </w:r>
          </w:p>
        </w:tc>
      </w:tr>
      <w:tr w:rsidR="003314C8" w:rsidRPr="00386E1D">
        <w:tc>
          <w:tcPr>
            <w:tcW w:w="325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3314C8" w:rsidRPr="00386E1D" w:rsidRDefault="003314C8" w:rsidP="003314C8">
            <w:pPr>
              <w:rPr>
                <w:b/>
                <w:bCs/>
                <w:sz w:val="20"/>
                <w:szCs w:val="20"/>
              </w:rPr>
            </w:pPr>
            <w:r>
              <w:rPr>
                <w:b/>
                <w:bCs/>
                <w:sz w:val="20"/>
                <w:szCs w:val="20"/>
              </w:rPr>
              <w:t>Semi-structured interviews with radiology technicians</w:t>
            </w:r>
          </w:p>
        </w:tc>
        <w:tc>
          <w:tcPr>
            <w:tcW w:w="14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3314C8" w:rsidRPr="00386E1D" w:rsidRDefault="003314C8" w:rsidP="003314C8">
            <w:pPr>
              <w:jc w:val="center"/>
              <w:rPr>
                <w:b/>
                <w:bCs/>
                <w:sz w:val="20"/>
                <w:szCs w:val="20"/>
              </w:rPr>
            </w:pPr>
            <w:r>
              <w:rPr>
                <w:b/>
                <w:bCs/>
                <w:sz w:val="20"/>
                <w:szCs w:val="20"/>
              </w:rPr>
              <w:t>1</w:t>
            </w:r>
          </w:p>
        </w:tc>
        <w:tc>
          <w:tcPr>
            <w:tcW w:w="135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3314C8" w:rsidRPr="00386E1D" w:rsidRDefault="003314C8" w:rsidP="003314C8">
            <w:pPr>
              <w:jc w:val="center"/>
              <w:rPr>
                <w:b/>
                <w:bCs/>
                <w:sz w:val="20"/>
                <w:szCs w:val="20"/>
              </w:rPr>
            </w:pPr>
            <w:r>
              <w:rPr>
                <w:b/>
                <w:bCs/>
                <w:sz w:val="20"/>
                <w:szCs w:val="20"/>
              </w:rPr>
              <w:t>1</w:t>
            </w:r>
          </w:p>
        </w:tc>
        <w:tc>
          <w:tcPr>
            <w:tcW w:w="135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3314C8" w:rsidRPr="00386E1D" w:rsidRDefault="003314C8" w:rsidP="003314C8">
            <w:pPr>
              <w:jc w:val="center"/>
              <w:rPr>
                <w:b/>
                <w:bCs/>
                <w:sz w:val="20"/>
                <w:szCs w:val="20"/>
                <w:vertAlign w:val="superscript"/>
              </w:rPr>
            </w:pPr>
            <w:r w:rsidRPr="00386E1D">
              <w:rPr>
                <w:b/>
                <w:bCs/>
                <w:sz w:val="20"/>
                <w:szCs w:val="20"/>
              </w:rPr>
              <w:t>$</w:t>
            </w:r>
            <w:r>
              <w:rPr>
                <w:b/>
                <w:bCs/>
                <w:sz w:val="20"/>
                <w:szCs w:val="20"/>
              </w:rPr>
              <w:t>38.26</w:t>
            </w:r>
          </w:p>
        </w:tc>
        <w:tc>
          <w:tcPr>
            <w:tcW w:w="137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3314C8" w:rsidRPr="00386E1D" w:rsidRDefault="003314C8" w:rsidP="003314C8">
            <w:pPr>
              <w:jc w:val="center"/>
              <w:rPr>
                <w:b/>
                <w:bCs/>
                <w:sz w:val="20"/>
                <w:szCs w:val="20"/>
              </w:rPr>
            </w:pPr>
            <w:r w:rsidRPr="00386E1D">
              <w:rPr>
                <w:b/>
                <w:bCs/>
                <w:sz w:val="20"/>
                <w:szCs w:val="20"/>
              </w:rPr>
              <w:t>$</w:t>
            </w:r>
            <w:r>
              <w:rPr>
                <w:b/>
                <w:bCs/>
                <w:sz w:val="20"/>
                <w:szCs w:val="20"/>
              </w:rPr>
              <w:t>38</w:t>
            </w:r>
          </w:p>
        </w:tc>
      </w:tr>
      <w:tr w:rsidR="003314C8" w:rsidRPr="00386E1D">
        <w:tc>
          <w:tcPr>
            <w:tcW w:w="325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3314C8" w:rsidRPr="00386E1D" w:rsidRDefault="003314C8" w:rsidP="003314C8">
            <w:pPr>
              <w:rPr>
                <w:b/>
                <w:bCs/>
                <w:sz w:val="20"/>
                <w:szCs w:val="20"/>
              </w:rPr>
            </w:pPr>
            <w:r w:rsidRPr="00386E1D">
              <w:rPr>
                <w:b/>
                <w:bCs/>
                <w:sz w:val="20"/>
                <w:szCs w:val="20"/>
              </w:rPr>
              <w:t>Total</w:t>
            </w:r>
          </w:p>
        </w:tc>
        <w:tc>
          <w:tcPr>
            <w:tcW w:w="14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3314C8" w:rsidRPr="00386E1D" w:rsidRDefault="00DA76F3" w:rsidP="003314C8">
            <w:pPr>
              <w:jc w:val="center"/>
              <w:rPr>
                <w:b/>
                <w:bCs/>
                <w:sz w:val="20"/>
                <w:szCs w:val="20"/>
              </w:rPr>
            </w:pPr>
            <w:r>
              <w:rPr>
                <w:b/>
                <w:bCs/>
                <w:sz w:val="20"/>
                <w:szCs w:val="20"/>
              </w:rPr>
              <w:t>10</w:t>
            </w:r>
            <w:r w:rsidR="003314C8">
              <w:rPr>
                <w:b/>
                <w:bCs/>
                <w:sz w:val="20"/>
                <w:szCs w:val="20"/>
              </w:rPr>
              <w:t>4</w:t>
            </w:r>
          </w:p>
        </w:tc>
        <w:tc>
          <w:tcPr>
            <w:tcW w:w="135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3314C8" w:rsidRPr="00386E1D" w:rsidRDefault="00DA76F3" w:rsidP="00DA76F3">
            <w:pPr>
              <w:jc w:val="center"/>
              <w:rPr>
                <w:b/>
                <w:bCs/>
                <w:sz w:val="20"/>
                <w:szCs w:val="20"/>
              </w:rPr>
            </w:pPr>
            <w:r>
              <w:rPr>
                <w:b/>
                <w:bCs/>
                <w:sz w:val="20"/>
                <w:szCs w:val="20"/>
              </w:rPr>
              <w:t>41</w:t>
            </w:r>
          </w:p>
        </w:tc>
        <w:tc>
          <w:tcPr>
            <w:tcW w:w="1350" w:type="dxa"/>
            <w:tcBorders>
              <w:top w:val="single" w:sz="8" w:space="0" w:color="auto"/>
              <w:left w:val="nil"/>
              <w:bottom w:val="single" w:sz="8" w:space="0" w:color="auto"/>
              <w:right w:val="single" w:sz="8" w:space="0" w:color="auto"/>
            </w:tcBorders>
            <w:shd w:val="clear" w:color="auto" w:fill="B3B3B3"/>
            <w:tcMar>
              <w:top w:w="0" w:type="dxa"/>
              <w:left w:w="108" w:type="dxa"/>
              <w:bottom w:w="0" w:type="dxa"/>
              <w:right w:w="108" w:type="dxa"/>
            </w:tcMar>
            <w:vAlign w:val="center"/>
          </w:tcPr>
          <w:p w:rsidR="003314C8" w:rsidRPr="00386E1D" w:rsidRDefault="003314C8" w:rsidP="003314C8">
            <w:pPr>
              <w:jc w:val="right"/>
              <w:rPr>
                <w:b/>
                <w:bCs/>
                <w:sz w:val="20"/>
                <w:szCs w:val="20"/>
              </w:rPr>
            </w:pPr>
          </w:p>
        </w:tc>
        <w:tc>
          <w:tcPr>
            <w:tcW w:w="137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3314C8" w:rsidRPr="00386E1D" w:rsidRDefault="003314C8" w:rsidP="003314C8">
            <w:pPr>
              <w:jc w:val="center"/>
              <w:rPr>
                <w:b/>
                <w:bCs/>
                <w:sz w:val="20"/>
                <w:szCs w:val="20"/>
              </w:rPr>
            </w:pPr>
            <w:r w:rsidRPr="00386E1D">
              <w:rPr>
                <w:b/>
                <w:bCs/>
                <w:sz w:val="20"/>
                <w:szCs w:val="20"/>
              </w:rPr>
              <w:t>$</w:t>
            </w:r>
            <w:r>
              <w:rPr>
                <w:b/>
                <w:bCs/>
                <w:sz w:val="20"/>
                <w:szCs w:val="20"/>
              </w:rPr>
              <w:t>666</w:t>
            </w:r>
          </w:p>
        </w:tc>
      </w:tr>
    </w:tbl>
    <w:p w:rsidR="003314C8" w:rsidRDefault="003314C8" w:rsidP="003314C8">
      <w:pPr>
        <w:keepLines/>
        <w:autoSpaceDE w:val="0"/>
        <w:autoSpaceDN w:val="0"/>
        <w:adjustRightInd w:val="0"/>
        <w:rPr>
          <w:bCs/>
          <w:sz w:val="20"/>
        </w:rPr>
      </w:pPr>
      <w:r w:rsidRPr="00752ED8">
        <w:rPr>
          <w:bCs/>
          <w:sz w:val="20"/>
        </w:rPr>
        <w:t>* Patient/county average hourly wage based on the average per capita income of $</w:t>
      </w:r>
      <w:r w:rsidRPr="00752ED8">
        <w:rPr>
          <w:sz w:val="20"/>
        </w:rPr>
        <w:t>21,435</w:t>
      </w:r>
      <w:r w:rsidRPr="00752ED8">
        <w:rPr>
          <w:bCs/>
          <w:sz w:val="20"/>
        </w:rPr>
        <w:t xml:space="preserve"> (computed into an hourly wage rate of $10.30).  Provider hourly wage based on an average of the following estimates from National Compensation Survey: Occupational wages in the United States </w:t>
      </w:r>
      <w:r>
        <w:rPr>
          <w:bCs/>
          <w:sz w:val="20"/>
        </w:rPr>
        <w:t xml:space="preserve">May </w:t>
      </w:r>
      <w:r w:rsidRPr="00752ED8">
        <w:rPr>
          <w:bCs/>
          <w:sz w:val="20"/>
        </w:rPr>
        <w:t>200</w:t>
      </w:r>
      <w:r>
        <w:rPr>
          <w:bCs/>
          <w:sz w:val="20"/>
        </w:rPr>
        <w:t>8</w:t>
      </w:r>
      <w:r w:rsidRPr="00752ED8">
        <w:rPr>
          <w:bCs/>
          <w:sz w:val="20"/>
        </w:rPr>
        <w:t>, “U.S. Department of Labor, Bureau of Labor Statistics</w:t>
      </w:r>
      <w:r>
        <w:rPr>
          <w:bCs/>
          <w:sz w:val="20"/>
        </w:rPr>
        <w:t>.</w:t>
      </w:r>
      <w:r w:rsidRPr="00752ED8">
        <w:rPr>
          <w:bCs/>
          <w:sz w:val="20"/>
        </w:rPr>
        <w:t>)</w:t>
      </w:r>
    </w:p>
    <w:p w:rsidR="003314C8" w:rsidRDefault="003314C8" w:rsidP="003314C8">
      <w:pPr>
        <w:keepLines/>
        <w:autoSpaceDE w:val="0"/>
        <w:autoSpaceDN w:val="0"/>
        <w:adjustRightInd w:val="0"/>
        <w:rPr>
          <w:bCs/>
          <w:sz w:val="20"/>
        </w:rPr>
      </w:pPr>
    </w:p>
    <w:p w:rsidR="003314C8" w:rsidRDefault="003314C8" w:rsidP="003314C8">
      <w:pPr>
        <w:keepLines/>
        <w:autoSpaceDE w:val="0"/>
        <w:autoSpaceDN w:val="0"/>
        <w:adjustRightInd w:val="0"/>
        <w:rPr>
          <w:bCs/>
          <w:sz w:val="20"/>
        </w:rPr>
      </w:pPr>
    </w:p>
    <w:p w:rsidR="003314C8" w:rsidRPr="00386E1D" w:rsidRDefault="003314C8" w:rsidP="003314C8">
      <w:pPr>
        <w:pStyle w:val="Heading2"/>
        <w:rPr>
          <w:rFonts w:ascii="Times New Roman" w:hAnsi="Times New Roman" w:cs="Times New Roman"/>
          <w:sz w:val="24"/>
        </w:rPr>
      </w:pPr>
      <w:bookmarkStart w:id="28" w:name="_Toc151782188"/>
      <w:bookmarkStart w:id="29" w:name="_Toc158526228"/>
      <w:r w:rsidRPr="00386E1D">
        <w:rPr>
          <w:rFonts w:ascii="Times New Roman" w:hAnsi="Times New Roman" w:cs="Times New Roman"/>
          <w:sz w:val="24"/>
        </w:rPr>
        <w:t>13. Estimates of Annualized Respondent Capital and Maintenance Costs</w:t>
      </w:r>
      <w:bookmarkEnd w:id="28"/>
      <w:bookmarkEnd w:id="29"/>
    </w:p>
    <w:p w:rsidR="003314C8" w:rsidRPr="00386E1D" w:rsidRDefault="003314C8" w:rsidP="003314C8">
      <w:pPr>
        <w:spacing w:before="120"/>
      </w:pPr>
      <w:r w:rsidRPr="00386E1D">
        <w:t>There are no direct costs to respondents other than their time to participate in the study.</w:t>
      </w:r>
    </w:p>
    <w:p w:rsidR="003314C8" w:rsidRPr="00386E1D" w:rsidRDefault="003314C8" w:rsidP="003314C8">
      <w:pPr>
        <w:pStyle w:val="Heading2"/>
        <w:rPr>
          <w:rFonts w:ascii="Times New Roman" w:hAnsi="Times New Roman" w:cs="Times New Roman"/>
          <w:sz w:val="24"/>
        </w:rPr>
      </w:pPr>
      <w:bookmarkStart w:id="30" w:name="_Toc58725299"/>
      <w:bookmarkStart w:id="31" w:name="_Toc151782189"/>
      <w:bookmarkStart w:id="32" w:name="_Toc158526229"/>
      <w:r w:rsidRPr="00386E1D">
        <w:rPr>
          <w:rFonts w:ascii="Times New Roman" w:hAnsi="Times New Roman" w:cs="Times New Roman"/>
          <w:sz w:val="24"/>
        </w:rPr>
        <w:t>14. Estimates of Annualized Cost to the Government</w:t>
      </w:r>
      <w:bookmarkEnd w:id="30"/>
      <w:bookmarkEnd w:id="31"/>
      <w:bookmarkEnd w:id="32"/>
    </w:p>
    <w:p w:rsidR="003314C8" w:rsidRDefault="003314C8" w:rsidP="003314C8">
      <w:bookmarkStart w:id="33" w:name="_Toc151782190"/>
      <w:bookmarkStart w:id="34" w:name="_Toc158526230"/>
      <w:r>
        <w:t>Exhibit 3 shows t</w:t>
      </w:r>
      <w:r w:rsidRPr="00386E1D">
        <w:t>he estimated cost to the Federal government</w:t>
      </w:r>
      <w:r>
        <w:t xml:space="preserve"> for this one month project.  The total cost</w:t>
      </w:r>
      <w:r w:rsidRPr="00386E1D">
        <w:t xml:space="preserve"> is $</w:t>
      </w:r>
      <w:r>
        <w:t>68,000</w:t>
      </w:r>
      <w:r w:rsidRPr="00386E1D">
        <w:t xml:space="preserve">.  This amount includes all direct and indirect costs of the design, data collection, analysis, and reporting phase of the study.  </w:t>
      </w:r>
    </w:p>
    <w:p w:rsidR="003314C8" w:rsidRDefault="003314C8" w:rsidP="003314C8"/>
    <w:p w:rsidR="003314C8" w:rsidRDefault="003314C8" w:rsidP="003314C8">
      <w:proofErr w:type="gramStart"/>
      <w:r>
        <w:rPr>
          <w:b/>
          <w:bCs/>
          <w:color w:val="000000"/>
        </w:rPr>
        <w:t>Exhibit 3.</w:t>
      </w:r>
      <w:proofErr w:type="gramEnd"/>
      <w:r>
        <w:rPr>
          <w:b/>
          <w:bCs/>
          <w:color w:val="000000"/>
        </w:rPr>
        <w:t>  Estimated Cost</w:t>
      </w:r>
    </w:p>
    <w:tbl>
      <w:tblPr>
        <w:tblW w:w="0" w:type="auto"/>
        <w:tblInd w:w="108" w:type="dxa"/>
        <w:tblCellMar>
          <w:left w:w="0" w:type="dxa"/>
          <w:right w:w="0" w:type="dxa"/>
        </w:tblCellMar>
        <w:tblLook w:val="0000"/>
      </w:tblPr>
      <w:tblGrid>
        <w:gridCol w:w="3600"/>
        <w:gridCol w:w="1440"/>
      </w:tblGrid>
      <w:tr w:rsidR="003314C8">
        <w:trPr>
          <w:trHeight w:val="817"/>
        </w:trPr>
        <w:tc>
          <w:tcPr>
            <w:tcW w:w="360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3314C8" w:rsidRPr="00012FB9" w:rsidRDefault="003314C8" w:rsidP="003314C8">
            <w:pPr>
              <w:rPr>
                <w:b/>
              </w:rPr>
            </w:pPr>
            <w:r w:rsidRPr="00012FB9">
              <w:rPr>
                <w:b/>
                <w:color w:val="000000"/>
              </w:rPr>
              <w:t xml:space="preserve">Cost Component </w:t>
            </w:r>
          </w:p>
        </w:tc>
        <w:tc>
          <w:tcPr>
            <w:tcW w:w="14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3314C8" w:rsidRDefault="003314C8" w:rsidP="003314C8">
            <w:pPr>
              <w:jc w:val="center"/>
              <w:rPr>
                <w:b/>
              </w:rPr>
            </w:pPr>
          </w:p>
          <w:p w:rsidR="003314C8" w:rsidRPr="00012FB9" w:rsidRDefault="003314C8" w:rsidP="003314C8">
            <w:pPr>
              <w:jc w:val="center"/>
              <w:rPr>
                <w:b/>
              </w:rPr>
            </w:pPr>
            <w:r>
              <w:rPr>
                <w:b/>
              </w:rPr>
              <w:t xml:space="preserve">Total Estimated </w:t>
            </w:r>
            <w:r w:rsidRPr="00012FB9">
              <w:rPr>
                <w:b/>
              </w:rPr>
              <w:t>Cost</w:t>
            </w:r>
          </w:p>
        </w:tc>
      </w:tr>
      <w:tr w:rsidR="003314C8">
        <w:tc>
          <w:tcPr>
            <w:tcW w:w="360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3314C8" w:rsidRDefault="003314C8" w:rsidP="003314C8">
            <w:r>
              <w:t>Project Development</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3314C8" w:rsidRDefault="003314C8" w:rsidP="003314C8">
            <w:pPr>
              <w:jc w:val="center"/>
            </w:pPr>
            <w:r>
              <w:t>5,000</w:t>
            </w:r>
          </w:p>
        </w:tc>
      </w:tr>
      <w:tr w:rsidR="003314C8">
        <w:tc>
          <w:tcPr>
            <w:tcW w:w="360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3314C8" w:rsidRDefault="003314C8" w:rsidP="003314C8">
            <w:r>
              <w:t>Data Collection Activities</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3314C8" w:rsidRDefault="003314C8" w:rsidP="003314C8">
            <w:pPr>
              <w:jc w:val="center"/>
            </w:pPr>
            <w:r>
              <w:t>25,000</w:t>
            </w:r>
          </w:p>
        </w:tc>
      </w:tr>
      <w:tr w:rsidR="003314C8">
        <w:tc>
          <w:tcPr>
            <w:tcW w:w="360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3314C8" w:rsidRDefault="003314C8" w:rsidP="003314C8">
            <w:r>
              <w:t>Data Processing and Analysis</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3314C8" w:rsidRDefault="003314C8" w:rsidP="003314C8">
            <w:pPr>
              <w:jc w:val="center"/>
            </w:pPr>
            <w:r>
              <w:t>8,000</w:t>
            </w:r>
          </w:p>
        </w:tc>
      </w:tr>
      <w:tr w:rsidR="003314C8">
        <w:tc>
          <w:tcPr>
            <w:tcW w:w="360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3314C8" w:rsidRDefault="003314C8" w:rsidP="003314C8">
            <w:r>
              <w:t>Reporting of Results</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3314C8" w:rsidRDefault="003314C8" w:rsidP="003314C8">
            <w:pPr>
              <w:jc w:val="center"/>
            </w:pPr>
            <w:r>
              <w:t>5,000</w:t>
            </w:r>
          </w:p>
        </w:tc>
      </w:tr>
      <w:tr w:rsidR="003314C8">
        <w:tc>
          <w:tcPr>
            <w:tcW w:w="360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3314C8" w:rsidRDefault="003314C8" w:rsidP="003314C8">
            <w:r>
              <w:t>Project Management</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3314C8" w:rsidRDefault="003314C8" w:rsidP="003314C8">
            <w:pPr>
              <w:jc w:val="center"/>
            </w:pPr>
            <w:r>
              <w:t>5,000</w:t>
            </w:r>
          </w:p>
        </w:tc>
      </w:tr>
      <w:tr w:rsidR="003314C8">
        <w:tc>
          <w:tcPr>
            <w:tcW w:w="360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3314C8" w:rsidRDefault="003314C8" w:rsidP="003314C8">
            <w:r>
              <w:t>Overhead</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3314C8" w:rsidRDefault="003314C8" w:rsidP="003314C8">
            <w:pPr>
              <w:jc w:val="center"/>
            </w:pPr>
            <w:r>
              <w:t>20,000</w:t>
            </w:r>
          </w:p>
        </w:tc>
      </w:tr>
      <w:tr w:rsidR="003314C8">
        <w:tc>
          <w:tcPr>
            <w:tcW w:w="360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3314C8" w:rsidRPr="006D1C5E" w:rsidRDefault="003314C8" w:rsidP="003314C8">
            <w:r w:rsidRPr="006D1C5E">
              <w:rPr>
                <w:b/>
                <w:bCs/>
                <w:color w:val="000000"/>
              </w:rPr>
              <w:t>Total</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3314C8" w:rsidRPr="00752ED8" w:rsidRDefault="003314C8" w:rsidP="003314C8">
            <w:pPr>
              <w:jc w:val="center"/>
              <w:rPr>
                <w:b/>
              </w:rPr>
            </w:pPr>
            <w:r w:rsidRPr="00752ED8">
              <w:rPr>
                <w:b/>
              </w:rPr>
              <w:t>$</w:t>
            </w:r>
            <w:r>
              <w:rPr>
                <w:b/>
              </w:rPr>
              <w:t>68</w:t>
            </w:r>
            <w:r w:rsidRPr="00752ED8">
              <w:rPr>
                <w:b/>
              </w:rPr>
              <w:t>,</w:t>
            </w:r>
            <w:r>
              <w:rPr>
                <w:b/>
              </w:rPr>
              <w:t>0</w:t>
            </w:r>
            <w:r w:rsidRPr="00752ED8">
              <w:rPr>
                <w:b/>
              </w:rPr>
              <w:t>00</w:t>
            </w:r>
          </w:p>
        </w:tc>
      </w:tr>
    </w:tbl>
    <w:p w:rsidR="003314C8" w:rsidRPr="00386E1D" w:rsidRDefault="003314C8" w:rsidP="003314C8"/>
    <w:p w:rsidR="003314C8" w:rsidRPr="00386E1D" w:rsidRDefault="003314C8" w:rsidP="003314C8">
      <w:pPr>
        <w:pStyle w:val="Heading2"/>
        <w:rPr>
          <w:rFonts w:ascii="Times New Roman" w:hAnsi="Times New Roman" w:cs="Times New Roman"/>
          <w:sz w:val="24"/>
        </w:rPr>
      </w:pPr>
      <w:r w:rsidRPr="00386E1D">
        <w:rPr>
          <w:rFonts w:ascii="Times New Roman" w:hAnsi="Times New Roman" w:cs="Times New Roman"/>
          <w:sz w:val="24"/>
        </w:rPr>
        <w:t>15. Changes in Hour Burden</w:t>
      </w:r>
      <w:bookmarkEnd w:id="33"/>
      <w:bookmarkEnd w:id="34"/>
    </w:p>
    <w:p w:rsidR="003314C8" w:rsidRPr="00386E1D" w:rsidRDefault="003314C8" w:rsidP="003314C8">
      <w:pPr>
        <w:spacing w:before="100" w:beforeAutospacing="1" w:after="100" w:afterAutospacing="1"/>
        <w:rPr>
          <w:i/>
        </w:rPr>
      </w:pPr>
      <w:bookmarkStart w:id="35" w:name="_Toc151782191"/>
      <w:bookmarkStart w:id="36" w:name="_Toc158526231"/>
      <w:r w:rsidRPr="00386E1D">
        <w:t>This is a new collection of information</w:t>
      </w:r>
      <w:r w:rsidRPr="00386E1D">
        <w:rPr>
          <w:i/>
        </w:rPr>
        <w:t xml:space="preserve">. </w:t>
      </w:r>
    </w:p>
    <w:p w:rsidR="003314C8" w:rsidRPr="00386E1D" w:rsidRDefault="003314C8" w:rsidP="003314C8">
      <w:pPr>
        <w:pStyle w:val="Heading2"/>
        <w:rPr>
          <w:rFonts w:ascii="Times New Roman" w:hAnsi="Times New Roman" w:cs="Times New Roman"/>
          <w:sz w:val="24"/>
        </w:rPr>
      </w:pPr>
      <w:r w:rsidRPr="00386E1D">
        <w:rPr>
          <w:rFonts w:ascii="Times New Roman" w:hAnsi="Times New Roman" w:cs="Times New Roman"/>
          <w:sz w:val="24"/>
        </w:rPr>
        <w:lastRenderedPageBreak/>
        <w:t>16. Time Sc</w:t>
      </w:r>
      <w:r>
        <w:rPr>
          <w:rFonts w:ascii="Times New Roman" w:hAnsi="Times New Roman" w:cs="Times New Roman"/>
          <w:sz w:val="24"/>
        </w:rPr>
        <w:t>hedule, Publication and Analysis, and Public Reporting</w:t>
      </w:r>
      <w:r w:rsidRPr="00386E1D">
        <w:rPr>
          <w:rFonts w:ascii="Times New Roman" w:hAnsi="Times New Roman" w:cs="Times New Roman"/>
          <w:sz w:val="24"/>
        </w:rPr>
        <w:t xml:space="preserve"> Plans</w:t>
      </w:r>
      <w:bookmarkEnd w:id="35"/>
      <w:bookmarkEnd w:id="36"/>
    </w:p>
    <w:tbl>
      <w:tblPr>
        <w:tblW w:w="8025" w:type="dxa"/>
        <w:tblInd w:w="93" w:type="dxa"/>
        <w:tblLook w:val="0000"/>
      </w:tblPr>
      <w:tblGrid>
        <w:gridCol w:w="2774"/>
        <w:gridCol w:w="571"/>
        <w:gridCol w:w="546"/>
        <w:gridCol w:w="519"/>
        <w:gridCol w:w="555"/>
        <w:gridCol w:w="630"/>
        <w:gridCol w:w="630"/>
        <w:gridCol w:w="630"/>
        <w:gridCol w:w="540"/>
        <w:gridCol w:w="630"/>
      </w:tblGrid>
      <w:tr w:rsidR="003314C8" w:rsidRPr="00386E1D">
        <w:trPr>
          <w:trHeight w:val="289"/>
        </w:trPr>
        <w:tc>
          <w:tcPr>
            <w:tcW w:w="27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3314C8" w:rsidRPr="00386E1D" w:rsidRDefault="003314C8" w:rsidP="003314C8">
            <w:pPr>
              <w:spacing w:before="40" w:after="40"/>
              <w:rPr>
                <w:sz w:val="20"/>
                <w:szCs w:val="20"/>
              </w:rPr>
            </w:pPr>
          </w:p>
        </w:tc>
        <w:tc>
          <w:tcPr>
            <w:tcW w:w="1636" w:type="dxa"/>
            <w:gridSpan w:val="3"/>
            <w:tcBorders>
              <w:top w:val="single" w:sz="4" w:space="0" w:color="auto"/>
              <w:left w:val="nil"/>
              <w:bottom w:val="single" w:sz="4" w:space="0" w:color="auto"/>
              <w:right w:val="single" w:sz="4" w:space="0" w:color="auto"/>
            </w:tcBorders>
            <w:shd w:val="clear" w:color="auto" w:fill="auto"/>
            <w:noWrap/>
            <w:vAlign w:val="bottom"/>
          </w:tcPr>
          <w:p w:rsidR="003314C8" w:rsidRPr="00386E1D" w:rsidRDefault="003314C8" w:rsidP="003314C8">
            <w:pPr>
              <w:spacing w:before="40" w:after="40"/>
              <w:jc w:val="center"/>
              <w:rPr>
                <w:b/>
                <w:bCs/>
                <w:sz w:val="20"/>
                <w:szCs w:val="20"/>
              </w:rPr>
            </w:pPr>
            <w:r w:rsidRPr="00386E1D">
              <w:rPr>
                <w:b/>
                <w:bCs/>
                <w:sz w:val="20"/>
                <w:szCs w:val="20"/>
              </w:rPr>
              <w:t>2009</w:t>
            </w:r>
          </w:p>
        </w:tc>
        <w:tc>
          <w:tcPr>
            <w:tcW w:w="3615" w:type="dxa"/>
            <w:gridSpan w:val="6"/>
            <w:tcBorders>
              <w:top w:val="single" w:sz="4" w:space="0" w:color="auto"/>
              <w:left w:val="nil"/>
              <w:bottom w:val="single" w:sz="4" w:space="0" w:color="auto"/>
              <w:right w:val="single" w:sz="4" w:space="0" w:color="auto"/>
            </w:tcBorders>
            <w:shd w:val="clear" w:color="auto" w:fill="auto"/>
          </w:tcPr>
          <w:p w:rsidR="003314C8" w:rsidRDefault="003314C8" w:rsidP="003314C8">
            <w:pPr>
              <w:spacing w:before="40" w:after="40"/>
              <w:jc w:val="center"/>
              <w:rPr>
                <w:b/>
                <w:bCs/>
                <w:sz w:val="20"/>
                <w:szCs w:val="20"/>
              </w:rPr>
            </w:pPr>
            <w:r>
              <w:rPr>
                <w:b/>
                <w:bCs/>
                <w:sz w:val="20"/>
                <w:szCs w:val="20"/>
              </w:rPr>
              <w:t>2010</w:t>
            </w:r>
          </w:p>
        </w:tc>
      </w:tr>
      <w:tr w:rsidR="003314C8" w:rsidRPr="00386E1D">
        <w:trPr>
          <w:trHeight w:val="289"/>
        </w:trPr>
        <w:tc>
          <w:tcPr>
            <w:tcW w:w="27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3314C8" w:rsidRPr="00386E1D" w:rsidRDefault="003314C8" w:rsidP="003314C8">
            <w:pPr>
              <w:spacing w:before="40" w:after="40"/>
              <w:rPr>
                <w:sz w:val="20"/>
                <w:szCs w:val="20"/>
              </w:rPr>
            </w:pPr>
            <w:r w:rsidRPr="00386E1D">
              <w:rPr>
                <w:sz w:val="20"/>
                <w:szCs w:val="20"/>
              </w:rPr>
              <w:t> </w:t>
            </w:r>
          </w:p>
        </w:tc>
        <w:tc>
          <w:tcPr>
            <w:tcW w:w="1636" w:type="dxa"/>
            <w:gridSpan w:val="3"/>
            <w:tcBorders>
              <w:top w:val="single" w:sz="4" w:space="0" w:color="auto"/>
              <w:left w:val="nil"/>
              <w:bottom w:val="single" w:sz="4" w:space="0" w:color="auto"/>
              <w:right w:val="single" w:sz="4" w:space="0" w:color="auto"/>
            </w:tcBorders>
            <w:shd w:val="clear" w:color="auto" w:fill="auto"/>
            <w:noWrap/>
            <w:vAlign w:val="bottom"/>
          </w:tcPr>
          <w:p w:rsidR="003314C8" w:rsidRPr="00386E1D" w:rsidRDefault="003314C8" w:rsidP="003314C8">
            <w:pPr>
              <w:spacing w:before="40" w:after="40"/>
              <w:jc w:val="center"/>
              <w:rPr>
                <w:b/>
                <w:bCs/>
                <w:sz w:val="20"/>
                <w:szCs w:val="20"/>
              </w:rPr>
            </w:pPr>
            <w:r>
              <w:rPr>
                <w:b/>
                <w:bCs/>
                <w:sz w:val="20"/>
                <w:szCs w:val="20"/>
              </w:rPr>
              <w:t>Q4</w:t>
            </w:r>
          </w:p>
        </w:tc>
        <w:tc>
          <w:tcPr>
            <w:tcW w:w="1815" w:type="dxa"/>
            <w:gridSpan w:val="3"/>
            <w:tcBorders>
              <w:top w:val="single" w:sz="4" w:space="0" w:color="auto"/>
              <w:left w:val="nil"/>
              <w:bottom w:val="single" w:sz="4" w:space="0" w:color="auto"/>
              <w:right w:val="single" w:sz="4" w:space="0" w:color="auto"/>
            </w:tcBorders>
            <w:shd w:val="clear" w:color="auto" w:fill="auto"/>
          </w:tcPr>
          <w:p w:rsidR="003314C8" w:rsidRDefault="003314C8" w:rsidP="003314C8">
            <w:pPr>
              <w:spacing w:before="40" w:after="40"/>
              <w:jc w:val="center"/>
              <w:rPr>
                <w:b/>
                <w:bCs/>
                <w:sz w:val="20"/>
                <w:szCs w:val="20"/>
              </w:rPr>
            </w:pPr>
            <w:r>
              <w:rPr>
                <w:b/>
                <w:bCs/>
                <w:sz w:val="20"/>
                <w:szCs w:val="20"/>
              </w:rPr>
              <w:t>Q1</w:t>
            </w:r>
          </w:p>
        </w:tc>
        <w:tc>
          <w:tcPr>
            <w:tcW w:w="1800" w:type="dxa"/>
            <w:gridSpan w:val="3"/>
            <w:tcBorders>
              <w:top w:val="single" w:sz="4" w:space="0" w:color="auto"/>
              <w:left w:val="nil"/>
              <w:bottom w:val="single" w:sz="4" w:space="0" w:color="auto"/>
              <w:right w:val="single" w:sz="4" w:space="0" w:color="auto"/>
            </w:tcBorders>
            <w:shd w:val="clear" w:color="auto" w:fill="auto"/>
          </w:tcPr>
          <w:p w:rsidR="003314C8" w:rsidRDefault="003314C8" w:rsidP="003314C8">
            <w:pPr>
              <w:spacing w:before="40" w:after="40"/>
              <w:jc w:val="center"/>
              <w:rPr>
                <w:b/>
                <w:bCs/>
                <w:sz w:val="20"/>
                <w:szCs w:val="20"/>
              </w:rPr>
            </w:pPr>
            <w:r>
              <w:rPr>
                <w:b/>
                <w:bCs/>
                <w:sz w:val="20"/>
                <w:szCs w:val="20"/>
              </w:rPr>
              <w:t>Q2</w:t>
            </w:r>
          </w:p>
        </w:tc>
      </w:tr>
      <w:tr w:rsidR="003314C8" w:rsidRPr="00386E1D">
        <w:trPr>
          <w:trHeight w:val="289"/>
        </w:trPr>
        <w:tc>
          <w:tcPr>
            <w:tcW w:w="2774" w:type="dxa"/>
            <w:tcBorders>
              <w:top w:val="nil"/>
              <w:left w:val="single" w:sz="4" w:space="0" w:color="auto"/>
              <w:bottom w:val="single" w:sz="4" w:space="0" w:color="auto"/>
              <w:right w:val="single" w:sz="4" w:space="0" w:color="auto"/>
            </w:tcBorders>
            <w:shd w:val="clear" w:color="auto" w:fill="auto"/>
            <w:noWrap/>
            <w:vAlign w:val="bottom"/>
          </w:tcPr>
          <w:p w:rsidR="003314C8" w:rsidRPr="00386E1D" w:rsidRDefault="003314C8" w:rsidP="003314C8">
            <w:pPr>
              <w:rPr>
                <w:sz w:val="20"/>
                <w:szCs w:val="20"/>
              </w:rPr>
            </w:pPr>
            <w:r w:rsidRPr="00386E1D">
              <w:rPr>
                <w:sz w:val="20"/>
                <w:szCs w:val="20"/>
              </w:rPr>
              <w:t> </w:t>
            </w:r>
          </w:p>
        </w:tc>
        <w:tc>
          <w:tcPr>
            <w:tcW w:w="571" w:type="dxa"/>
            <w:tcBorders>
              <w:top w:val="nil"/>
              <w:left w:val="nil"/>
              <w:bottom w:val="single" w:sz="4" w:space="0" w:color="auto"/>
              <w:right w:val="single" w:sz="4" w:space="0" w:color="auto"/>
            </w:tcBorders>
            <w:shd w:val="clear" w:color="auto" w:fill="auto"/>
            <w:vAlign w:val="center"/>
          </w:tcPr>
          <w:p w:rsidR="003314C8" w:rsidRPr="00386E1D" w:rsidRDefault="003314C8" w:rsidP="003314C8">
            <w:pPr>
              <w:spacing w:before="40" w:after="40"/>
              <w:jc w:val="center"/>
              <w:rPr>
                <w:b/>
                <w:bCs/>
                <w:sz w:val="16"/>
                <w:szCs w:val="16"/>
              </w:rPr>
            </w:pPr>
            <w:r>
              <w:rPr>
                <w:b/>
                <w:bCs/>
                <w:sz w:val="16"/>
                <w:szCs w:val="16"/>
              </w:rPr>
              <w:t>Oct</w:t>
            </w:r>
          </w:p>
        </w:tc>
        <w:tc>
          <w:tcPr>
            <w:tcW w:w="546" w:type="dxa"/>
            <w:tcBorders>
              <w:top w:val="nil"/>
              <w:left w:val="nil"/>
              <w:bottom w:val="single" w:sz="4" w:space="0" w:color="auto"/>
              <w:right w:val="single" w:sz="4" w:space="0" w:color="auto"/>
            </w:tcBorders>
            <w:shd w:val="clear" w:color="auto" w:fill="auto"/>
            <w:vAlign w:val="center"/>
          </w:tcPr>
          <w:p w:rsidR="003314C8" w:rsidRPr="00386E1D" w:rsidRDefault="003314C8" w:rsidP="003314C8">
            <w:pPr>
              <w:spacing w:before="40" w:after="40"/>
              <w:jc w:val="center"/>
              <w:rPr>
                <w:b/>
                <w:bCs/>
                <w:sz w:val="16"/>
                <w:szCs w:val="16"/>
              </w:rPr>
            </w:pPr>
            <w:r>
              <w:rPr>
                <w:b/>
                <w:bCs/>
                <w:sz w:val="16"/>
                <w:szCs w:val="16"/>
              </w:rPr>
              <w:t>Nov</w:t>
            </w:r>
          </w:p>
        </w:tc>
        <w:tc>
          <w:tcPr>
            <w:tcW w:w="519" w:type="dxa"/>
            <w:tcBorders>
              <w:top w:val="nil"/>
              <w:left w:val="nil"/>
              <w:bottom w:val="single" w:sz="4" w:space="0" w:color="auto"/>
              <w:right w:val="single" w:sz="4" w:space="0" w:color="auto"/>
            </w:tcBorders>
            <w:shd w:val="clear" w:color="auto" w:fill="auto"/>
            <w:vAlign w:val="center"/>
          </w:tcPr>
          <w:p w:rsidR="003314C8" w:rsidRPr="00386E1D" w:rsidRDefault="003314C8" w:rsidP="003314C8">
            <w:pPr>
              <w:spacing w:before="40" w:after="40"/>
              <w:jc w:val="center"/>
              <w:rPr>
                <w:b/>
                <w:bCs/>
                <w:sz w:val="16"/>
                <w:szCs w:val="16"/>
              </w:rPr>
            </w:pPr>
            <w:r>
              <w:rPr>
                <w:b/>
                <w:bCs/>
                <w:sz w:val="16"/>
                <w:szCs w:val="16"/>
              </w:rPr>
              <w:t>Dec</w:t>
            </w:r>
          </w:p>
        </w:tc>
        <w:tc>
          <w:tcPr>
            <w:tcW w:w="555" w:type="dxa"/>
            <w:tcBorders>
              <w:top w:val="nil"/>
              <w:left w:val="nil"/>
              <w:bottom w:val="single" w:sz="4" w:space="0" w:color="auto"/>
              <w:right w:val="single" w:sz="4" w:space="0" w:color="auto"/>
            </w:tcBorders>
            <w:shd w:val="clear" w:color="auto" w:fill="auto"/>
            <w:vAlign w:val="center"/>
          </w:tcPr>
          <w:p w:rsidR="003314C8" w:rsidRPr="00386E1D" w:rsidRDefault="003314C8" w:rsidP="003314C8">
            <w:pPr>
              <w:spacing w:before="40" w:after="40"/>
              <w:jc w:val="center"/>
              <w:rPr>
                <w:b/>
                <w:bCs/>
                <w:sz w:val="16"/>
                <w:szCs w:val="16"/>
              </w:rPr>
            </w:pPr>
            <w:r>
              <w:rPr>
                <w:b/>
                <w:bCs/>
                <w:sz w:val="16"/>
                <w:szCs w:val="16"/>
              </w:rPr>
              <w:t>Jan</w:t>
            </w:r>
          </w:p>
        </w:tc>
        <w:tc>
          <w:tcPr>
            <w:tcW w:w="630" w:type="dxa"/>
            <w:tcBorders>
              <w:top w:val="nil"/>
              <w:left w:val="nil"/>
              <w:bottom w:val="single" w:sz="4" w:space="0" w:color="auto"/>
              <w:right w:val="single" w:sz="4" w:space="0" w:color="auto"/>
            </w:tcBorders>
            <w:shd w:val="clear" w:color="auto" w:fill="auto"/>
          </w:tcPr>
          <w:p w:rsidR="003314C8" w:rsidRPr="00386E1D" w:rsidRDefault="003314C8" w:rsidP="003314C8">
            <w:pPr>
              <w:spacing w:before="40" w:after="40"/>
              <w:jc w:val="center"/>
              <w:rPr>
                <w:b/>
                <w:bCs/>
                <w:sz w:val="16"/>
                <w:szCs w:val="16"/>
              </w:rPr>
            </w:pPr>
            <w:r>
              <w:rPr>
                <w:b/>
                <w:bCs/>
                <w:sz w:val="16"/>
                <w:szCs w:val="16"/>
              </w:rPr>
              <w:t>Feb</w:t>
            </w:r>
          </w:p>
        </w:tc>
        <w:tc>
          <w:tcPr>
            <w:tcW w:w="630" w:type="dxa"/>
            <w:tcBorders>
              <w:top w:val="nil"/>
              <w:left w:val="nil"/>
              <w:bottom w:val="single" w:sz="4" w:space="0" w:color="auto"/>
              <w:right w:val="single" w:sz="4" w:space="0" w:color="auto"/>
            </w:tcBorders>
            <w:shd w:val="clear" w:color="auto" w:fill="auto"/>
          </w:tcPr>
          <w:p w:rsidR="003314C8" w:rsidRPr="00386E1D" w:rsidRDefault="003314C8" w:rsidP="003314C8">
            <w:pPr>
              <w:spacing w:before="40" w:after="40"/>
              <w:jc w:val="center"/>
              <w:rPr>
                <w:b/>
                <w:bCs/>
                <w:sz w:val="16"/>
                <w:szCs w:val="16"/>
              </w:rPr>
            </w:pPr>
            <w:r>
              <w:rPr>
                <w:b/>
                <w:bCs/>
                <w:sz w:val="16"/>
                <w:szCs w:val="16"/>
              </w:rPr>
              <w:t>Mar</w:t>
            </w:r>
          </w:p>
        </w:tc>
        <w:tc>
          <w:tcPr>
            <w:tcW w:w="630" w:type="dxa"/>
            <w:tcBorders>
              <w:top w:val="nil"/>
              <w:left w:val="nil"/>
              <w:bottom w:val="single" w:sz="4" w:space="0" w:color="auto"/>
              <w:right w:val="single" w:sz="4" w:space="0" w:color="auto"/>
            </w:tcBorders>
            <w:shd w:val="clear" w:color="auto" w:fill="auto"/>
          </w:tcPr>
          <w:p w:rsidR="003314C8" w:rsidRPr="00386E1D" w:rsidRDefault="003314C8" w:rsidP="003314C8">
            <w:pPr>
              <w:spacing w:before="40" w:after="40"/>
              <w:jc w:val="center"/>
              <w:rPr>
                <w:b/>
                <w:bCs/>
                <w:sz w:val="16"/>
                <w:szCs w:val="16"/>
              </w:rPr>
            </w:pPr>
            <w:r>
              <w:rPr>
                <w:b/>
                <w:bCs/>
                <w:sz w:val="16"/>
                <w:szCs w:val="16"/>
              </w:rPr>
              <w:t>Apr</w:t>
            </w:r>
          </w:p>
        </w:tc>
        <w:tc>
          <w:tcPr>
            <w:tcW w:w="540" w:type="dxa"/>
            <w:tcBorders>
              <w:top w:val="nil"/>
              <w:left w:val="nil"/>
              <w:bottom w:val="single" w:sz="4" w:space="0" w:color="auto"/>
              <w:right w:val="single" w:sz="4" w:space="0" w:color="auto"/>
            </w:tcBorders>
            <w:shd w:val="clear" w:color="auto" w:fill="auto"/>
          </w:tcPr>
          <w:p w:rsidR="003314C8" w:rsidRPr="00386E1D" w:rsidRDefault="003314C8" w:rsidP="003314C8">
            <w:pPr>
              <w:spacing w:before="40" w:after="40"/>
              <w:jc w:val="center"/>
              <w:rPr>
                <w:b/>
                <w:bCs/>
                <w:sz w:val="16"/>
                <w:szCs w:val="16"/>
              </w:rPr>
            </w:pPr>
            <w:r>
              <w:rPr>
                <w:b/>
                <w:bCs/>
                <w:sz w:val="16"/>
                <w:szCs w:val="16"/>
              </w:rPr>
              <w:t>May</w:t>
            </w:r>
          </w:p>
        </w:tc>
        <w:tc>
          <w:tcPr>
            <w:tcW w:w="630" w:type="dxa"/>
            <w:tcBorders>
              <w:top w:val="nil"/>
              <w:left w:val="nil"/>
              <w:bottom w:val="single" w:sz="4" w:space="0" w:color="auto"/>
              <w:right w:val="single" w:sz="4" w:space="0" w:color="auto"/>
            </w:tcBorders>
            <w:shd w:val="clear" w:color="auto" w:fill="auto"/>
          </w:tcPr>
          <w:p w:rsidR="003314C8" w:rsidRPr="00386E1D" w:rsidRDefault="003314C8" w:rsidP="003314C8">
            <w:pPr>
              <w:spacing w:before="40" w:after="40"/>
              <w:jc w:val="center"/>
              <w:rPr>
                <w:b/>
                <w:bCs/>
                <w:sz w:val="16"/>
                <w:szCs w:val="16"/>
              </w:rPr>
            </w:pPr>
            <w:r>
              <w:rPr>
                <w:b/>
                <w:bCs/>
                <w:sz w:val="16"/>
                <w:szCs w:val="16"/>
              </w:rPr>
              <w:t>June</w:t>
            </w:r>
          </w:p>
        </w:tc>
      </w:tr>
      <w:tr w:rsidR="003314C8" w:rsidRPr="00386E1D">
        <w:trPr>
          <w:trHeight w:val="273"/>
        </w:trPr>
        <w:tc>
          <w:tcPr>
            <w:tcW w:w="2774" w:type="dxa"/>
            <w:tcBorders>
              <w:top w:val="nil"/>
              <w:left w:val="single" w:sz="4" w:space="0" w:color="auto"/>
              <w:bottom w:val="single" w:sz="4" w:space="0" w:color="auto"/>
              <w:right w:val="single" w:sz="4" w:space="0" w:color="auto"/>
            </w:tcBorders>
            <w:shd w:val="clear" w:color="auto" w:fill="auto"/>
            <w:noWrap/>
            <w:vAlign w:val="bottom"/>
          </w:tcPr>
          <w:p w:rsidR="003314C8" w:rsidRPr="00386E1D" w:rsidRDefault="003314C8" w:rsidP="003314C8">
            <w:pPr>
              <w:rPr>
                <w:sz w:val="16"/>
                <w:szCs w:val="16"/>
              </w:rPr>
            </w:pPr>
            <w:r>
              <w:rPr>
                <w:sz w:val="16"/>
                <w:szCs w:val="16"/>
              </w:rPr>
              <w:t>CMS</w:t>
            </w:r>
            <w:r w:rsidRPr="00386E1D">
              <w:rPr>
                <w:sz w:val="16"/>
                <w:szCs w:val="16"/>
              </w:rPr>
              <w:t xml:space="preserve"> submits OMB "Clearance Package" to OMB</w:t>
            </w:r>
          </w:p>
        </w:tc>
        <w:tc>
          <w:tcPr>
            <w:tcW w:w="571" w:type="dxa"/>
            <w:tcBorders>
              <w:top w:val="nil"/>
              <w:left w:val="nil"/>
              <w:bottom w:val="single" w:sz="4" w:space="0" w:color="auto"/>
              <w:right w:val="single" w:sz="4" w:space="0" w:color="auto"/>
            </w:tcBorders>
            <w:shd w:val="clear" w:color="auto" w:fill="auto"/>
            <w:vAlign w:val="center"/>
          </w:tcPr>
          <w:p w:rsidR="003314C8" w:rsidRPr="00386E1D" w:rsidRDefault="003314C8" w:rsidP="003314C8">
            <w:pPr>
              <w:jc w:val="center"/>
              <w:rPr>
                <w:b/>
                <w:bCs/>
                <w:sz w:val="16"/>
                <w:szCs w:val="16"/>
              </w:rPr>
            </w:pPr>
            <w:r w:rsidRPr="00386E1D">
              <w:rPr>
                <w:b/>
                <w:bCs/>
                <w:sz w:val="16"/>
                <w:szCs w:val="16"/>
              </w:rPr>
              <w:t> </w:t>
            </w:r>
          </w:p>
        </w:tc>
        <w:tc>
          <w:tcPr>
            <w:tcW w:w="546" w:type="dxa"/>
            <w:tcBorders>
              <w:top w:val="nil"/>
              <w:left w:val="nil"/>
              <w:bottom w:val="single" w:sz="4" w:space="0" w:color="auto"/>
              <w:right w:val="single" w:sz="4" w:space="0" w:color="auto"/>
            </w:tcBorders>
            <w:shd w:val="clear" w:color="auto" w:fill="auto"/>
            <w:vAlign w:val="center"/>
          </w:tcPr>
          <w:p w:rsidR="003314C8" w:rsidRPr="00386E1D" w:rsidRDefault="003314C8" w:rsidP="003314C8">
            <w:pPr>
              <w:jc w:val="center"/>
              <w:rPr>
                <w:b/>
                <w:bCs/>
                <w:sz w:val="16"/>
                <w:szCs w:val="16"/>
              </w:rPr>
            </w:pPr>
            <w:r w:rsidRPr="00386E1D">
              <w:rPr>
                <w:b/>
                <w:bCs/>
                <w:sz w:val="16"/>
                <w:szCs w:val="16"/>
              </w:rPr>
              <w:t> </w:t>
            </w:r>
            <w:r>
              <w:rPr>
                <w:b/>
                <w:bCs/>
                <w:sz w:val="16"/>
                <w:szCs w:val="16"/>
              </w:rPr>
              <w:t>X</w:t>
            </w:r>
          </w:p>
        </w:tc>
        <w:tc>
          <w:tcPr>
            <w:tcW w:w="519" w:type="dxa"/>
            <w:tcBorders>
              <w:top w:val="single" w:sz="4" w:space="0" w:color="auto"/>
              <w:left w:val="nil"/>
              <w:bottom w:val="single" w:sz="4" w:space="0" w:color="auto"/>
              <w:right w:val="single" w:sz="4" w:space="0" w:color="auto"/>
            </w:tcBorders>
            <w:shd w:val="clear" w:color="auto" w:fill="auto"/>
            <w:vAlign w:val="center"/>
          </w:tcPr>
          <w:p w:rsidR="003314C8" w:rsidRPr="00386E1D" w:rsidRDefault="003314C8" w:rsidP="003314C8">
            <w:pPr>
              <w:jc w:val="center"/>
              <w:rPr>
                <w:b/>
                <w:bCs/>
                <w:sz w:val="16"/>
                <w:szCs w:val="16"/>
              </w:rPr>
            </w:pPr>
            <w:r w:rsidRPr="00386E1D">
              <w:rPr>
                <w:b/>
                <w:bCs/>
                <w:sz w:val="16"/>
                <w:szCs w:val="16"/>
              </w:rPr>
              <w:t> </w:t>
            </w:r>
          </w:p>
        </w:tc>
        <w:tc>
          <w:tcPr>
            <w:tcW w:w="555" w:type="dxa"/>
            <w:tcBorders>
              <w:top w:val="nil"/>
              <w:left w:val="nil"/>
              <w:bottom w:val="single" w:sz="4" w:space="0" w:color="auto"/>
              <w:right w:val="single" w:sz="4" w:space="0" w:color="auto"/>
            </w:tcBorders>
            <w:shd w:val="clear" w:color="auto" w:fill="auto"/>
            <w:vAlign w:val="center"/>
          </w:tcPr>
          <w:p w:rsidR="003314C8" w:rsidRPr="00386E1D" w:rsidRDefault="003314C8" w:rsidP="003314C8">
            <w:pPr>
              <w:jc w:val="center"/>
              <w:rPr>
                <w:b/>
                <w:bCs/>
                <w:sz w:val="16"/>
                <w:szCs w:val="16"/>
              </w:rPr>
            </w:pPr>
            <w:r w:rsidRPr="00386E1D">
              <w:rPr>
                <w:b/>
                <w:bCs/>
                <w:sz w:val="16"/>
                <w:szCs w:val="16"/>
              </w:rPr>
              <w:t> </w:t>
            </w:r>
          </w:p>
        </w:tc>
        <w:tc>
          <w:tcPr>
            <w:tcW w:w="630" w:type="dxa"/>
            <w:tcBorders>
              <w:top w:val="nil"/>
              <w:left w:val="nil"/>
              <w:bottom w:val="single" w:sz="4" w:space="0" w:color="auto"/>
              <w:right w:val="single" w:sz="4" w:space="0" w:color="auto"/>
            </w:tcBorders>
            <w:shd w:val="clear" w:color="auto" w:fill="auto"/>
          </w:tcPr>
          <w:p w:rsidR="003314C8" w:rsidRPr="00386E1D" w:rsidRDefault="003314C8" w:rsidP="003314C8">
            <w:pPr>
              <w:jc w:val="center"/>
              <w:rPr>
                <w:b/>
                <w:bCs/>
                <w:sz w:val="16"/>
                <w:szCs w:val="16"/>
              </w:rPr>
            </w:pPr>
          </w:p>
        </w:tc>
        <w:tc>
          <w:tcPr>
            <w:tcW w:w="630" w:type="dxa"/>
            <w:tcBorders>
              <w:top w:val="nil"/>
              <w:left w:val="nil"/>
              <w:bottom w:val="single" w:sz="4" w:space="0" w:color="auto"/>
              <w:right w:val="single" w:sz="4" w:space="0" w:color="auto"/>
            </w:tcBorders>
            <w:shd w:val="clear" w:color="auto" w:fill="auto"/>
          </w:tcPr>
          <w:p w:rsidR="003314C8" w:rsidRPr="00386E1D" w:rsidRDefault="003314C8" w:rsidP="003314C8">
            <w:pPr>
              <w:jc w:val="center"/>
              <w:rPr>
                <w:b/>
                <w:bCs/>
                <w:sz w:val="16"/>
                <w:szCs w:val="16"/>
              </w:rPr>
            </w:pPr>
          </w:p>
        </w:tc>
        <w:tc>
          <w:tcPr>
            <w:tcW w:w="630" w:type="dxa"/>
            <w:tcBorders>
              <w:top w:val="nil"/>
              <w:left w:val="nil"/>
              <w:bottom w:val="single" w:sz="4" w:space="0" w:color="auto"/>
              <w:right w:val="single" w:sz="4" w:space="0" w:color="auto"/>
            </w:tcBorders>
            <w:shd w:val="clear" w:color="auto" w:fill="auto"/>
          </w:tcPr>
          <w:p w:rsidR="003314C8" w:rsidRPr="00386E1D" w:rsidRDefault="003314C8" w:rsidP="003314C8">
            <w:pPr>
              <w:jc w:val="center"/>
              <w:rPr>
                <w:b/>
                <w:bCs/>
                <w:sz w:val="16"/>
                <w:szCs w:val="16"/>
              </w:rPr>
            </w:pPr>
          </w:p>
        </w:tc>
        <w:tc>
          <w:tcPr>
            <w:tcW w:w="540" w:type="dxa"/>
            <w:tcBorders>
              <w:top w:val="nil"/>
              <w:left w:val="nil"/>
              <w:bottom w:val="single" w:sz="4" w:space="0" w:color="auto"/>
              <w:right w:val="single" w:sz="4" w:space="0" w:color="auto"/>
            </w:tcBorders>
            <w:shd w:val="clear" w:color="auto" w:fill="auto"/>
          </w:tcPr>
          <w:p w:rsidR="003314C8" w:rsidRPr="00386E1D" w:rsidRDefault="003314C8" w:rsidP="003314C8">
            <w:pPr>
              <w:jc w:val="center"/>
              <w:rPr>
                <w:b/>
                <w:bCs/>
                <w:sz w:val="16"/>
                <w:szCs w:val="16"/>
              </w:rPr>
            </w:pPr>
          </w:p>
        </w:tc>
        <w:tc>
          <w:tcPr>
            <w:tcW w:w="630" w:type="dxa"/>
            <w:tcBorders>
              <w:top w:val="nil"/>
              <w:left w:val="nil"/>
              <w:bottom w:val="single" w:sz="4" w:space="0" w:color="auto"/>
              <w:right w:val="single" w:sz="4" w:space="0" w:color="auto"/>
            </w:tcBorders>
            <w:shd w:val="clear" w:color="auto" w:fill="auto"/>
          </w:tcPr>
          <w:p w:rsidR="003314C8" w:rsidRPr="00386E1D" w:rsidRDefault="003314C8" w:rsidP="003314C8">
            <w:pPr>
              <w:jc w:val="center"/>
              <w:rPr>
                <w:b/>
                <w:bCs/>
                <w:sz w:val="16"/>
                <w:szCs w:val="16"/>
              </w:rPr>
            </w:pPr>
          </w:p>
        </w:tc>
      </w:tr>
      <w:tr w:rsidR="003314C8" w:rsidRPr="00386E1D">
        <w:trPr>
          <w:trHeight w:val="273"/>
        </w:trPr>
        <w:tc>
          <w:tcPr>
            <w:tcW w:w="2774" w:type="dxa"/>
            <w:tcBorders>
              <w:top w:val="nil"/>
              <w:left w:val="single" w:sz="4" w:space="0" w:color="auto"/>
              <w:bottom w:val="single" w:sz="4" w:space="0" w:color="auto"/>
              <w:right w:val="single" w:sz="4" w:space="0" w:color="auto"/>
            </w:tcBorders>
            <w:shd w:val="clear" w:color="auto" w:fill="auto"/>
            <w:noWrap/>
            <w:vAlign w:val="bottom"/>
          </w:tcPr>
          <w:p w:rsidR="003314C8" w:rsidRPr="00386E1D" w:rsidRDefault="003314C8" w:rsidP="003314C8">
            <w:pPr>
              <w:rPr>
                <w:sz w:val="16"/>
                <w:szCs w:val="16"/>
              </w:rPr>
            </w:pPr>
            <w:r>
              <w:rPr>
                <w:sz w:val="16"/>
                <w:szCs w:val="16"/>
              </w:rPr>
              <w:t>Federal Register Notice</w:t>
            </w:r>
          </w:p>
        </w:tc>
        <w:tc>
          <w:tcPr>
            <w:tcW w:w="571" w:type="dxa"/>
            <w:tcBorders>
              <w:top w:val="single" w:sz="4" w:space="0" w:color="auto"/>
              <w:left w:val="nil"/>
              <w:bottom w:val="single" w:sz="4" w:space="0" w:color="auto"/>
              <w:right w:val="single" w:sz="4" w:space="0" w:color="auto"/>
            </w:tcBorders>
            <w:shd w:val="clear" w:color="auto" w:fill="auto"/>
            <w:vAlign w:val="center"/>
          </w:tcPr>
          <w:p w:rsidR="003314C8" w:rsidRPr="00386E1D" w:rsidRDefault="003314C8" w:rsidP="003314C8">
            <w:pPr>
              <w:jc w:val="center"/>
              <w:rPr>
                <w:b/>
                <w:bCs/>
                <w:sz w:val="16"/>
                <w:szCs w:val="16"/>
              </w:rPr>
            </w:pPr>
          </w:p>
        </w:tc>
        <w:tc>
          <w:tcPr>
            <w:tcW w:w="546" w:type="dxa"/>
            <w:tcBorders>
              <w:top w:val="single" w:sz="4" w:space="0" w:color="auto"/>
              <w:left w:val="nil"/>
              <w:bottom w:val="single" w:sz="4" w:space="0" w:color="auto"/>
              <w:right w:val="single" w:sz="4" w:space="0" w:color="auto"/>
            </w:tcBorders>
            <w:shd w:val="clear" w:color="auto" w:fill="auto"/>
            <w:vAlign w:val="center"/>
          </w:tcPr>
          <w:p w:rsidR="003314C8" w:rsidRPr="00386E1D" w:rsidRDefault="003314C8" w:rsidP="003314C8">
            <w:pPr>
              <w:jc w:val="center"/>
              <w:rPr>
                <w:b/>
                <w:bCs/>
                <w:sz w:val="16"/>
                <w:szCs w:val="16"/>
              </w:rPr>
            </w:pPr>
          </w:p>
        </w:tc>
        <w:tc>
          <w:tcPr>
            <w:tcW w:w="519" w:type="dxa"/>
            <w:tcBorders>
              <w:top w:val="single" w:sz="4" w:space="0" w:color="auto"/>
              <w:left w:val="nil"/>
              <w:bottom w:val="single" w:sz="4" w:space="0" w:color="auto"/>
              <w:right w:val="single" w:sz="4" w:space="0" w:color="auto"/>
            </w:tcBorders>
            <w:shd w:val="clear" w:color="auto" w:fill="auto"/>
            <w:vAlign w:val="center"/>
          </w:tcPr>
          <w:p w:rsidR="003314C8" w:rsidRPr="00386E1D" w:rsidRDefault="003314C8" w:rsidP="003314C8">
            <w:pPr>
              <w:jc w:val="center"/>
              <w:rPr>
                <w:b/>
                <w:bCs/>
                <w:sz w:val="16"/>
                <w:szCs w:val="16"/>
              </w:rPr>
            </w:pPr>
            <w:r>
              <w:rPr>
                <w:b/>
                <w:bCs/>
                <w:sz w:val="16"/>
                <w:szCs w:val="16"/>
              </w:rPr>
              <w:t>X</w:t>
            </w:r>
          </w:p>
        </w:tc>
        <w:tc>
          <w:tcPr>
            <w:tcW w:w="555" w:type="dxa"/>
            <w:tcBorders>
              <w:top w:val="nil"/>
              <w:left w:val="nil"/>
              <w:bottom w:val="single" w:sz="4" w:space="0" w:color="auto"/>
              <w:right w:val="single" w:sz="4" w:space="0" w:color="auto"/>
            </w:tcBorders>
            <w:shd w:val="clear" w:color="auto" w:fill="auto"/>
            <w:vAlign w:val="center"/>
          </w:tcPr>
          <w:p w:rsidR="003314C8" w:rsidRPr="00386E1D" w:rsidRDefault="003314C8" w:rsidP="003314C8">
            <w:pPr>
              <w:jc w:val="center"/>
              <w:rPr>
                <w:b/>
                <w:bCs/>
                <w:sz w:val="16"/>
                <w:szCs w:val="16"/>
              </w:rPr>
            </w:pPr>
            <w:r>
              <w:rPr>
                <w:b/>
                <w:bCs/>
                <w:sz w:val="16"/>
                <w:szCs w:val="16"/>
              </w:rPr>
              <w:t>X</w:t>
            </w:r>
          </w:p>
        </w:tc>
        <w:tc>
          <w:tcPr>
            <w:tcW w:w="630" w:type="dxa"/>
            <w:tcBorders>
              <w:top w:val="nil"/>
              <w:left w:val="nil"/>
              <w:bottom w:val="single" w:sz="4" w:space="0" w:color="auto"/>
              <w:right w:val="single" w:sz="4" w:space="0" w:color="auto"/>
            </w:tcBorders>
            <w:shd w:val="clear" w:color="auto" w:fill="auto"/>
          </w:tcPr>
          <w:p w:rsidR="003314C8" w:rsidRPr="00386E1D" w:rsidRDefault="003314C8" w:rsidP="003314C8">
            <w:pPr>
              <w:jc w:val="center"/>
              <w:rPr>
                <w:b/>
                <w:bCs/>
                <w:sz w:val="16"/>
                <w:szCs w:val="16"/>
              </w:rPr>
            </w:pPr>
          </w:p>
        </w:tc>
        <w:tc>
          <w:tcPr>
            <w:tcW w:w="630" w:type="dxa"/>
            <w:tcBorders>
              <w:top w:val="nil"/>
              <w:left w:val="nil"/>
              <w:bottom w:val="single" w:sz="4" w:space="0" w:color="auto"/>
              <w:right w:val="single" w:sz="4" w:space="0" w:color="auto"/>
            </w:tcBorders>
            <w:shd w:val="clear" w:color="auto" w:fill="auto"/>
          </w:tcPr>
          <w:p w:rsidR="003314C8" w:rsidRPr="00386E1D" w:rsidRDefault="003314C8" w:rsidP="003314C8">
            <w:pPr>
              <w:jc w:val="center"/>
              <w:rPr>
                <w:b/>
                <w:bCs/>
                <w:sz w:val="16"/>
                <w:szCs w:val="16"/>
              </w:rPr>
            </w:pPr>
          </w:p>
        </w:tc>
        <w:tc>
          <w:tcPr>
            <w:tcW w:w="630" w:type="dxa"/>
            <w:tcBorders>
              <w:top w:val="nil"/>
              <w:left w:val="nil"/>
              <w:bottom w:val="single" w:sz="4" w:space="0" w:color="auto"/>
              <w:right w:val="single" w:sz="4" w:space="0" w:color="auto"/>
            </w:tcBorders>
            <w:shd w:val="clear" w:color="auto" w:fill="auto"/>
          </w:tcPr>
          <w:p w:rsidR="003314C8" w:rsidRPr="00386E1D" w:rsidRDefault="003314C8" w:rsidP="003314C8">
            <w:pPr>
              <w:jc w:val="center"/>
              <w:rPr>
                <w:b/>
                <w:bCs/>
                <w:sz w:val="16"/>
                <w:szCs w:val="16"/>
              </w:rPr>
            </w:pPr>
          </w:p>
        </w:tc>
        <w:tc>
          <w:tcPr>
            <w:tcW w:w="540" w:type="dxa"/>
            <w:tcBorders>
              <w:top w:val="nil"/>
              <w:left w:val="nil"/>
              <w:bottom w:val="single" w:sz="4" w:space="0" w:color="auto"/>
              <w:right w:val="single" w:sz="4" w:space="0" w:color="auto"/>
            </w:tcBorders>
            <w:shd w:val="clear" w:color="auto" w:fill="auto"/>
          </w:tcPr>
          <w:p w:rsidR="003314C8" w:rsidRPr="00386E1D" w:rsidRDefault="003314C8" w:rsidP="003314C8">
            <w:pPr>
              <w:jc w:val="center"/>
              <w:rPr>
                <w:b/>
                <w:bCs/>
                <w:sz w:val="16"/>
                <w:szCs w:val="16"/>
              </w:rPr>
            </w:pPr>
          </w:p>
        </w:tc>
        <w:tc>
          <w:tcPr>
            <w:tcW w:w="630" w:type="dxa"/>
            <w:tcBorders>
              <w:top w:val="nil"/>
              <w:left w:val="nil"/>
              <w:bottom w:val="single" w:sz="4" w:space="0" w:color="auto"/>
              <w:right w:val="single" w:sz="4" w:space="0" w:color="auto"/>
            </w:tcBorders>
            <w:shd w:val="clear" w:color="auto" w:fill="auto"/>
          </w:tcPr>
          <w:p w:rsidR="003314C8" w:rsidRPr="00386E1D" w:rsidRDefault="003314C8" w:rsidP="003314C8">
            <w:pPr>
              <w:jc w:val="center"/>
              <w:rPr>
                <w:b/>
                <w:bCs/>
                <w:sz w:val="16"/>
                <w:szCs w:val="16"/>
              </w:rPr>
            </w:pPr>
          </w:p>
        </w:tc>
      </w:tr>
      <w:tr w:rsidR="003314C8" w:rsidRPr="00386E1D">
        <w:trPr>
          <w:trHeight w:val="273"/>
        </w:trPr>
        <w:tc>
          <w:tcPr>
            <w:tcW w:w="2774" w:type="dxa"/>
            <w:tcBorders>
              <w:top w:val="nil"/>
              <w:left w:val="single" w:sz="4" w:space="0" w:color="auto"/>
              <w:bottom w:val="single" w:sz="4" w:space="0" w:color="auto"/>
              <w:right w:val="single" w:sz="4" w:space="0" w:color="auto"/>
            </w:tcBorders>
            <w:shd w:val="clear" w:color="auto" w:fill="auto"/>
            <w:noWrap/>
            <w:vAlign w:val="bottom"/>
          </w:tcPr>
          <w:p w:rsidR="003314C8" w:rsidRPr="00386E1D" w:rsidRDefault="003314C8" w:rsidP="003314C8">
            <w:pPr>
              <w:rPr>
                <w:i/>
                <w:iCs/>
                <w:sz w:val="16"/>
                <w:szCs w:val="16"/>
              </w:rPr>
            </w:pPr>
            <w:r>
              <w:rPr>
                <w:i/>
                <w:iCs/>
                <w:sz w:val="16"/>
                <w:szCs w:val="16"/>
              </w:rPr>
              <w:t xml:space="preserve">       --</w:t>
            </w:r>
            <w:r w:rsidRPr="00386E1D">
              <w:rPr>
                <w:i/>
                <w:iCs/>
                <w:sz w:val="16"/>
                <w:szCs w:val="16"/>
              </w:rPr>
              <w:t xml:space="preserve"> Interviews</w:t>
            </w:r>
          </w:p>
        </w:tc>
        <w:tc>
          <w:tcPr>
            <w:tcW w:w="571" w:type="dxa"/>
            <w:tcBorders>
              <w:top w:val="single" w:sz="4" w:space="0" w:color="auto"/>
              <w:left w:val="nil"/>
              <w:bottom w:val="single" w:sz="4" w:space="0" w:color="auto"/>
              <w:right w:val="single" w:sz="4" w:space="0" w:color="auto"/>
            </w:tcBorders>
            <w:shd w:val="clear" w:color="auto" w:fill="auto"/>
            <w:vAlign w:val="center"/>
          </w:tcPr>
          <w:p w:rsidR="003314C8" w:rsidRPr="00386E1D" w:rsidRDefault="003314C8" w:rsidP="003314C8">
            <w:pPr>
              <w:jc w:val="center"/>
              <w:rPr>
                <w:b/>
                <w:bCs/>
                <w:sz w:val="16"/>
                <w:szCs w:val="16"/>
              </w:rPr>
            </w:pPr>
            <w:r w:rsidRPr="00386E1D">
              <w:rPr>
                <w:b/>
                <w:bCs/>
                <w:sz w:val="16"/>
                <w:szCs w:val="16"/>
              </w:rPr>
              <w:t> </w:t>
            </w:r>
          </w:p>
        </w:tc>
        <w:tc>
          <w:tcPr>
            <w:tcW w:w="546" w:type="dxa"/>
            <w:tcBorders>
              <w:top w:val="nil"/>
              <w:left w:val="nil"/>
              <w:bottom w:val="single" w:sz="4" w:space="0" w:color="auto"/>
              <w:right w:val="single" w:sz="4" w:space="0" w:color="auto"/>
            </w:tcBorders>
            <w:shd w:val="clear" w:color="auto" w:fill="auto"/>
            <w:vAlign w:val="center"/>
          </w:tcPr>
          <w:p w:rsidR="003314C8" w:rsidRPr="00386E1D" w:rsidRDefault="003314C8" w:rsidP="003314C8">
            <w:pPr>
              <w:jc w:val="center"/>
              <w:rPr>
                <w:b/>
                <w:bCs/>
                <w:sz w:val="16"/>
                <w:szCs w:val="16"/>
              </w:rPr>
            </w:pPr>
            <w:r w:rsidRPr="00386E1D">
              <w:rPr>
                <w:b/>
                <w:bCs/>
                <w:sz w:val="16"/>
                <w:szCs w:val="16"/>
              </w:rPr>
              <w:t> </w:t>
            </w:r>
          </w:p>
        </w:tc>
        <w:tc>
          <w:tcPr>
            <w:tcW w:w="519" w:type="dxa"/>
            <w:tcBorders>
              <w:top w:val="nil"/>
              <w:left w:val="nil"/>
              <w:bottom w:val="single" w:sz="4" w:space="0" w:color="auto"/>
              <w:right w:val="single" w:sz="4" w:space="0" w:color="auto"/>
            </w:tcBorders>
            <w:shd w:val="clear" w:color="auto" w:fill="auto"/>
            <w:vAlign w:val="center"/>
          </w:tcPr>
          <w:p w:rsidR="003314C8" w:rsidRPr="00386E1D" w:rsidRDefault="003314C8" w:rsidP="003314C8">
            <w:pPr>
              <w:jc w:val="center"/>
              <w:rPr>
                <w:b/>
                <w:bCs/>
                <w:sz w:val="16"/>
                <w:szCs w:val="16"/>
              </w:rPr>
            </w:pPr>
            <w:r w:rsidRPr="00386E1D">
              <w:rPr>
                <w:b/>
                <w:bCs/>
                <w:sz w:val="16"/>
                <w:szCs w:val="16"/>
              </w:rPr>
              <w:t> </w:t>
            </w:r>
          </w:p>
        </w:tc>
        <w:tc>
          <w:tcPr>
            <w:tcW w:w="555" w:type="dxa"/>
            <w:tcBorders>
              <w:top w:val="nil"/>
              <w:left w:val="nil"/>
              <w:bottom w:val="single" w:sz="4" w:space="0" w:color="auto"/>
              <w:right w:val="single" w:sz="4" w:space="0" w:color="auto"/>
            </w:tcBorders>
            <w:shd w:val="clear" w:color="auto" w:fill="auto"/>
            <w:vAlign w:val="center"/>
          </w:tcPr>
          <w:p w:rsidR="003314C8" w:rsidRPr="00386E1D" w:rsidRDefault="003314C8" w:rsidP="003314C8">
            <w:pPr>
              <w:jc w:val="center"/>
              <w:rPr>
                <w:b/>
                <w:bCs/>
                <w:sz w:val="16"/>
                <w:szCs w:val="16"/>
              </w:rPr>
            </w:pPr>
            <w:r w:rsidRPr="00386E1D">
              <w:rPr>
                <w:b/>
                <w:bCs/>
                <w:sz w:val="16"/>
                <w:szCs w:val="16"/>
              </w:rPr>
              <w:t> </w:t>
            </w:r>
            <w:r>
              <w:rPr>
                <w:b/>
                <w:bCs/>
                <w:sz w:val="16"/>
                <w:szCs w:val="16"/>
              </w:rPr>
              <w:t>X</w:t>
            </w:r>
          </w:p>
        </w:tc>
        <w:tc>
          <w:tcPr>
            <w:tcW w:w="630" w:type="dxa"/>
            <w:tcBorders>
              <w:top w:val="nil"/>
              <w:left w:val="nil"/>
              <w:bottom w:val="single" w:sz="4" w:space="0" w:color="auto"/>
              <w:right w:val="single" w:sz="4" w:space="0" w:color="auto"/>
            </w:tcBorders>
            <w:shd w:val="clear" w:color="auto" w:fill="auto"/>
          </w:tcPr>
          <w:p w:rsidR="003314C8" w:rsidRPr="00386E1D" w:rsidRDefault="003314C8" w:rsidP="003314C8">
            <w:pPr>
              <w:jc w:val="center"/>
              <w:rPr>
                <w:b/>
                <w:bCs/>
                <w:sz w:val="16"/>
                <w:szCs w:val="16"/>
              </w:rPr>
            </w:pPr>
          </w:p>
        </w:tc>
        <w:tc>
          <w:tcPr>
            <w:tcW w:w="630" w:type="dxa"/>
            <w:tcBorders>
              <w:top w:val="nil"/>
              <w:left w:val="nil"/>
              <w:bottom w:val="single" w:sz="4" w:space="0" w:color="auto"/>
              <w:right w:val="single" w:sz="4" w:space="0" w:color="auto"/>
            </w:tcBorders>
            <w:shd w:val="clear" w:color="auto" w:fill="auto"/>
          </w:tcPr>
          <w:p w:rsidR="003314C8" w:rsidRPr="00386E1D" w:rsidRDefault="003314C8" w:rsidP="003314C8">
            <w:pPr>
              <w:jc w:val="center"/>
              <w:rPr>
                <w:b/>
                <w:bCs/>
                <w:sz w:val="16"/>
                <w:szCs w:val="16"/>
              </w:rPr>
            </w:pPr>
          </w:p>
        </w:tc>
        <w:tc>
          <w:tcPr>
            <w:tcW w:w="630" w:type="dxa"/>
            <w:tcBorders>
              <w:top w:val="nil"/>
              <w:left w:val="nil"/>
              <w:bottom w:val="single" w:sz="4" w:space="0" w:color="auto"/>
              <w:right w:val="single" w:sz="4" w:space="0" w:color="auto"/>
            </w:tcBorders>
            <w:shd w:val="clear" w:color="auto" w:fill="auto"/>
          </w:tcPr>
          <w:p w:rsidR="003314C8" w:rsidRPr="00386E1D" w:rsidRDefault="003314C8" w:rsidP="003314C8">
            <w:pPr>
              <w:jc w:val="center"/>
              <w:rPr>
                <w:b/>
                <w:bCs/>
                <w:sz w:val="16"/>
                <w:szCs w:val="16"/>
              </w:rPr>
            </w:pPr>
          </w:p>
        </w:tc>
        <w:tc>
          <w:tcPr>
            <w:tcW w:w="540" w:type="dxa"/>
            <w:tcBorders>
              <w:top w:val="nil"/>
              <w:left w:val="nil"/>
              <w:bottom w:val="single" w:sz="4" w:space="0" w:color="auto"/>
              <w:right w:val="single" w:sz="4" w:space="0" w:color="auto"/>
            </w:tcBorders>
            <w:shd w:val="clear" w:color="auto" w:fill="auto"/>
          </w:tcPr>
          <w:p w:rsidR="003314C8" w:rsidRPr="00386E1D" w:rsidRDefault="003314C8" w:rsidP="003314C8">
            <w:pPr>
              <w:jc w:val="center"/>
              <w:rPr>
                <w:b/>
                <w:bCs/>
                <w:sz w:val="16"/>
                <w:szCs w:val="16"/>
              </w:rPr>
            </w:pPr>
          </w:p>
        </w:tc>
        <w:tc>
          <w:tcPr>
            <w:tcW w:w="630" w:type="dxa"/>
            <w:tcBorders>
              <w:top w:val="nil"/>
              <w:left w:val="nil"/>
              <w:bottom w:val="single" w:sz="4" w:space="0" w:color="auto"/>
              <w:right w:val="single" w:sz="4" w:space="0" w:color="auto"/>
            </w:tcBorders>
            <w:shd w:val="clear" w:color="auto" w:fill="auto"/>
          </w:tcPr>
          <w:p w:rsidR="003314C8" w:rsidRPr="00386E1D" w:rsidRDefault="003314C8" w:rsidP="003314C8">
            <w:pPr>
              <w:jc w:val="center"/>
              <w:rPr>
                <w:b/>
                <w:bCs/>
                <w:sz w:val="16"/>
                <w:szCs w:val="16"/>
              </w:rPr>
            </w:pPr>
          </w:p>
        </w:tc>
      </w:tr>
      <w:tr w:rsidR="003314C8" w:rsidRPr="00386E1D">
        <w:trPr>
          <w:trHeight w:val="273"/>
        </w:trPr>
        <w:tc>
          <w:tcPr>
            <w:tcW w:w="2774" w:type="dxa"/>
            <w:tcBorders>
              <w:top w:val="nil"/>
              <w:left w:val="single" w:sz="4" w:space="0" w:color="auto"/>
              <w:bottom w:val="single" w:sz="4" w:space="0" w:color="auto"/>
              <w:right w:val="single" w:sz="4" w:space="0" w:color="auto"/>
            </w:tcBorders>
            <w:shd w:val="clear" w:color="auto" w:fill="auto"/>
            <w:noWrap/>
            <w:vAlign w:val="bottom"/>
          </w:tcPr>
          <w:p w:rsidR="003314C8" w:rsidRPr="00386E1D" w:rsidRDefault="003314C8" w:rsidP="003314C8">
            <w:pPr>
              <w:rPr>
                <w:i/>
                <w:iCs/>
                <w:sz w:val="16"/>
                <w:szCs w:val="16"/>
              </w:rPr>
            </w:pPr>
            <w:r w:rsidRPr="00386E1D">
              <w:rPr>
                <w:i/>
                <w:iCs/>
                <w:sz w:val="16"/>
                <w:szCs w:val="16"/>
              </w:rPr>
              <w:t xml:space="preserve">       --Analysis and generation of preliminary reports: </w:t>
            </w:r>
          </w:p>
        </w:tc>
        <w:tc>
          <w:tcPr>
            <w:tcW w:w="571" w:type="dxa"/>
            <w:tcBorders>
              <w:top w:val="nil"/>
              <w:left w:val="nil"/>
              <w:bottom w:val="single" w:sz="4" w:space="0" w:color="auto"/>
              <w:right w:val="single" w:sz="4" w:space="0" w:color="auto"/>
            </w:tcBorders>
            <w:shd w:val="clear" w:color="auto" w:fill="auto"/>
            <w:noWrap/>
            <w:vAlign w:val="bottom"/>
          </w:tcPr>
          <w:p w:rsidR="003314C8" w:rsidRPr="00386E1D" w:rsidRDefault="003314C8" w:rsidP="003314C8">
            <w:pPr>
              <w:rPr>
                <w:sz w:val="20"/>
                <w:szCs w:val="20"/>
              </w:rPr>
            </w:pPr>
            <w:r w:rsidRPr="00386E1D">
              <w:rPr>
                <w:sz w:val="20"/>
                <w:szCs w:val="20"/>
              </w:rPr>
              <w:t> </w:t>
            </w:r>
          </w:p>
        </w:tc>
        <w:tc>
          <w:tcPr>
            <w:tcW w:w="546" w:type="dxa"/>
            <w:tcBorders>
              <w:top w:val="nil"/>
              <w:left w:val="nil"/>
              <w:bottom w:val="single" w:sz="4" w:space="0" w:color="auto"/>
              <w:right w:val="single" w:sz="4" w:space="0" w:color="auto"/>
            </w:tcBorders>
            <w:shd w:val="clear" w:color="auto" w:fill="auto"/>
            <w:noWrap/>
            <w:vAlign w:val="bottom"/>
          </w:tcPr>
          <w:p w:rsidR="003314C8" w:rsidRPr="00602400" w:rsidRDefault="003314C8" w:rsidP="003314C8">
            <w:pPr>
              <w:jc w:val="center"/>
              <w:rPr>
                <w:b/>
                <w:bCs/>
                <w:sz w:val="16"/>
                <w:szCs w:val="16"/>
              </w:rPr>
            </w:pPr>
            <w:r w:rsidRPr="00602400">
              <w:rPr>
                <w:b/>
                <w:bCs/>
                <w:sz w:val="16"/>
                <w:szCs w:val="16"/>
              </w:rPr>
              <w:t> </w:t>
            </w:r>
          </w:p>
        </w:tc>
        <w:tc>
          <w:tcPr>
            <w:tcW w:w="519" w:type="dxa"/>
            <w:tcBorders>
              <w:top w:val="nil"/>
              <w:left w:val="nil"/>
              <w:bottom w:val="single" w:sz="4" w:space="0" w:color="auto"/>
              <w:right w:val="single" w:sz="4" w:space="0" w:color="auto"/>
            </w:tcBorders>
            <w:shd w:val="clear" w:color="auto" w:fill="auto"/>
            <w:noWrap/>
            <w:vAlign w:val="bottom"/>
          </w:tcPr>
          <w:p w:rsidR="003314C8" w:rsidRPr="00602400" w:rsidRDefault="003314C8" w:rsidP="003314C8">
            <w:pPr>
              <w:jc w:val="center"/>
              <w:rPr>
                <w:b/>
                <w:bCs/>
                <w:sz w:val="16"/>
                <w:szCs w:val="16"/>
              </w:rPr>
            </w:pPr>
            <w:r w:rsidRPr="00602400">
              <w:rPr>
                <w:b/>
                <w:bCs/>
                <w:sz w:val="16"/>
                <w:szCs w:val="16"/>
              </w:rPr>
              <w:t> </w:t>
            </w:r>
          </w:p>
        </w:tc>
        <w:tc>
          <w:tcPr>
            <w:tcW w:w="555" w:type="dxa"/>
            <w:tcBorders>
              <w:top w:val="nil"/>
              <w:left w:val="nil"/>
              <w:bottom w:val="single" w:sz="4" w:space="0" w:color="auto"/>
              <w:right w:val="single" w:sz="4" w:space="0" w:color="auto"/>
            </w:tcBorders>
            <w:shd w:val="clear" w:color="auto" w:fill="auto"/>
            <w:vAlign w:val="bottom"/>
          </w:tcPr>
          <w:p w:rsidR="003314C8" w:rsidRPr="00602400" w:rsidRDefault="003314C8" w:rsidP="003314C8">
            <w:pPr>
              <w:jc w:val="center"/>
              <w:rPr>
                <w:b/>
                <w:bCs/>
                <w:sz w:val="16"/>
                <w:szCs w:val="16"/>
              </w:rPr>
            </w:pPr>
            <w:r w:rsidRPr="00602400">
              <w:rPr>
                <w:b/>
                <w:bCs/>
                <w:sz w:val="16"/>
                <w:szCs w:val="16"/>
              </w:rPr>
              <w:t> </w:t>
            </w:r>
            <w:r>
              <w:rPr>
                <w:b/>
                <w:bCs/>
                <w:sz w:val="16"/>
                <w:szCs w:val="16"/>
              </w:rPr>
              <w:t>X</w:t>
            </w:r>
          </w:p>
        </w:tc>
        <w:tc>
          <w:tcPr>
            <w:tcW w:w="630" w:type="dxa"/>
            <w:tcBorders>
              <w:top w:val="nil"/>
              <w:left w:val="nil"/>
              <w:bottom w:val="single" w:sz="4" w:space="0" w:color="auto"/>
              <w:right w:val="single" w:sz="4" w:space="0" w:color="auto"/>
            </w:tcBorders>
            <w:shd w:val="clear" w:color="auto" w:fill="auto"/>
          </w:tcPr>
          <w:p w:rsidR="003314C8" w:rsidRPr="00602400" w:rsidRDefault="003314C8" w:rsidP="003314C8">
            <w:pPr>
              <w:rPr>
                <w:b/>
                <w:bCs/>
                <w:sz w:val="16"/>
                <w:szCs w:val="16"/>
              </w:rPr>
            </w:pPr>
          </w:p>
        </w:tc>
        <w:tc>
          <w:tcPr>
            <w:tcW w:w="630" w:type="dxa"/>
            <w:tcBorders>
              <w:top w:val="nil"/>
              <w:left w:val="nil"/>
              <w:bottom w:val="single" w:sz="4" w:space="0" w:color="auto"/>
              <w:right w:val="single" w:sz="4" w:space="0" w:color="auto"/>
            </w:tcBorders>
            <w:shd w:val="clear" w:color="auto" w:fill="auto"/>
          </w:tcPr>
          <w:p w:rsidR="003314C8" w:rsidRPr="00602400" w:rsidRDefault="003314C8" w:rsidP="003314C8">
            <w:pPr>
              <w:jc w:val="center"/>
              <w:rPr>
                <w:b/>
                <w:bCs/>
                <w:sz w:val="16"/>
                <w:szCs w:val="16"/>
              </w:rPr>
            </w:pPr>
          </w:p>
        </w:tc>
        <w:tc>
          <w:tcPr>
            <w:tcW w:w="630" w:type="dxa"/>
            <w:tcBorders>
              <w:top w:val="nil"/>
              <w:left w:val="nil"/>
              <w:bottom w:val="single" w:sz="4" w:space="0" w:color="auto"/>
              <w:right w:val="single" w:sz="4" w:space="0" w:color="auto"/>
            </w:tcBorders>
            <w:shd w:val="clear" w:color="auto" w:fill="auto"/>
          </w:tcPr>
          <w:p w:rsidR="003314C8" w:rsidRPr="00602400" w:rsidRDefault="003314C8" w:rsidP="003314C8">
            <w:pPr>
              <w:jc w:val="center"/>
              <w:rPr>
                <w:b/>
                <w:bCs/>
                <w:sz w:val="16"/>
                <w:szCs w:val="16"/>
              </w:rPr>
            </w:pPr>
          </w:p>
        </w:tc>
        <w:tc>
          <w:tcPr>
            <w:tcW w:w="540" w:type="dxa"/>
            <w:tcBorders>
              <w:top w:val="nil"/>
              <w:left w:val="nil"/>
              <w:bottom w:val="single" w:sz="4" w:space="0" w:color="auto"/>
              <w:right w:val="single" w:sz="4" w:space="0" w:color="auto"/>
            </w:tcBorders>
            <w:shd w:val="clear" w:color="auto" w:fill="auto"/>
          </w:tcPr>
          <w:p w:rsidR="003314C8" w:rsidRPr="00602400" w:rsidRDefault="003314C8" w:rsidP="003314C8">
            <w:pPr>
              <w:jc w:val="center"/>
              <w:rPr>
                <w:b/>
                <w:bCs/>
                <w:sz w:val="16"/>
                <w:szCs w:val="16"/>
              </w:rPr>
            </w:pPr>
          </w:p>
        </w:tc>
        <w:tc>
          <w:tcPr>
            <w:tcW w:w="630" w:type="dxa"/>
            <w:tcBorders>
              <w:top w:val="nil"/>
              <w:left w:val="nil"/>
              <w:bottom w:val="single" w:sz="4" w:space="0" w:color="auto"/>
              <w:right w:val="single" w:sz="4" w:space="0" w:color="auto"/>
            </w:tcBorders>
            <w:shd w:val="clear" w:color="auto" w:fill="auto"/>
          </w:tcPr>
          <w:p w:rsidR="003314C8" w:rsidRPr="00602400" w:rsidRDefault="003314C8" w:rsidP="003314C8">
            <w:pPr>
              <w:jc w:val="center"/>
              <w:rPr>
                <w:b/>
                <w:bCs/>
                <w:sz w:val="16"/>
                <w:szCs w:val="16"/>
              </w:rPr>
            </w:pPr>
          </w:p>
        </w:tc>
      </w:tr>
      <w:tr w:rsidR="003314C8" w:rsidRPr="00386E1D">
        <w:trPr>
          <w:trHeight w:val="289"/>
        </w:trPr>
        <w:tc>
          <w:tcPr>
            <w:tcW w:w="2774" w:type="dxa"/>
            <w:tcBorders>
              <w:top w:val="nil"/>
              <w:left w:val="single" w:sz="4" w:space="0" w:color="auto"/>
              <w:bottom w:val="single" w:sz="4" w:space="0" w:color="auto"/>
              <w:right w:val="single" w:sz="4" w:space="0" w:color="auto"/>
            </w:tcBorders>
            <w:shd w:val="clear" w:color="auto" w:fill="auto"/>
            <w:noWrap/>
            <w:vAlign w:val="bottom"/>
          </w:tcPr>
          <w:p w:rsidR="003314C8" w:rsidRPr="00386E1D" w:rsidRDefault="003314C8" w:rsidP="003314C8">
            <w:pPr>
              <w:rPr>
                <w:i/>
                <w:iCs/>
                <w:sz w:val="16"/>
                <w:szCs w:val="16"/>
              </w:rPr>
            </w:pPr>
            <w:r w:rsidRPr="00554DA9">
              <w:rPr>
                <w:sz w:val="16"/>
                <w:szCs w:val="16"/>
              </w:rPr>
              <w:t xml:space="preserve">Publication of measures on </w:t>
            </w:r>
            <w:r w:rsidRPr="00752ED8">
              <w:rPr>
                <w:i/>
                <w:sz w:val="16"/>
                <w:szCs w:val="16"/>
              </w:rPr>
              <w:t>Hospital Compare</w:t>
            </w:r>
          </w:p>
        </w:tc>
        <w:tc>
          <w:tcPr>
            <w:tcW w:w="571" w:type="dxa"/>
            <w:tcBorders>
              <w:top w:val="nil"/>
              <w:left w:val="nil"/>
              <w:bottom w:val="single" w:sz="4" w:space="0" w:color="auto"/>
              <w:right w:val="single" w:sz="4" w:space="0" w:color="auto"/>
            </w:tcBorders>
            <w:shd w:val="clear" w:color="auto" w:fill="auto"/>
            <w:noWrap/>
            <w:vAlign w:val="bottom"/>
          </w:tcPr>
          <w:p w:rsidR="003314C8" w:rsidRPr="00386E1D" w:rsidRDefault="003314C8" w:rsidP="003314C8">
            <w:pPr>
              <w:rPr>
                <w:sz w:val="20"/>
                <w:szCs w:val="20"/>
              </w:rPr>
            </w:pPr>
            <w:r w:rsidRPr="00386E1D">
              <w:rPr>
                <w:sz w:val="20"/>
                <w:szCs w:val="20"/>
              </w:rPr>
              <w:t> </w:t>
            </w:r>
          </w:p>
        </w:tc>
        <w:tc>
          <w:tcPr>
            <w:tcW w:w="546" w:type="dxa"/>
            <w:tcBorders>
              <w:top w:val="nil"/>
              <w:left w:val="nil"/>
              <w:bottom w:val="single" w:sz="4" w:space="0" w:color="auto"/>
              <w:right w:val="single" w:sz="4" w:space="0" w:color="auto"/>
            </w:tcBorders>
            <w:shd w:val="clear" w:color="auto" w:fill="auto"/>
            <w:noWrap/>
            <w:vAlign w:val="bottom"/>
          </w:tcPr>
          <w:p w:rsidR="003314C8" w:rsidRPr="00602400" w:rsidRDefault="003314C8" w:rsidP="003314C8">
            <w:pPr>
              <w:jc w:val="center"/>
              <w:rPr>
                <w:b/>
                <w:bCs/>
                <w:sz w:val="16"/>
                <w:szCs w:val="16"/>
              </w:rPr>
            </w:pPr>
            <w:r w:rsidRPr="00602400">
              <w:rPr>
                <w:b/>
                <w:bCs/>
                <w:sz w:val="16"/>
                <w:szCs w:val="16"/>
              </w:rPr>
              <w:t> </w:t>
            </w:r>
          </w:p>
        </w:tc>
        <w:tc>
          <w:tcPr>
            <w:tcW w:w="519" w:type="dxa"/>
            <w:tcBorders>
              <w:top w:val="nil"/>
              <w:left w:val="nil"/>
              <w:bottom w:val="single" w:sz="4" w:space="0" w:color="auto"/>
              <w:right w:val="single" w:sz="4" w:space="0" w:color="auto"/>
            </w:tcBorders>
            <w:shd w:val="clear" w:color="auto" w:fill="auto"/>
            <w:noWrap/>
            <w:vAlign w:val="bottom"/>
          </w:tcPr>
          <w:p w:rsidR="003314C8" w:rsidRPr="00602400" w:rsidRDefault="003314C8" w:rsidP="003314C8">
            <w:pPr>
              <w:jc w:val="center"/>
              <w:rPr>
                <w:b/>
                <w:bCs/>
                <w:sz w:val="16"/>
                <w:szCs w:val="16"/>
              </w:rPr>
            </w:pPr>
            <w:r w:rsidRPr="00602400">
              <w:rPr>
                <w:b/>
                <w:bCs/>
                <w:sz w:val="16"/>
                <w:szCs w:val="16"/>
              </w:rPr>
              <w:t> </w:t>
            </w:r>
          </w:p>
        </w:tc>
        <w:tc>
          <w:tcPr>
            <w:tcW w:w="555" w:type="dxa"/>
            <w:tcBorders>
              <w:top w:val="nil"/>
              <w:left w:val="nil"/>
              <w:bottom w:val="single" w:sz="4" w:space="0" w:color="auto"/>
              <w:right w:val="single" w:sz="4" w:space="0" w:color="auto"/>
            </w:tcBorders>
            <w:shd w:val="clear" w:color="auto" w:fill="auto"/>
            <w:vAlign w:val="bottom"/>
          </w:tcPr>
          <w:p w:rsidR="003314C8" w:rsidRPr="00602400" w:rsidRDefault="003314C8" w:rsidP="003314C8">
            <w:pPr>
              <w:jc w:val="center"/>
              <w:rPr>
                <w:b/>
                <w:bCs/>
                <w:sz w:val="16"/>
                <w:szCs w:val="16"/>
              </w:rPr>
            </w:pPr>
            <w:r w:rsidRPr="00602400">
              <w:rPr>
                <w:b/>
                <w:bCs/>
                <w:sz w:val="16"/>
                <w:szCs w:val="16"/>
              </w:rPr>
              <w:t> </w:t>
            </w:r>
          </w:p>
        </w:tc>
        <w:tc>
          <w:tcPr>
            <w:tcW w:w="630" w:type="dxa"/>
            <w:tcBorders>
              <w:top w:val="nil"/>
              <w:left w:val="nil"/>
              <w:bottom w:val="single" w:sz="4" w:space="0" w:color="auto"/>
              <w:right w:val="single" w:sz="4" w:space="0" w:color="auto"/>
            </w:tcBorders>
            <w:shd w:val="clear" w:color="auto" w:fill="auto"/>
          </w:tcPr>
          <w:p w:rsidR="003314C8" w:rsidRPr="00602400" w:rsidRDefault="003314C8" w:rsidP="003314C8">
            <w:pPr>
              <w:jc w:val="center"/>
              <w:rPr>
                <w:b/>
                <w:bCs/>
                <w:sz w:val="16"/>
                <w:szCs w:val="16"/>
              </w:rPr>
            </w:pPr>
          </w:p>
        </w:tc>
        <w:tc>
          <w:tcPr>
            <w:tcW w:w="630" w:type="dxa"/>
            <w:tcBorders>
              <w:top w:val="nil"/>
              <w:left w:val="nil"/>
              <w:bottom w:val="single" w:sz="4" w:space="0" w:color="auto"/>
              <w:right w:val="single" w:sz="4" w:space="0" w:color="auto"/>
            </w:tcBorders>
            <w:shd w:val="clear" w:color="auto" w:fill="auto"/>
          </w:tcPr>
          <w:p w:rsidR="003314C8" w:rsidRPr="00602400" w:rsidRDefault="003314C8" w:rsidP="003314C8">
            <w:pPr>
              <w:jc w:val="center"/>
              <w:rPr>
                <w:b/>
                <w:bCs/>
                <w:sz w:val="16"/>
                <w:szCs w:val="16"/>
              </w:rPr>
            </w:pPr>
          </w:p>
        </w:tc>
        <w:tc>
          <w:tcPr>
            <w:tcW w:w="630" w:type="dxa"/>
            <w:tcBorders>
              <w:top w:val="nil"/>
              <w:left w:val="nil"/>
              <w:bottom w:val="single" w:sz="4" w:space="0" w:color="auto"/>
              <w:right w:val="single" w:sz="4" w:space="0" w:color="auto"/>
            </w:tcBorders>
            <w:shd w:val="clear" w:color="auto" w:fill="auto"/>
          </w:tcPr>
          <w:p w:rsidR="003314C8" w:rsidRPr="00602400" w:rsidRDefault="003314C8" w:rsidP="003314C8">
            <w:pPr>
              <w:jc w:val="center"/>
              <w:rPr>
                <w:b/>
                <w:bCs/>
                <w:sz w:val="16"/>
                <w:szCs w:val="16"/>
              </w:rPr>
            </w:pPr>
          </w:p>
        </w:tc>
        <w:tc>
          <w:tcPr>
            <w:tcW w:w="540" w:type="dxa"/>
            <w:tcBorders>
              <w:top w:val="nil"/>
              <w:left w:val="nil"/>
              <w:bottom w:val="single" w:sz="4" w:space="0" w:color="auto"/>
              <w:right w:val="single" w:sz="4" w:space="0" w:color="auto"/>
            </w:tcBorders>
            <w:shd w:val="clear" w:color="auto" w:fill="auto"/>
          </w:tcPr>
          <w:p w:rsidR="003314C8" w:rsidRPr="00602400" w:rsidRDefault="003314C8" w:rsidP="003314C8">
            <w:pPr>
              <w:jc w:val="center"/>
              <w:rPr>
                <w:b/>
                <w:bCs/>
                <w:sz w:val="16"/>
                <w:szCs w:val="16"/>
              </w:rPr>
            </w:pPr>
          </w:p>
        </w:tc>
        <w:tc>
          <w:tcPr>
            <w:tcW w:w="630" w:type="dxa"/>
            <w:tcBorders>
              <w:top w:val="nil"/>
              <w:left w:val="nil"/>
              <w:bottom w:val="single" w:sz="4" w:space="0" w:color="auto"/>
              <w:right w:val="single" w:sz="4" w:space="0" w:color="auto"/>
            </w:tcBorders>
            <w:shd w:val="clear" w:color="auto" w:fill="auto"/>
          </w:tcPr>
          <w:p w:rsidR="003314C8" w:rsidRPr="00602400" w:rsidRDefault="003314C8" w:rsidP="003314C8">
            <w:pPr>
              <w:jc w:val="center"/>
              <w:rPr>
                <w:b/>
                <w:bCs/>
                <w:sz w:val="16"/>
                <w:szCs w:val="16"/>
              </w:rPr>
            </w:pPr>
            <w:r w:rsidRPr="00602400">
              <w:rPr>
                <w:b/>
                <w:bCs/>
                <w:sz w:val="16"/>
                <w:szCs w:val="16"/>
              </w:rPr>
              <w:t>X</w:t>
            </w:r>
          </w:p>
        </w:tc>
      </w:tr>
    </w:tbl>
    <w:p w:rsidR="003314C8" w:rsidRPr="00386E1D" w:rsidRDefault="003314C8" w:rsidP="003314C8">
      <w:pPr>
        <w:pStyle w:val="Heading2"/>
        <w:rPr>
          <w:rFonts w:ascii="Times New Roman" w:hAnsi="Times New Roman" w:cs="Times New Roman"/>
          <w:sz w:val="24"/>
        </w:rPr>
      </w:pPr>
      <w:bookmarkStart w:id="37" w:name="_Toc151782196"/>
      <w:bookmarkStart w:id="38" w:name="_Toc158526232"/>
      <w:r>
        <w:rPr>
          <w:rFonts w:ascii="Times New Roman" w:hAnsi="Times New Roman" w:cs="Times New Roman"/>
          <w:sz w:val="24"/>
        </w:rPr>
        <w:t>1</w:t>
      </w:r>
      <w:r w:rsidRPr="00386E1D">
        <w:rPr>
          <w:rFonts w:ascii="Times New Roman" w:hAnsi="Times New Roman" w:cs="Times New Roman"/>
          <w:sz w:val="24"/>
        </w:rPr>
        <w:t>7. Exemption for Display of Expiration Date</w:t>
      </w:r>
      <w:bookmarkEnd w:id="37"/>
      <w:bookmarkEnd w:id="38"/>
    </w:p>
    <w:p w:rsidR="003314C8" w:rsidRPr="00386E1D" w:rsidRDefault="003314C8" w:rsidP="003314C8">
      <w:r>
        <w:t>CMS</w:t>
      </w:r>
      <w:r w:rsidRPr="00386E1D">
        <w:t xml:space="preserve"> does not seek this exemption.</w:t>
      </w:r>
    </w:p>
    <w:p w:rsidR="003314C8" w:rsidRPr="00386E1D" w:rsidRDefault="003314C8" w:rsidP="003314C8">
      <w:pPr>
        <w:pStyle w:val="NormalWeb"/>
        <w:rPr>
          <w:b/>
        </w:rPr>
      </w:pPr>
      <w:r w:rsidRPr="00386E1D">
        <w:rPr>
          <w:b/>
        </w:rPr>
        <w:t>Attachments:</w:t>
      </w:r>
    </w:p>
    <w:p w:rsidR="003314C8" w:rsidRPr="00386E1D" w:rsidRDefault="003314C8" w:rsidP="003314C8">
      <w:pPr>
        <w:pStyle w:val="NormalWeb"/>
        <w:rPr>
          <w:sz w:val="20"/>
          <w:szCs w:val="20"/>
        </w:rPr>
      </w:pPr>
      <w:r>
        <w:rPr>
          <w:sz w:val="20"/>
          <w:szCs w:val="20"/>
        </w:rPr>
        <w:t xml:space="preserve">Attachment </w:t>
      </w:r>
      <w:proofErr w:type="gramStart"/>
      <w:r>
        <w:rPr>
          <w:sz w:val="20"/>
          <w:szCs w:val="20"/>
        </w:rPr>
        <w:t>A</w:t>
      </w:r>
      <w:proofErr w:type="gramEnd"/>
      <w:r>
        <w:rPr>
          <w:sz w:val="20"/>
          <w:szCs w:val="20"/>
        </w:rPr>
        <w:t xml:space="preserve"> –</w:t>
      </w:r>
      <w:r w:rsidRPr="00386E1D">
        <w:rPr>
          <w:sz w:val="20"/>
          <w:szCs w:val="20"/>
        </w:rPr>
        <w:t xml:space="preserve"> </w:t>
      </w:r>
      <w:r>
        <w:rPr>
          <w:sz w:val="20"/>
          <w:szCs w:val="20"/>
        </w:rPr>
        <w:t>CMS</w:t>
      </w:r>
      <w:r w:rsidRPr="00386E1D">
        <w:rPr>
          <w:sz w:val="20"/>
          <w:szCs w:val="20"/>
        </w:rPr>
        <w:t xml:space="preserve"> Authorizing Legislation</w:t>
      </w:r>
    </w:p>
    <w:p w:rsidR="003314C8" w:rsidRPr="00C515BD" w:rsidRDefault="003314C8" w:rsidP="003314C8">
      <w:pPr>
        <w:pStyle w:val="NormalWeb"/>
        <w:tabs>
          <w:tab w:val="left" w:pos="360"/>
        </w:tabs>
        <w:rPr>
          <w:sz w:val="20"/>
          <w:szCs w:val="20"/>
        </w:rPr>
      </w:pPr>
      <w:r w:rsidRPr="00C515BD">
        <w:rPr>
          <w:sz w:val="20"/>
          <w:szCs w:val="20"/>
        </w:rPr>
        <w:t xml:space="preserve">Attachment B </w:t>
      </w:r>
      <w:r>
        <w:rPr>
          <w:sz w:val="20"/>
          <w:szCs w:val="20"/>
        </w:rPr>
        <w:t>–</w:t>
      </w:r>
      <w:r w:rsidRPr="00C515BD">
        <w:rPr>
          <w:sz w:val="20"/>
          <w:szCs w:val="20"/>
        </w:rPr>
        <w:t xml:space="preserve"> Screening form</w:t>
      </w:r>
    </w:p>
    <w:p w:rsidR="003314C8" w:rsidRDefault="003314C8" w:rsidP="003314C8">
      <w:pPr>
        <w:pStyle w:val="NormalWeb"/>
        <w:tabs>
          <w:tab w:val="left" w:pos="360"/>
        </w:tabs>
        <w:rPr>
          <w:sz w:val="20"/>
          <w:szCs w:val="20"/>
        </w:rPr>
      </w:pPr>
      <w:r w:rsidRPr="00C515BD">
        <w:rPr>
          <w:sz w:val="20"/>
          <w:szCs w:val="20"/>
        </w:rPr>
        <w:t xml:space="preserve">Attachment C </w:t>
      </w:r>
      <w:r>
        <w:rPr>
          <w:sz w:val="20"/>
          <w:szCs w:val="20"/>
        </w:rPr>
        <w:t>–</w:t>
      </w:r>
      <w:r w:rsidRPr="00C515BD">
        <w:rPr>
          <w:sz w:val="20"/>
          <w:szCs w:val="20"/>
        </w:rPr>
        <w:t xml:space="preserve"> </w:t>
      </w:r>
      <w:r>
        <w:rPr>
          <w:sz w:val="20"/>
          <w:szCs w:val="20"/>
        </w:rPr>
        <w:t>Cognitive interview guides</w:t>
      </w:r>
    </w:p>
    <w:p w:rsidR="003314C8" w:rsidRPr="00AE7B8A" w:rsidRDefault="003314C8" w:rsidP="003314C8">
      <w:pPr>
        <w:pStyle w:val="NormalWeb"/>
        <w:numPr>
          <w:ilvl w:val="0"/>
          <w:numId w:val="46"/>
        </w:numPr>
        <w:tabs>
          <w:tab w:val="left" w:pos="360"/>
        </w:tabs>
        <w:rPr>
          <w:sz w:val="20"/>
          <w:szCs w:val="20"/>
        </w:rPr>
      </w:pPr>
      <w:r w:rsidRPr="00AE7B8A">
        <w:rPr>
          <w:sz w:val="20"/>
          <w:szCs w:val="20"/>
        </w:rPr>
        <w:t xml:space="preserve">For patients/caregivers </w:t>
      </w:r>
    </w:p>
    <w:p w:rsidR="003314C8" w:rsidRPr="00AE7B8A" w:rsidRDefault="003314C8" w:rsidP="003314C8">
      <w:pPr>
        <w:pStyle w:val="NormalWeb"/>
        <w:numPr>
          <w:ilvl w:val="0"/>
          <w:numId w:val="46"/>
        </w:numPr>
        <w:tabs>
          <w:tab w:val="left" w:pos="360"/>
        </w:tabs>
        <w:rPr>
          <w:sz w:val="20"/>
          <w:szCs w:val="20"/>
        </w:rPr>
      </w:pPr>
      <w:r w:rsidRPr="00AE7B8A">
        <w:rPr>
          <w:sz w:val="20"/>
          <w:szCs w:val="20"/>
        </w:rPr>
        <w:t>For professionals (e.g. primary care physicians and specialists)</w:t>
      </w:r>
    </w:p>
    <w:p w:rsidR="00662CE2" w:rsidRDefault="003314C8" w:rsidP="003314C8">
      <w:pPr>
        <w:pStyle w:val="NormalWeb"/>
        <w:tabs>
          <w:tab w:val="left" w:pos="360"/>
        </w:tabs>
        <w:rPr>
          <w:sz w:val="20"/>
          <w:szCs w:val="20"/>
        </w:rPr>
      </w:pPr>
      <w:r>
        <w:rPr>
          <w:sz w:val="20"/>
          <w:szCs w:val="20"/>
        </w:rPr>
        <w:t xml:space="preserve">Attachment D – </w:t>
      </w:r>
      <w:r w:rsidR="00662CE2">
        <w:rPr>
          <w:sz w:val="20"/>
          <w:szCs w:val="20"/>
        </w:rPr>
        <w:t>Mock-ups</w:t>
      </w:r>
    </w:p>
    <w:p w:rsidR="003314C8" w:rsidRDefault="00662CE2" w:rsidP="00662CE2">
      <w:pPr>
        <w:pStyle w:val="NormalWeb"/>
        <w:tabs>
          <w:tab w:val="left" w:pos="360"/>
        </w:tabs>
        <w:jc w:val="center"/>
        <w:rPr>
          <w:sz w:val="20"/>
          <w:szCs w:val="20"/>
        </w:rPr>
      </w:pPr>
      <w:r>
        <w:rPr>
          <w:sz w:val="20"/>
          <w:szCs w:val="20"/>
        </w:rPr>
        <w:br w:type="page"/>
      </w:r>
      <w:r>
        <w:rPr>
          <w:sz w:val="20"/>
          <w:szCs w:val="20"/>
        </w:rPr>
        <w:lastRenderedPageBreak/>
        <w:t>Attachment A</w:t>
      </w:r>
    </w:p>
    <w:p w:rsidR="00662CE2" w:rsidRDefault="00662CE2" w:rsidP="00662CE2">
      <w:pPr>
        <w:pStyle w:val="NormalWeb"/>
        <w:tabs>
          <w:tab w:val="left" w:pos="360"/>
        </w:tabs>
        <w:jc w:val="center"/>
        <w:rPr>
          <w:sz w:val="20"/>
          <w:szCs w:val="20"/>
        </w:rPr>
      </w:pPr>
      <w:r>
        <w:rPr>
          <w:sz w:val="20"/>
          <w:szCs w:val="20"/>
        </w:rPr>
        <w:br w:type="page"/>
      </w:r>
      <w:r>
        <w:rPr>
          <w:sz w:val="20"/>
          <w:szCs w:val="20"/>
        </w:rPr>
        <w:lastRenderedPageBreak/>
        <w:t>Attachment B</w:t>
      </w:r>
    </w:p>
    <w:p w:rsidR="00662CE2" w:rsidRDefault="00662CE2" w:rsidP="00662CE2">
      <w:pPr>
        <w:pStyle w:val="NormalWeb"/>
        <w:tabs>
          <w:tab w:val="left" w:pos="360"/>
        </w:tabs>
        <w:jc w:val="center"/>
        <w:rPr>
          <w:sz w:val="20"/>
          <w:szCs w:val="20"/>
        </w:rPr>
      </w:pPr>
      <w:r>
        <w:rPr>
          <w:sz w:val="20"/>
          <w:szCs w:val="20"/>
        </w:rPr>
        <w:br w:type="page"/>
      </w:r>
      <w:r>
        <w:rPr>
          <w:sz w:val="20"/>
          <w:szCs w:val="20"/>
        </w:rPr>
        <w:lastRenderedPageBreak/>
        <w:t>Attachment C</w:t>
      </w:r>
    </w:p>
    <w:p w:rsidR="00662CE2" w:rsidRDefault="00662CE2" w:rsidP="00662CE2">
      <w:pPr>
        <w:pStyle w:val="NormalWeb"/>
        <w:tabs>
          <w:tab w:val="left" w:pos="360"/>
        </w:tabs>
        <w:jc w:val="center"/>
        <w:rPr>
          <w:sz w:val="20"/>
          <w:szCs w:val="20"/>
        </w:rPr>
      </w:pPr>
      <w:r>
        <w:rPr>
          <w:sz w:val="20"/>
          <w:szCs w:val="20"/>
        </w:rPr>
        <w:br w:type="page"/>
      </w:r>
      <w:r>
        <w:rPr>
          <w:sz w:val="20"/>
          <w:szCs w:val="20"/>
        </w:rPr>
        <w:lastRenderedPageBreak/>
        <w:t>Attachment D</w:t>
      </w:r>
    </w:p>
    <w:p w:rsidR="00662CE2" w:rsidRDefault="00662CE2" w:rsidP="00662CE2">
      <w:pPr>
        <w:pStyle w:val="NormalWeb"/>
        <w:tabs>
          <w:tab w:val="left" w:pos="360"/>
        </w:tabs>
        <w:jc w:val="center"/>
        <w:rPr>
          <w:sz w:val="20"/>
          <w:szCs w:val="20"/>
        </w:rPr>
      </w:pPr>
    </w:p>
    <w:p w:rsidR="00662CE2" w:rsidRDefault="00662CE2" w:rsidP="00662CE2">
      <w:pPr>
        <w:pStyle w:val="NormalWeb"/>
        <w:tabs>
          <w:tab w:val="left" w:pos="360"/>
        </w:tabs>
        <w:jc w:val="center"/>
        <w:rPr>
          <w:sz w:val="20"/>
          <w:szCs w:val="20"/>
        </w:rPr>
      </w:pPr>
      <w:r>
        <w:rPr>
          <w:sz w:val="20"/>
          <w:szCs w:val="20"/>
        </w:rPr>
        <w:br w:type="page"/>
      </w:r>
      <w:r>
        <w:rPr>
          <w:sz w:val="20"/>
          <w:szCs w:val="20"/>
        </w:rPr>
        <w:lastRenderedPageBreak/>
        <w:t>Attachment E</w:t>
      </w:r>
    </w:p>
    <w:p w:rsidR="003314C8" w:rsidRPr="00386E1D" w:rsidRDefault="003314C8" w:rsidP="003314C8">
      <w:pPr>
        <w:pStyle w:val="NormalWeb"/>
        <w:tabs>
          <w:tab w:val="left" w:pos="360"/>
        </w:tabs>
      </w:pPr>
      <w:r w:rsidRPr="00386E1D">
        <w:tab/>
      </w:r>
    </w:p>
    <w:sectPr w:rsidR="003314C8" w:rsidRPr="00386E1D" w:rsidSect="003314C8">
      <w:headerReference w:type="even" r:id="rId7"/>
      <w:headerReference w:type="default" r:id="rId8"/>
      <w:footerReference w:type="even" r:id="rId9"/>
      <w:footerReference w:type="default" r:id="rId10"/>
      <w:headerReference w:type="first" r:id="rId11"/>
      <w:footerReference w:type="first" r:id="rId12"/>
      <w:endnotePr>
        <w:numFmt w:val="decimal"/>
      </w:endnotePr>
      <w:pgSz w:w="12240" w:h="15840"/>
      <w:pgMar w:top="1440" w:right="1800" w:bottom="1267" w:left="1440" w:header="720" w:footer="720" w:gutter="0"/>
      <w:pgNumType w:fmt="numberInDash"/>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10FA" w:rsidRDefault="002C10FA">
      <w:r>
        <w:separator/>
      </w:r>
    </w:p>
  </w:endnote>
  <w:endnote w:type="continuationSeparator" w:id="0">
    <w:p w:rsidR="002C10FA" w:rsidRDefault="002C10FA">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Futura MdCn BT">
    <w:altName w:val="Arial Narrow"/>
    <w:charset w:val="00"/>
    <w:family w:val="swiss"/>
    <w:pitch w:val="variable"/>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513E" w:rsidRDefault="00954989" w:rsidP="003314C8">
    <w:pPr>
      <w:pStyle w:val="Footer"/>
      <w:framePr w:wrap="around" w:vAnchor="text" w:hAnchor="margin" w:xAlign="center" w:y="1"/>
      <w:rPr>
        <w:rStyle w:val="PageNumber"/>
      </w:rPr>
    </w:pPr>
    <w:r>
      <w:rPr>
        <w:rStyle w:val="PageNumber"/>
      </w:rPr>
      <w:fldChar w:fldCharType="begin"/>
    </w:r>
    <w:r w:rsidR="00B4513E">
      <w:rPr>
        <w:rStyle w:val="PageNumber"/>
      </w:rPr>
      <w:instrText xml:space="preserve">PAGE  </w:instrText>
    </w:r>
    <w:r>
      <w:rPr>
        <w:rStyle w:val="PageNumber"/>
      </w:rPr>
      <w:fldChar w:fldCharType="end"/>
    </w:r>
  </w:p>
  <w:p w:rsidR="00B4513E" w:rsidRDefault="00B4513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380B" w:rsidRDefault="00F8380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380B" w:rsidRDefault="00F8380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10FA" w:rsidRDefault="002C10FA">
      <w:r>
        <w:separator/>
      </w:r>
    </w:p>
  </w:footnote>
  <w:footnote w:type="continuationSeparator" w:id="0">
    <w:p w:rsidR="002C10FA" w:rsidRDefault="002C10F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380B" w:rsidRDefault="00F8380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380B" w:rsidRDefault="00F8380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380B" w:rsidRDefault="00F8380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374F8"/>
    <w:multiLevelType w:val="hybridMultilevel"/>
    <w:tmpl w:val="1B525974"/>
    <w:lvl w:ilvl="0" w:tplc="04090005">
      <w:start w:val="1"/>
      <w:numFmt w:val="bullet"/>
      <w:lvlText w:val=""/>
      <w:lvlJc w:val="left"/>
      <w:pPr>
        <w:tabs>
          <w:tab w:val="num" w:pos="612"/>
        </w:tabs>
        <w:ind w:left="612" w:hanging="360"/>
      </w:pPr>
      <w:rPr>
        <w:rFonts w:ascii="Wingdings" w:hAnsi="Wingdings" w:hint="default"/>
      </w:rPr>
    </w:lvl>
    <w:lvl w:ilvl="1" w:tplc="04090003" w:tentative="1">
      <w:start w:val="1"/>
      <w:numFmt w:val="bullet"/>
      <w:lvlText w:val="o"/>
      <w:lvlJc w:val="left"/>
      <w:pPr>
        <w:tabs>
          <w:tab w:val="num" w:pos="1332"/>
        </w:tabs>
        <w:ind w:left="1332" w:hanging="360"/>
      </w:pPr>
      <w:rPr>
        <w:rFonts w:ascii="Courier New" w:hAnsi="Courier New" w:cs="Arial" w:hint="default"/>
      </w:rPr>
    </w:lvl>
    <w:lvl w:ilvl="2" w:tplc="04090005" w:tentative="1">
      <w:start w:val="1"/>
      <w:numFmt w:val="bullet"/>
      <w:lvlText w:val=""/>
      <w:lvlJc w:val="left"/>
      <w:pPr>
        <w:tabs>
          <w:tab w:val="num" w:pos="2052"/>
        </w:tabs>
        <w:ind w:left="2052" w:hanging="360"/>
      </w:pPr>
      <w:rPr>
        <w:rFonts w:ascii="Wingdings" w:hAnsi="Wingdings" w:hint="default"/>
      </w:rPr>
    </w:lvl>
    <w:lvl w:ilvl="3" w:tplc="04090001" w:tentative="1">
      <w:start w:val="1"/>
      <w:numFmt w:val="bullet"/>
      <w:lvlText w:val=""/>
      <w:lvlJc w:val="left"/>
      <w:pPr>
        <w:tabs>
          <w:tab w:val="num" w:pos="2772"/>
        </w:tabs>
        <w:ind w:left="2772" w:hanging="360"/>
      </w:pPr>
      <w:rPr>
        <w:rFonts w:ascii="Symbol" w:hAnsi="Symbol" w:hint="default"/>
      </w:rPr>
    </w:lvl>
    <w:lvl w:ilvl="4" w:tplc="04090003" w:tentative="1">
      <w:start w:val="1"/>
      <w:numFmt w:val="bullet"/>
      <w:lvlText w:val="o"/>
      <w:lvlJc w:val="left"/>
      <w:pPr>
        <w:tabs>
          <w:tab w:val="num" w:pos="3492"/>
        </w:tabs>
        <w:ind w:left="3492" w:hanging="360"/>
      </w:pPr>
      <w:rPr>
        <w:rFonts w:ascii="Courier New" w:hAnsi="Courier New" w:cs="Arial" w:hint="default"/>
      </w:rPr>
    </w:lvl>
    <w:lvl w:ilvl="5" w:tplc="04090005" w:tentative="1">
      <w:start w:val="1"/>
      <w:numFmt w:val="bullet"/>
      <w:lvlText w:val=""/>
      <w:lvlJc w:val="left"/>
      <w:pPr>
        <w:tabs>
          <w:tab w:val="num" w:pos="4212"/>
        </w:tabs>
        <w:ind w:left="4212" w:hanging="360"/>
      </w:pPr>
      <w:rPr>
        <w:rFonts w:ascii="Wingdings" w:hAnsi="Wingdings" w:hint="default"/>
      </w:rPr>
    </w:lvl>
    <w:lvl w:ilvl="6" w:tplc="04090001" w:tentative="1">
      <w:start w:val="1"/>
      <w:numFmt w:val="bullet"/>
      <w:lvlText w:val=""/>
      <w:lvlJc w:val="left"/>
      <w:pPr>
        <w:tabs>
          <w:tab w:val="num" w:pos="4932"/>
        </w:tabs>
        <w:ind w:left="4932" w:hanging="360"/>
      </w:pPr>
      <w:rPr>
        <w:rFonts w:ascii="Symbol" w:hAnsi="Symbol" w:hint="default"/>
      </w:rPr>
    </w:lvl>
    <w:lvl w:ilvl="7" w:tplc="04090003" w:tentative="1">
      <w:start w:val="1"/>
      <w:numFmt w:val="bullet"/>
      <w:lvlText w:val="o"/>
      <w:lvlJc w:val="left"/>
      <w:pPr>
        <w:tabs>
          <w:tab w:val="num" w:pos="5652"/>
        </w:tabs>
        <w:ind w:left="5652" w:hanging="360"/>
      </w:pPr>
      <w:rPr>
        <w:rFonts w:ascii="Courier New" w:hAnsi="Courier New" w:cs="Arial" w:hint="default"/>
      </w:rPr>
    </w:lvl>
    <w:lvl w:ilvl="8" w:tplc="04090005" w:tentative="1">
      <w:start w:val="1"/>
      <w:numFmt w:val="bullet"/>
      <w:lvlText w:val=""/>
      <w:lvlJc w:val="left"/>
      <w:pPr>
        <w:tabs>
          <w:tab w:val="num" w:pos="6372"/>
        </w:tabs>
        <w:ind w:left="6372" w:hanging="360"/>
      </w:pPr>
      <w:rPr>
        <w:rFonts w:ascii="Wingdings" w:hAnsi="Wingdings" w:hint="default"/>
      </w:rPr>
    </w:lvl>
  </w:abstractNum>
  <w:abstractNum w:abstractNumId="1">
    <w:nsid w:val="02B206E1"/>
    <w:multiLevelType w:val="hybridMultilevel"/>
    <w:tmpl w:val="26AA8D38"/>
    <w:lvl w:ilvl="0" w:tplc="0409000F">
      <w:start w:val="1"/>
      <w:numFmt w:val="decimal"/>
      <w:lvlText w:val="%1."/>
      <w:lvlJc w:val="left"/>
      <w:pPr>
        <w:tabs>
          <w:tab w:val="num" w:pos="720"/>
        </w:tabs>
        <w:ind w:left="720" w:hanging="360"/>
      </w:pPr>
      <w:rPr>
        <w:rFonts w:hint="default"/>
        <w:sz w:val="16"/>
        <w:szCs w:val="16"/>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5CB7504"/>
    <w:multiLevelType w:val="multilevel"/>
    <w:tmpl w:val="D97C213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09496388"/>
    <w:multiLevelType w:val="multilevel"/>
    <w:tmpl w:val="53A8D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A505E3B"/>
    <w:multiLevelType w:val="hybridMultilevel"/>
    <w:tmpl w:val="728854C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A9E6DFB"/>
    <w:multiLevelType w:val="multilevel"/>
    <w:tmpl w:val="FA60D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37774D0"/>
    <w:multiLevelType w:val="multilevel"/>
    <w:tmpl w:val="5F4ED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39D1012"/>
    <w:multiLevelType w:val="hybridMultilevel"/>
    <w:tmpl w:val="F522BD54"/>
    <w:lvl w:ilvl="0" w:tplc="FFFFFFFF">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nsid w:val="14454594"/>
    <w:multiLevelType w:val="multilevel"/>
    <w:tmpl w:val="C8528428"/>
    <w:lvl w:ilvl="0">
      <w:start w:val="1"/>
      <w:numFmt w:val="bullet"/>
      <w:lvlText w:val=""/>
      <w:lvlJc w:val="left"/>
      <w:pPr>
        <w:tabs>
          <w:tab w:val="num" w:pos="1080"/>
        </w:tabs>
        <w:ind w:left="108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18A10292"/>
    <w:multiLevelType w:val="hybridMultilevel"/>
    <w:tmpl w:val="B1FA664C"/>
    <w:lvl w:ilvl="0" w:tplc="0409000B">
      <w:start w:val="1"/>
      <w:numFmt w:val="bullet"/>
      <w:lvlText w:val=""/>
      <w:lvlJc w:val="left"/>
      <w:pPr>
        <w:tabs>
          <w:tab w:val="num" w:pos="612"/>
        </w:tabs>
        <w:ind w:left="612" w:hanging="360"/>
      </w:pPr>
      <w:rPr>
        <w:rFonts w:ascii="Wingdings" w:hAnsi="Wingdings" w:hint="default"/>
      </w:rPr>
    </w:lvl>
    <w:lvl w:ilvl="1" w:tplc="04090003" w:tentative="1">
      <w:start w:val="1"/>
      <w:numFmt w:val="bullet"/>
      <w:lvlText w:val="o"/>
      <w:lvlJc w:val="left"/>
      <w:pPr>
        <w:tabs>
          <w:tab w:val="num" w:pos="1332"/>
        </w:tabs>
        <w:ind w:left="1332" w:hanging="360"/>
      </w:pPr>
      <w:rPr>
        <w:rFonts w:ascii="Courier New" w:hAnsi="Courier New" w:cs="Arial" w:hint="default"/>
      </w:rPr>
    </w:lvl>
    <w:lvl w:ilvl="2" w:tplc="04090005" w:tentative="1">
      <w:start w:val="1"/>
      <w:numFmt w:val="bullet"/>
      <w:lvlText w:val=""/>
      <w:lvlJc w:val="left"/>
      <w:pPr>
        <w:tabs>
          <w:tab w:val="num" w:pos="2052"/>
        </w:tabs>
        <w:ind w:left="2052" w:hanging="360"/>
      </w:pPr>
      <w:rPr>
        <w:rFonts w:ascii="Wingdings" w:hAnsi="Wingdings" w:hint="default"/>
      </w:rPr>
    </w:lvl>
    <w:lvl w:ilvl="3" w:tplc="04090001" w:tentative="1">
      <w:start w:val="1"/>
      <w:numFmt w:val="bullet"/>
      <w:lvlText w:val=""/>
      <w:lvlJc w:val="left"/>
      <w:pPr>
        <w:tabs>
          <w:tab w:val="num" w:pos="2772"/>
        </w:tabs>
        <w:ind w:left="2772" w:hanging="360"/>
      </w:pPr>
      <w:rPr>
        <w:rFonts w:ascii="Symbol" w:hAnsi="Symbol" w:hint="default"/>
      </w:rPr>
    </w:lvl>
    <w:lvl w:ilvl="4" w:tplc="04090003" w:tentative="1">
      <w:start w:val="1"/>
      <w:numFmt w:val="bullet"/>
      <w:lvlText w:val="o"/>
      <w:lvlJc w:val="left"/>
      <w:pPr>
        <w:tabs>
          <w:tab w:val="num" w:pos="3492"/>
        </w:tabs>
        <w:ind w:left="3492" w:hanging="360"/>
      </w:pPr>
      <w:rPr>
        <w:rFonts w:ascii="Courier New" w:hAnsi="Courier New" w:cs="Arial" w:hint="default"/>
      </w:rPr>
    </w:lvl>
    <w:lvl w:ilvl="5" w:tplc="04090005" w:tentative="1">
      <w:start w:val="1"/>
      <w:numFmt w:val="bullet"/>
      <w:lvlText w:val=""/>
      <w:lvlJc w:val="left"/>
      <w:pPr>
        <w:tabs>
          <w:tab w:val="num" w:pos="4212"/>
        </w:tabs>
        <w:ind w:left="4212" w:hanging="360"/>
      </w:pPr>
      <w:rPr>
        <w:rFonts w:ascii="Wingdings" w:hAnsi="Wingdings" w:hint="default"/>
      </w:rPr>
    </w:lvl>
    <w:lvl w:ilvl="6" w:tplc="04090001" w:tentative="1">
      <w:start w:val="1"/>
      <w:numFmt w:val="bullet"/>
      <w:lvlText w:val=""/>
      <w:lvlJc w:val="left"/>
      <w:pPr>
        <w:tabs>
          <w:tab w:val="num" w:pos="4932"/>
        </w:tabs>
        <w:ind w:left="4932" w:hanging="360"/>
      </w:pPr>
      <w:rPr>
        <w:rFonts w:ascii="Symbol" w:hAnsi="Symbol" w:hint="default"/>
      </w:rPr>
    </w:lvl>
    <w:lvl w:ilvl="7" w:tplc="04090003" w:tentative="1">
      <w:start w:val="1"/>
      <w:numFmt w:val="bullet"/>
      <w:lvlText w:val="o"/>
      <w:lvlJc w:val="left"/>
      <w:pPr>
        <w:tabs>
          <w:tab w:val="num" w:pos="5652"/>
        </w:tabs>
        <w:ind w:left="5652" w:hanging="360"/>
      </w:pPr>
      <w:rPr>
        <w:rFonts w:ascii="Courier New" w:hAnsi="Courier New" w:cs="Arial" w:hint="default"/>
      </w:rPr>
    </w:lvl>
    <w:lvl w:ilvl="8" w:tplc="04090005" w:tentative="1">
      <w:start w:val="1"/>
      <w:numFmt w:val="bullet"/>
      <w:lvlText w:val=""/>
      <w:lvlJc w:val="left"/>
      <w:pPr>
        <w:tabs>
          <w:tab w:val="num" w:pos="6372"/>
        </w:tabs>
        <w:ind w:left="6372" w:hanging="360"/>
      </w:pPr>
      <w:rPr>
        <w:rFonts w:ascii="Wingdings" w:hAnsi="Wingdings" w:hint="default"/>
      </w:rPr>
    </w:lvl>
  </w:abstractNum>
  <w:abstractNum w:abstractNumId="10">
    <w:nsid w:val="19C95FA7"/>
    <w:multiLevelType w:val="multilevel"/>
    <w:tmpl w:val="C25CF97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23F2283D"/>
    <w:multiLevelType w:val="hybridMultilevel"/>
    <w:tmpl w:val="210293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2A995858"/>
    <w:multiLevelType w:val="hybridMultilevel"/>
    <w:tmpl w:val="45E014AC"/>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E4181A"/>
    <w:multiLevelType w:val="multilevel"/>
    <w:tmpl w:val="C186A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E7340B4"/>
    <w:multiLevelType w:val="hybridMultilevel"/>
    <w:tmpl w:val="84F0745A"/>
    <w:lvl w:ilvl="0" w:tplc="A560F8A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3A6C79A8"/>
    <w:multiLevelType w:val="hybridMultilevel"/>
    <w:tmpl w:val="5D74BB30"/>
    <w:lvl w:ilvl="0" w:tplc="96A831B0">
      <w:start w:val="1"/>
      <w:numFmt w:val="bullet"/>
      <w:lvlText w:val=""/>
      <w:lvlJc w:val="left"/>
      <w:pPr>
        <w:tabs>
          <w:tab w:val="num" w:pos="360"/>
        </w:tabs>
        <w:ind w:left="360" w:hanging="288"/>
      </w:pPr>
      <w:rPr>
        <w:rFonts w:ascii="Wingdings" w:hAnsi="Wingdings" w:hint="default"/>
      </w:rPr>
    </w:lvl>
    <w:lvl w:ilvl="1" w:tplc="04090003" w:tentative="1">
      <w:start w:val="1"/>
      <w:numFmt w:val="bullet"/>
      <w:lvlText w:val="o"/>
      <w:lvlJc w:val="left"/>
      <w:pPr>
        <w:tabs>
          <w:tab w:val="num" w:pos="1332"/>
        </w:tabs>
        <w:ind w:left="1332" w:hanging="360"/>
      </w:pPr>
      <w:rPr>
        <w:rFonts w:ascii="Courier New" w:hAnsi="Courier New" w:cs="Arial" w:hint="default"/>
      </w:rPr>
    </w:lvl>
    <w:lvl w:ilvl="2" w:tplc="04090005" w:tentative="1">
      <w:start w:val="1"/>
      <w:numFmt w:val="bullet"/>
      <w:lvlText w:val=""/>
      <w:lvlJc w:val="left"/>
      <w:pPr>
        <w:tabs>
          <w:tab w:val="num" w:pos="2052"/>
        </w:tabs>
        <w:ind w:left="2052" w:hanging="360"/>
      </w:pPr>
      <w:rPr>
        <w:rFonts w:ascii="Wingdings" w:hAnsi="Wingdings" w:hint="default"/>
      </w:rPr>
    </w:lvl>
    <w:lvl w:ilvl="3" w:tplc="04090001" w:tentative="1">
      <w:start w:val="1"/>
      <w:numFmt w:val="bullet"/>
      <w:lvlText w:val=""/>
      <w:lvlJc w:val="left"/>
      <w:pPr>
        <w:tabs>
          <w:tab w:val="num" w:pos="2772"/>
        </w:tabs>
        <w:ind w:left="2772" w:hanging="360"/>
      </w:pPr>
      <w:rPr>
        <w:rFonts w:ascii="Symbol" w:hAnsi="Symbol" w:hint="default"/>
      </w:rPr>
    </w:lvl>
    <w:lvl w:ilvl="4" w:tplc="04090003" w:tentative="1">
      <w:start w:val="1"/>
      <w:numFmt w:val="bullet"/>
      <w:lvlText w:val="o"/>
      <w:lvlJc w:val="left"/>
      <w:pPr>
        <w:tabs>
          <w:tab w:val="num" w:pos="3492"/>
        </w:tabs>
        <w:ind w:left="3492" w:hanging="360"/>
      </w:pPr>
      <w:rPr>
        <w:rFonts w:ascii="Courier New" w:hAnsi="Courier New" w:cs="Arial" w:hint="default"/>
      </w:rPr>
    </w:lvl>
    <w:lvl w:ilvl="5" w:tplc="04090005" w:tentative="1">
      <w:start w:val="1"/>
      <w:numFmt w:val="bullet"/>
      <w:lvlText w:val=""/>
      <w:lvlJc w:val="left"/>
      <w:pPr>
        <w:tabs>
          <w:tab w:val="num" w:pos="4212"/>
        </w:tabs>
        <w:ind w:left="4212" w:hanging="360"/>
      </w:pPr>
      <w:rPr>
        <w:rFonts w:ascii="Wingdings" w:hAnsi="Wingdings" w:hint="default"/>
      </w:rPr>
    </w:lvl>
    <w:lvl w:ilvl="6" w:tplc="04090001" w:tentative="1">
      <w:start w:val="1"/>
      <w:numFmt w:val="bullet"/>
      <w:lvlText w:val=""/>
      <w:lvlJc w:val="left"/>
      <w:pPr>
        <w:tabs>
          <w:tab w:val="num" w:pos="4932"/>
        </w:tabs>
        <w:ind w:left="4932" w:hanging="360"/>
      </w:pPr>
      <w:rPr>
        <w:rFonts w:ascii="Symbol" w:hAnsi="Symbol" w:hint="default"/>
      </w:rPr>
    </w:lvl>
    <w:lvl w:ilvl="7" w:tplc="04090003" w:tentative="1">
      <w:start w:val="1"/>
      <w:numFmt w:val="bullet"/>
      <w:lvlText w:val="o"/>
      <w:lvlJc w:val="left"/>
      <w:pPr>
        <w:tabs>
          <w:tab w:val="num" w:pos="5652"/>
        </w:tabs>
        <w:ind w:left="5652" w:hanging="360"/>
      </w:pPr>
      <w:rPr>
        <w:rFonts w:ascii="Courier New" w:hAnsi="Courier New" w:cs="Arial" w:hint="default"/>
      </w:rPr>
    </w:lvl>
    <w:lvl w:ilvl="8" w:tplc="04090005" w:tentative="1">
      <w:start w:val="1"/>
      <w:numFmt w:val="bullet"/>
      <w:lvlText w:val=""/>
      <w:lvlJc w:val="left"/>
      <w:pPr>
        <w:tabs>
          <w:tab w:val="num" w:pos="6372"/>
        </w:tabs>
        <w:ind w:left="6372" w:hanging="360"/>
      </w:pPr>
      <w:rPr>
        <w:rFonts w:ascii="Wingdings" w:hAnsi="Wingdings" w:hint="default"/>
      </w:rPr>
    </w:lvl>
  </w:abstractNum>
  <w:abstractNum w:abstractNumId="16">
    <w:nsid w:val="3FCB150C"/>
    <w:multiLevelType w:val="hybridMultilevel"/>
    <w:tmpl w:val="4F0871CA"/>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nsid w:val="43A84015"/>
    <w:multiLevelType w:val="multilevel"/>
    <w:tmpl w:val="5BDA3C8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4478778B"/>
    <w:multiLevelType w:val="multilevel"/>
    <w:tmpl w:val="C8528428"/>
    <w:lvl w:ilvl="0">
      <w:start w:val="1"/>
      <w:numFmt w:val="bullet"/>
      <w:lvlText w:val=""/>
      <w:lvlJc w:val="left"/>
      <w:pPr>
        <w:tabs>
          <w:tab w:val="num" w:pos="1080"/>
        </w:tabs>
        <w:ind w:left="108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4554684E"/>
    <w:multiLevelType w:val="multilevel"/>
    <w:tmpl w:val="1B525974"/>
    <w:lvl w:ilvl="0">
      <w:start w:val="1"/>
      <w:numFmt w:val="bullet"/>
      <w:lvlText w:val=""/>
      <w:lvlJc w:val="left"/>
      <w:pPr>
        <w:tabs>
          <w:tab w:val="num" w:pos="612"/>
        </w:tabs>
        <w:ind w:left="612" w:hanging="360"/>
      </w:pPr>
      <w:rPr>
        <w:rFonts w:ascii="Wingdings" w:hAnsi="Wingdings" w:hint="default"/>
      </w:rPr>
    </w:lvl>
    <w:lvl w:ilvl="1">
      <w:start w:val="1"/>
      <w:numFmt w:val="bullet"/>
      <w:lvlText w:val="o"/>
      <w:lvlJc w:val="left"/>
      <w:pPr>
        <w:tabs>
          <w:tab w:val="num" w:pos="1332"/>
        </w:tabs>
        <w:ind w:left="1332" w:hanging="360"/>
      </w:pPr>
      <w:rPr>
        <w:rFonts w:ascii="Courier New" w:hAnsi="Courier New" w:cs="Arial" w:hint="default"/>
      </w:rPr>
    </w:lvl>
    <w:lvl w:ilvl="2">
      <w:start w:val="1"/>
      <w:numFmt w:val="bullet"/>
      <w:lvlText w:val=""/>
      <w:lvlJc w:val="left"/>
      <w:pPr>
        <w:tabs>
          <w:tab w:val="num" w:pos="2052"/>
        </w:tabs>
        <w:ind w:left="2052" w:hanging="360"/>
      </w:pPr>
      <w:rPr>
        <w:rFonts w:ascii="Wingdings" w:hAnsi="Wingdings" w:hint="default"/>
      </w:rPr>
    </w:lvl>
    <w:lvl w:ilvl="3">
      <w:start w:val="1"/>
      <w:numFmt w:val="bullet"/>
      <w:lvlText w:val=""/>
      <w:lvlJc w:val="left"/>
      <w:pPr>
        <w:tabs>
          <w:tab w:val="num" w:pos="2772"/>
        </w:tabs>
        <w:ind w:left="2772" w:hanging="360"/>
      </w:pPr>
      <w:rPr>
        <w:rFonts w:ascii="Symbol" w:hAnsi="Symbol" w:hint="default"/>
      </w:rPr>
    </w:lvl>
    <w:lvl w:ilvl="4">
      <w:start w:val="1"/>
      <w:numFmt w:val="bullet"/>
      <w:lvlText w:val="o"/>
      <w:lvlJc w:val="left"/>
      <w:pPr>
        <w:tabs>
          <w:tab w:val="num" w:pos="3492"/>
        </w:tabs>
        <w:ind w:left="3492" w:hanging="360"/>
      </w:pPr>
      <w:rPr>
        <w:rFonts w:ascii="Courier New" w:hAnsi="Courier New" w:cs="Arial" w:hint="default"/>
      </w:rPr>
    </w:lvl>
    <w:lvl w:ilvl="5">
      <w:start w:val="1"/>
      <w:numFmt w:val="bullet"/>
      <w:lvlText w:val=""/>
      <w:lvlJc w:val="left"/>
      <w:pPr>
        <w:tabs>
          <w:tab w:val="num" w:pos="4212"/>
        </w:tabs>
        <w:ind w:left="4212" w:hanging="360"/>
      </w:pPr>
      <w:rPr>
        <w:rFonts w:ascii="Wingdings" w:hAnsi="Wingdings" w:hint="default"/>
      </w:rPr>
    </w:lvl>
    <w:lvl w:ilvl="6">
      <w:start w:val="1"/>
      <w:numFmt w:val="bullet"/>
      <w:lvlText w:val=""/>
      <w:lvlJc w:val="left"/>
      <w:pPr>
        <w:tabs>
          <w:tab w:val="num" w:pos="4932"/>
        </w:tabs>
        <w:ind w:left="4932" w:hanging="360"/>
      </w:pPr>
      <w:rPr>
        <w:rFonts w:ascii="Symbol" w:hAnsi="Symbol" w:hint="default"/>
      </w:rPr>
    </w:lvl>
    <w:lvl w:ilvl="7">
      <w:start w:val="1"/>
      <w:numFmt w:val="bullet"/>
      <w:lvlText w:val="o"/>
      <w:lvlJc w:val="left"/>
      <w:pPr>
        <w:tabs>
          <w:tab w:val="num" w:pos="5652"/>
        </w:tabs>
        <w:ind w:left="5652" w:hanging="360"/>
      </w:pPr>
      <w:rPr>
        <w:rFonts w:ascii="Courier New" w:hAnsi="Courier New" w:cs="Arial" w:hint="default"/>
      </w:rPr>
    </w:lvl>
    <w:lvl w:ilvl="8">
      <w:start w:val="1"/>
      <w:numFmt w:val="bullet"/>
      <w:lvlText w:val=""/>
      <w:lvlJc w:val="left"/>
      <w:pPr>
        <w:tabs>
          <w:tab w:val="num" w:pos="6372"/>
        </w:tabs>
        <w:ind w:left="6372" w:hanging="360"/>
      </w:pPr>
      <w:rPr>
        <w:rFonts w:ascii="Wingdings" w:hAnsi="Wingdings" w:hint="default"/>
      </w:rPr>
    </w:lvl>
  </w:abstractNum>
  <w:abstractNum w:abstractNumId="20">
    <w:nsid w:val="46667916"/>
    <w:multiLevelType w:val="multilevel"/>
    <w:tmpl w:val="049AD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7041F9E"/>
    <w:multiLevelType w:val="multilevel"/>
    <w:tmpl w:val="2D8842A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nsid w:val="49F33B4B"/>
    <w:multiLevelType w:val="multilevel"/>
    <w:tmpl w:val="D0FA8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DCE0BA3"/>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24">
    <w:nsid w:val="4F7E52AA"/>
    <w:multiLevelType w:val="multilevel"/>
    <w:tmpl w:val="3196989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nsid w:val="532F7261"/>
    <w:multiLevelType w:val="multilevel"/>
    <w:tmpl w:val="ABFC6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58D543A"/>
    <w:multiLevelType w:val="multilevel"/>
    <w:tmpl w:val="05E0D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5FA2574"/>
    <w:multiLevelType w:val="hybridMultilevel"/>
    <w:tmpl w:val="0A1E8A72"/>
    <w:lvl w:ilvl="0" w:tplc="0409000B">
      <w:start w:val="1"/>
      <w:numFmt w:val="bullet"/>
      <w:lvlText w:val=""/>
      <w:lvlJc w:val="left"/>
      <w:pPr>
        <w:tabs>
          <w:tab w:val="num" w:pos="1080"/>
        </w:tabs>
        <w:ind w:left="1080" w:hanging="360"/>
      </w:pPr>
      <w:rPr>
        <w:rFonts w:ascii="Wingdings" w:hAnsi="Wingdings" w:hint="default"/>
        <w:color w:val="auto"/>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nsid w:val="59420C78"/>
    <w:multiLevelType w:val="singleLevel"/>
    <w:tmpl w:val="3AECE62C"/>
    <w:lvl w:ilvl="0">
      <w:start w:val="1"/>
      <w:numFmt w:val="bullet"/>
      <w:pStyle w:val="TableSmallBullets"/>
      <w:lvlText w:val=""/>
      <w:lvlJc w:val="left"/>
      <w:pPr>
        <w:tabs>
          <w:tab w:val="num" w:pos="360"/>
        </w:tabs>
        <w:ind w:left="360" w:hanging="360"/>
      </w:pPr>
      <w:rPr>
        <w:rFonts w:ascii="Symbol" w:hAnsi="Symbol" w:hint="default"/>
        <w:sz w:val="20"/>
      </w:rPr>
    </w:lvl>
  </w:abstractNum>
  <w:abstractNum w:abstractNumId="29">
    <w:nsid w:val="59A84710"/>
    <w:multiLevelType w:val="multilevel"/>
    <w:tmpl w:val="B1FA664C"/>
    <w:lvl w:ilvl="0">
      <w:start w:val="1"/>
      <w:numFmt w:val="bullet"/>
      <w:lvlText w:val=""/>
      <w:lvlJc w:val="left"/>
      <w:pPr>
        <w:tabs>
          <w:tab w:val="num" w:pos="612"/>
        </w:tabs>
        <w:ind w:left="612" w:hanging="360"/>
      </w:pPr>
      <w:rPr>
        <w:rFonts w:ascii="Wingdings" w:hAnsi="Wingdings" w:hint="default"/>
      </w:rPr>
    </w:lvl>
    <w:lvl w:ilvl="1">
      <w:start w:val="1"/>
      <w:numFmt w:val="bullet"/>
      <w:lvlText w:val="o"/>
      <w:lvlJc w:val="left"/>
      <w:pPr>
        <w:tabs>
          <w:tab w:val="num" w:pos="1332"/>
        </w:tabs>
        <w:ind w:left="1332" w:hanging="360"/>
      </w:pPr>
      <w:rPr>
        <w:rFonts w:ascii="Courier New" w:hAnsi="Courier New" w:cs="Arial" w:hint="default"/>
      </w:rPr>
    </w:lvl>
    <w:lvl w:ilvl="2">
      <w:start w:val="1"/>
      <w:numFmt w:val="bullet"/>
      <w:lvlText w:val=""/>
      <w:lvlJc w:val="left"/>
      <w:pPr>
        <w:tabs>
          <w:tab w:val="num" w:pos="2052"/>
        </w:tabs>
        <w:ind w:left="2052" w:hanging="360"/>
      </w:pPr>
      <w:rPr>
        <w:rFonts w:ascii="Wingdings" w:hAnsi="Wingdings" w:hint="default"/>
      </w:rPr>
    </w:lvl>
    <w:lvl w:ilvl="3">
      <w:start w:val="1"/>
      <w:numFmt w:val="bullet"/>
      <w:lvlText w:val=""/>
      <w:lvlJc w:val="left"/>
      <w:pPr>
        <w:tabs>
          <w:tab w:val="num" w:pos="2772"/>
        </w:tabs>
        <w:ind w:left="2772" w:hanging="360"/>
      </w:pPr>
      <w:rPr>
        <w:rFonts w:ascii="Symbol" w:hAnsi="Symbol" w:hint="default"/>
      </w:rPr>
    </w:lvl>
    <w:lvl w:ilvl="4">
      <w:start w:val="1"/>
      <w:numFmt w:val="bullet"/>
      <w:lvlText w:val="o"/>
      <w:lvlJc w:val="left"/>
      <w:pPr>
        <w:tabs>
          <w:tab w:val="num" w:pos="3492"/>
        </w:tabs>
        <w:ind w:left="3492" w:hanging="360"/>
      </w:pPr>
      <w:rPr>
        <w:rFonts w:ascii="Courier New" w:hAnsi="Courier New" w:cs="Arial" w:hint="default"/>
      </w:rPr>
    </w:lvl>
    <w:lvl w:ilvl="5">
      <w:start w:val="1"/>
      <w:numFmt w:val="bullet"/>
      <w:lvlText w:val=""/>
      <w:lvlJc w:val="left"/>
      <w:pPr>
        <w:tabs>
          <w:tab w:val="num" w:pos="4212"/>
        </w:tabs>
        <w:ind w:left="4212" w:hanging="360"/>
      </w:pPr>
      <w:rPr>
        <w:rFonts w:ascii="Wingdings" w:hAnsi="Wingdings" w:hint="default"/>
      </w:rPr>
    </w:lvl>
    <w:lvl w:ilvl="6">
      <w:start w:val="1"/>
      <w:numFmt w:val="bullet"/>
      <w:lvlText w:val=""/>
      <w:lvlJc w:val="left"/>
      <w:pPr>
        <w:tabs>
          <w:tab w:val="num" w:pos="4932"/>
        </w:tabs>
        <w:ind w:left="4932" w:hanging="360"/>
      </w:pPr>
      <w:rPr>
        <w:rFonts w:ascii="Symbol" w:hAnsi="Symbol" w:hint="default"/>
      </w:rPr>
    </w:lvl>
    <w:lvl w:ilvl="7">
      <w:start w:val="1"/>
      <w:numFmt w:val="bullet"/>
      <w:lvlText w:val="o"/>
      <w:lvlJc w:val="left"/>
      <w:pPr>
        <w:tabs>
          <w:tab w:val="num" w:pos="5652"/>
        </w:tabs>
        <w:ind w:left="5652" w:hanging="360"/>
      </w:pPr>
      <w:rPr>
        <w:rFonts w:ascii="Courier New" w:hAnsi="Courier New" w:cs="Arial" w:hint="default"/>
      </w:rPr>
    </w:lvl>
    <w:lvl w:ilvl="8">
      <w:start w:val="1"/>
      <w:numFmt w:val="bullet"/>
      <w:lvlText w:val=""/>
      <w:lvlJc w:val="left"/>
      <w:pPr>
        <w:tabs>
          <w:tab w:val="num" w:pos="6372"/>
        </w:tabs>
        <w:ind w:left="6372" w:hanging="360"/>
      </w:pPr>
      <w:rPr>
        <w:rFonts w:ascii="Wingdings" w:hAnsi="Wingdings" w:hint="default"/>
      </w:rPr>
    </w:lvl>
  </w:abstractNum>
  <w:abstractNum w:abstractNumId="30">
    <w:nsid w:val="5A606CBB"/>
    <w:multiLevelType w:val="hybridMultilevel"/>
    <w:tmpl w:val="14D8E0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5B7C70DA"/>
    <w:multiLevelType w:val="multilevel"/>
    <w:tmpl w:val="04090021"/>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2">
    <w:nsid w:val="5C6F5C57"/>
    <w:multiLevelType w:val="multilevel"/>
    <w:tmpl w:val="8E165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DD73910"/>
    <w:multiLevelType w:val="hybridMultilevel"/>
    <w:tmpl w:val="8E9ED684"/>
    <w:lvl w:ilvl="0" w:tplc="FFFFFFFF">
      <w:start w:val="1"/>
      <w:numFmt w:val="bullet"/>
      <w:lvlText w:val=""/>
      <w:lvlJc w:val="left"/>
      <w:pPr>
        <w:tabs>
          <w:tab w:val="num" w:pos="720"/>
        </w:tabs>
        <w:ind w:left="720" w:hanging="360"/>
      </w:pPr>
      <w:rPr>
        <w:rFonts w:ascii="Wingdings" w:hAnsi="Wingdings" w:hint="default"/>
      </w:rPr>
    </w:lvl>
    <w:lvl w:ilvl="1" w:tplc="0409000B">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4">
    <w:nsid w:val="624A77AD"/>
    <w:multiLevelType w:val="hybridMultilevel"/>
    <w:tmpl w:val="EF94B6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626875F0"/>
    <w:multiLevelType w:val="hybridMultilevel"/>
    <w:tmpl w:val="42BCA01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66731647"/>
    <w:multiLevelType w:val="multilevel"/>
    <w:tmpl w:val="96827912"/>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37">
    <w:nsid w:val="66EE7FE3"/>
    <w:multiLevelType w:val="hybridMultilevel"/>
    <w:tmpl w:val="FD2E7ECC"/>
    <w:lvl w:ilvl="0" w:tplc="FFFFFFFF">
      <w:start w:val="1"/>
      <w:numFmt w:val="bullet"/>
      <w:lvlText w:val=""/>
      <w:lvlJc w:val="left"/>
      <w:pPr>
        <w:tabs>
          <w:tab w:val="num" w:pos="720"/>
        </w:tabs>
        <w:ind w:left="720" w:hanging="360"/>
      </w:pPr>
      <w:rPr>
        <w:rFonts w:ascii="Symbol" w:hAnsi="Symbol" w:hint="default"/>
        <w:color w:val="auto"/>
      </w:rPr>
    </w:lvl>
    <w:lvl w:ilvl="1" w:tplc="FFFFFFFF" w:tentative="1">
      <w:start w:val="1"/>
      <w:numFmt w:val="bullet"/>
      <w:lvlText w:val="o"/>
      <w:lvlJc w:val="left"/>
      <w:pPr>
        <w:tabs>
          <w:tab w:val="num" w:pos="1800"/>
        </w:tabs>
        <w:ind w:left="1800" w:hanging="360"/>
      </w:pPr>
      <w:rPr>
        <w:rFonts w:ascii="Courier New" w:hAnsi="Courier New" w:cs="Arial"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Arial"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Arial"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8">
    <w:nsid w:val="6C507C82"/>
    <w:multiLevelType w:val="hybridMultilevel"/>
    <w:tmpl w:val="CF964A98"/>
    <w:lvl w:ilvl="0" w:tplc="96A831B0">
      <w:start w:val="1"/>
      <w:numFmt w:val="bullet"/>
      <w:lvlText w:val=""/>
      <w:lvlJc w:val="left"/>
      <w:pPr>
        <w:tabs>
          <w:tab w:val="num" w:pos="360"/>
        </w:tabs>
        <w:ind w:left="360"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6CC76F3C"/>
    <w:multiLevelType w:val="multilevel"/>
    <w:tmpl w:val="61E02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0467CC2"/>
    <w:multiLevelType w:val="hybridMultilevel"/>
    <w:tmpl w:val="DD965748"/>
    <w:lvl w:ilvl="0" w:tplc="0409000B">
      <w:start w:val="1"/>
      <w:numFmt w:val="bullet"/>
      <w:lvlText w:val=""/>
      <w:lvlJc w:val="left"/>
      <w:pPr>
        <w:tabs>
          <w:tab w:val="num" w:pos="1080"/>
        </w:tabs>
        <w:ind w:left="1080" w:hanging="360"/>
      </w:pPr>
      <w:rPr>
        <w:rFonts w:ascii="Wingdings" w:hAnsi="Wingdings" w:hint="default"/>
        <w:color w:val="auto"/>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1">
    <w:nsid w:val="71773900"/>
    <w:multiLevelType w:val="hybridMultilevel"/>
    <w:tmpl w:val="AB0C5916"/>
    <w:lvl w:ilvl="0" w:tplc="96A831B0">
      <w:start w:val="1"/>
      <w:numFmt w:val="bullet"/>
      <w:lvlText w:val=""/>
      <w:lvlJc w:val="left"/>
      <w:pPr>
        <w:tabs>
          <w:tab w:val="num" w:pos="360"/>
        </w:tabs>
        <w:ind w:left="360"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739D2F89"/>
    <w:multiLevelType w:val="hybridMultilevel"/>
    <w:tmpl w:val="C8528428"/>
    <w:lvl w:ilvl="0" w:tplc="FFFFFFFF">
      <w:start w:val="1"/>
      <w:numFmt w:val="bullet"/>
      <w:lvlText w:val=""/>
      <w:lvlJc w:val="left"/>
      <w:pPr>
        <w:tabs>
          <w:tab w:val="num" w:pos="1080"/>
        </w:tabs>
        <w:ind w:left="1080"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3">
    <w:nsid w:val="74077470"/>
    <w:multiLevelType w:val="hybridMultilevel"/>
    <w:tmpl w:val="6AF24C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C8836DA"/>
    <w:multiLevelType w:val="hybridMultilevel"/>
    <w:tmpl w:val="1DC69BC0"/>
    <w:lvl w:ilvl="0" w:tplc="D9E81D0E">
      <w:start w:val="1"/>
      <w:numFmt w:val="decimal"/>
      <w:lvlText w:val="%1."/>
      <w:lvlJc w:val="left"/>
      <w:pPr>
        <w:tabs>
          <w:tab w:val="num" w:pos="720"/>
        </w:tabs>
        <w:ind w:left="720" w:hanging="360"/>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7D5C030C"/>
    <w:multiLevelType w:val="singleLevel"/>
    <w:tmpl w:val="A23EA040"/>
    <w:lvl w:ilvl="0">
      <w:start w:val="1"/>
      <w:numFmt w:val="bullet"/>
      <w:pStyle w:val="BulletLevel1"/>
      <w:lvlText w:val=""/>
      <w:lvlJc w:val="left"/>
      <w:pPr>
        <w:tabs>
          <w:tab w:val="num" w:pos="360"/>
        </w:tabs>
        <w:ind w:left="360" w:hanging="360"/>
      </w:pPr>
      <w:rPr>
        <w:rFonts w:ascii="Symbol" w:hAnsi="Symbol" w:hint="default"/>
        <w:sz w:val="24"/>
      </w:rPr>
    </w:lvl>
  </w:abstractNum>
  <w:abstractNum w:abstractNumId="46">
    <w:nsid w:val="7DEF18BF"/>
    <w:multiLevelType w:val="hybridMultilevel"/>
    <w:tmpl w:val="0F70BD80"/>
    <w:lvl w:ilvl="0" w:tplc="96A831B0">
      <w:start w:val="1"/>
      <w:numFmt w:val="bullet"/>
      <w:lvlText w:val=""/>
      <w:lvlJc w:val="left"/>
      <w:pPr>
        <w:tabs>
          <w:tab w:val="num" w:pos="360"/>
        </w:tabs>
        <w:ind w:left="360"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3"/>
  </w:num>
  <w:num w:numId="6">
    <w:abstractNumId w:val="45"/>
  </w:num>
  <w:num w:numId="7">
    <w:abstractNumId w:val="35"/>
  </w:num>
  <w:num w:numId="8">
    <w:abstractNumId w:val="31"/>
  </w:num>
  <w:num w:numId="9">
    <w:abstractNumId w:val="34"/>
  </w:num>
  <w:num w:numId="10">
    <w:abstractNumId w:val="12"/>
  </w:num>
  <w:num w:numId="11">
    <w:abstractNumId w:val="30"/>
  </w:num>
  <w:num w:numId="12">
    <w:abstractNumId w:val="44"/>
  </w:num>
  <w:num w:numId="13">
    <w:abstractNumId w:val="7"/>
  </w:num>
  <w:num w:numId="14">
    <w:abstractNumId w:val="16"/>
  </w:num>
  <w:num w:numId="15">
    <w:abstractNumId w:val="28"/>
  </w:num>
  <w:num w:numId="16">
    <w:abstractNumId w:val="42"/>
  </w:num>
  <w:num w:numId="17">
    <w:abstractNumId w:val="37"/>
  </w:num>
  <w:num w:numId="18">
    <w:abstractNumId w:val="18"/>
  </w:num>
  <w:num w:numId="19">
    <w:abstractNumId w:val="27"/>
  </w:num>
  <w:num w:numId="20">
    <w:abstractNumId w:val="8"/>
  </w:num>
  <w:num w:numId="21">
    <w:abstractNumId w:val="40"/>
  </w:num>
  <w:num w:numId="22">
    <w:abstractNumId w:val="1"/>
  </w:num>
  <w:num w:numId="23">
    <w:abstractNumId w:val="36"/>
  </w:num>
  <w:num w:numId="24">
    <w:abstractNumId w:val="33"/>
  </w:num>
  <w:num w:numId="25">
    <w:abstractNumId w:val="4"/>
  </w:num>
  <w:num w:numId="26">
    <w:abstractNumId w:val="9"/>
  </w:num>
  <w:num w:numId="27">
    <w:abstractNumId w:val="29"/>
  </w:num>
  <w:num w:numId="28">
    <w:abstractNumId w:val="0"/>
  </w:num>
  <w:num w:numId="29">
    <w:abstractNumId w:val="19"/>
  </w:num>
  <w:num w:numId="30">
    <w:abstractNumId w:val="15"/>
  </w:num>
  <w:num w:numId="31">
    <w:abstractNumId w:val="41"/>
  </w:num>
  <w:num w:numId="32">
    <w:abstractNumId w:val="38"/>
  </w:num>
  <w:num w:numId="33">
    <w:abstractNumId w:val="46"/>
  </w:num>
  <w:num w:numId="34">
    <w:abstractNumId w:val="20"/>
  </w:num>
  <w:num w:numId="35">
    <w:abstractNumId w:val="26"/>
  </w:num>
  <w:num w:numId="36">
    <w:abstractNumId w:val="21"/>
  </w:num>
  <w:num w:numId="37">
    <w:abstractNumId w:val="32"/>
  </w:num>
  <w:num w:numId="38">
    <w:abstractNumId w:val="13"/>
  </w:num>
  <w:num w:numId="39">
    <w:abstractNumId w:val="3"/>
  </w:num>
  <w:num w:numId="40">
    <w:abstractNumId w:val="25"/>
  </w:num>
  <w:num w:numId="41">
    <w:abstractNumId w:val="5"/>
  </w:num>
  <w:num w:numId="42">
    <w:abstractNumId w:val="6"/>
  </w:num>
  <w:num w:numId="43">
    <w:abstractNumId w:val="22"/>
  </w:num>
  <w:num w:numId="44">
    <w:abstractNumId w:val="39"/>
  </w:num>
  <w:num w:numId="45">
    <w:abstractNumId w:val="14"/>
  </w:num>
  <w:num w:numId="46">
    <w:abstractNumId w:val="43"/>
  </w:num>
  <w:num w:numId="47">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removePersonalInformation/>
  <w:removeDateAndTime/>
  <w:proofState w:spelling="clean" w:grammar="clean"/>
  <w:stylePaneFormatFilter w:val="3F01"/>
  <w:trackRevisions/>
  <w:defaultTabStop w:val="720"/>
  <w:noPunctuationKerning/>
  <w:characterSpacingControl w:val="doNotCompress"/>
  <w:hdrShapeDefaults>
    <o:shapedefaults v:ext="edit" spidmax="11265"/>
  </w:hdrShapeDefaults>
  <w:footnotePr>
    <w:footnote w:id="-1"/>
    <w:footnote w:id="0"/>
  </w:footnotePr>
  <w:endnotePr>
    <w:numFmt w:val="decimal"/>
    <w:endnote w:id="-1"/>
    <w:endnote w:id="0"/>
  </w:endnotePr>
  <w:compat/>
  <w:docVars>
    <w:docVar w:name="EN.InstantFormat" w:val="⒈⺲ֽڽ֪ࡕ࣢۴ڑך֮מױ۰݆ܯەࠧܜ孀͉ӾϞř捣݆ܯەࠧܜ豈җӾϞ捣"/>
    <w:docVar w:name="EN.Layout" w:val="C:\Documents and Settings\matsuoka_k\Local Settings\Temporary Internet Files\Content.MSO\14B347C2.tmp 书书뿅˓_x000A_怀ꪪᦚက怀홦⇔㯀㯁렀ϵ＀＀ƚ͔耀憚ƚ"/>
    <w:docVar w:name="EN.Libraries" w:val="⒈⺲ֽڽ֪ࡕ࣢۴ڑך֮מױ۰݆ܯەࠧܜ孀͉ӾϞř捣݆ܯەࠧܜ豈җӾϞ捣η飄η餄η饄η馄η駄η騄η驄η骄η髄η鬄η魄η鮄η鯄η鰄η鱄η"/>
  </w:docVars>
  <w:rsids>
    <w:rsidRoot w:val="00873F74"/>
    <w:rsid w:val="00062A8B"/>
    <w:rsid w:val="000F0BBE"/>
    <w:rsid w:val="00160C1B"/>
    <w:rsid w:val="002176B5"/>
    <w:rsid w:val="00260EA3"/>
    <w:rsid w:val="002B28D6"/>
    <w:rsid w:val="002C10FA"/>
    <w:rsid w:val="002E66A4"/>
    <w:rsid w:val="003314C8"/>
    <w:rsid w:val="003B520F"/>
    <w:rsid w:val="00401F6E"/>
    <w:rsid w:val="004E4782"/>
    <w:rsid w:val="005C1E7D"/>
    <w:rsid w:val="006011E5"/>
    <w:rsid w:val="00630806"/>
    <w:rsid w:val="00662CE2"/>
    <w:rsid w:val="00753303"/>
    <w:rsid w:val="0078429B"/>
    <w:rsid w:val="00791626"/>
    <w:rsid w:val="00794CB3"/>
    <w:rsid w:val="007C2325"/>
    <w:rsid w:val="007D5735"/>
    <w:rsid w:val="00863F4C"/>
    <w:rsid w:val="00873F74"/>
    <w:rsid w:val="00954989"/>
    <w:rsid w:val="009743A9"/>
    <w:rsid w:val="009E0E09"/>
    <w:rsid w:val="00B4513E"/>
    <w:rsid w:val="00B572A3"/>
    <w:rsid w:val="00DA76F3"/>
    <w:rsid w:val="00E118B1"/>
    <w:rsid w:val="00F433B3"/>
    <w:rsid w:val="00F8380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E4159A"/>
    <w:rPr>
      <w:sz w:val="24"/>
      <w:szCs w:val="24"/>
    </w:rPr>
  </w:style>
  <w:style w:type="paragraph" w:styleId="Heading1">
    <w:name w:val="heading 1"/>
    <w:basedOn w:val="Normal"/>
    <w:next w:val="Normal"/>
    <w:qFormat/>
    <w:rsid w:val="0098363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98363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412C6F"/>
    <w:pPr>
      <w:keepNext/>
      <w:spacing w:before="240" w:after="60"/>
      <w:outlineLvl w:val="2"/>
    </w:pPr>
    <w:rPr>
      <w:rFonts w:ascii="Arial" w:hAnsi="Arial" w:cs="Arial"/>
      <w:b/>
      <w:bCs/>
      <w:sz w:val="26"/>
      <w:szCs w:val="26"/>
    </w:rPr>
  </w:style>
  <w:style w:type="paragraph" w:styleId="Heading4">
    <w:name w:val="heading 4"/>
    <w:basedOn w:val="Normal"/>
    <w:next w:val="Normal"/>
    <w:qFormat/>
    <w:rsid w:val="007D4700"/>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873F74"/>
    <w:pPr>
      <w:bidi/>
      <w:jc w:val="right"/>
    </w:pPr>
    <w:rPr>
      <w:sz w:val="20"/>
      <w:szCs w:val="20"/>
      <w:lang w:bidi="ar-QA"/>
    </w:rPr>
  </w:style>
  <w:style w:type="character" w:styleId="FootnoteReference">
    <w:name w:val="footnote reference"/>
    <w:basedOn w:val="DefaultParagraphFont"/>
    <w:semiHidden/>
    <w:rsid w:val="00873F74"/>
    <w:rPr>
      <w:vertAlign w:val="superscript"/>
    </w:rPr>
  </w:style>
  <w:style w:type="paragraph" w:customStyle="1" w:styleId="LefttoRight">
    <w:name w:val="Left to Right"/>
    <w:basedOn w:val="Normal"/>
    <w:link w:val="LefttoRightChar"/>
    <w:rsid w:val="00873F74"/>
    <w:pPr>
      <w:jc w:val="lowKashida"/>
    </w:pPr>
    <w:rPr>
      <w:lang w:bidi="ar-QA"/>
    </w:rPr>
  </w:style>
  <w:style w:type="character" w:customStyle="1" w:styleId="LefttoRightChar">
    <w:name w:val="Left to Right Char"/>
    <w:basedOn w:val="DefaultParagraphFont"/>
    <w:link w:val="LefttoRight"/>
    <w:rsid w:val="00873F74"/>
    <w:rPr>
      <w:sz w:val="24"/>
      <w:szCs w:val="24"/>
      <w:lang w:val="en-US" w:eastAsia="en-US" w:bidi="ar-QA"/>
    </w:rPr>
  </w:style>
  <w:style w:type="table" w:styleId="TableGrid">
    <w:name w:val="Table Grid"/>
    <w:basedOn w:val="TableNormal"/>
    <w:rsid w:val="00873F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xhibitTitle">
    <w:name w:val="Exhibit Title"/>
    <w:basedOn w:val="Normal"/>
    <w:rsid w:val="00873F74"/>
    <w:pPr>
      <w:pBdr>
        <w:bottom w:val="single" w:sz="4" w:space="1" w:color="auto"/>
      </w:pBdr>
      <w:spacing w:before="120" w:after="120"/>
      <w:jc w:val="both"/>
    </w:pPr>
    <w:rPr>
      <w:b/>
      <w:smallCaps/>
      <w:szCs w:val="20"/>
    </w:rPr>
  </w:style>
  <w:style w:type="paragraph" w:customStyle="1" w:styleId="BulletLevel1">
    <w:name w:val="Bullet Level 1"/>
    <w:basedOn w:val="Normal"/>
    <w:rsid w:val="00B06A2F"/>
    <w:pPr>
      <w:numPr>
        <w:numId w:val="6"/>
      </w:numPr>
      <w:spacing w:before="120" w:after="120"/>
      <w:jc w:val="both"/>
    </w:pPr>
    <w:rPr>
      <w:szCs w:val="20"/>
    </w:rPr>
  </w:style>
  <w:style w:type="paragraph" w:styleId="Header">
    <w:name w:val="header"/>
    <w:basedOn w:val="Normal"/>
    <w:rsid w:val="00B06A2F"/>
    <w:pPr>
      <w:tabs>
        <w:tab w:val="center" w:pos="4320"/>
        <w:tab w:val="right" w:pos="8640"/>
      </w:tabs>
      <w:spacing w:before="120" w:after="120"/>
      <w:jc w:val="both"/>
    </w:pPr>
    <w:rPr>
      <w:szCs w:val="20"/>
    </w:rPr>
  </w:style>
  <w:style w:type="paragraph" w:styleId="TOC1">
    <w:name w:val="toc 1"/>
    <w:basedOn w:val="Normal"/>
    <w:next w:val="Normal"/>
    <w:autoRedefine/>
    <w:semiHidden/>
    <w:rsid w:val="001D0454"/>
  </w:style>
  <w:style w:type="paragraph" w:styleId="TOC2">
    <w:name w:val="toc 2"/>
    <w:basedOn w:val="Normal"/>
    <w:next w:val="Normal"/>
    <w:autoRedefine/>
    <w:semiHidden/>
    <w:rsid w:val="001D0454"/>
    <w:pPr>
      <w:ind w:left="240"/>
    </w:pPr>
  </w:style>
  <w:style w:type="paragraph" w:styleId="TOC3">
    <w:name w:val="toc 3"/>
    <w:basedOn w:val="Normal"/>
    <w:next w:val="Normal"/>
    <w:autoRedefine/>
    <w:semiHidden/>
    <w:rsid w:val="001D0454"/>
    <w:pPr>
      <w:ind w:left="480"/>
    </w:pPr>
  </w:style>
  <w:style w:type="character" w:styleId="Hyperlink">
    <w:name w:val="Hyperlink"/>
    <w:basedOn w:val="DefaultParagraphFont"/>
    <w:rsid w:val="001D0454"/>
    <w:rPr>
      <w:color w:val="0000FF"/>
      <w:u w:val="single"/>
    </w:rPr>
  </w:style>
  <w:style w:type="paragraph" w:styleId="Footer">
    <w:name w:val="footer"/>
    <w:basedOn w:val="Normal"/>
    <w:rsid w:val="001D0454"/>
    <w:pPr>
      <w:tabs>
        <w:tab w:val="center" w:pos="4320"/>
        <w:tab w:val="right" w:pos="8640"/>
      </w:tabs>
    </w:pPr>
  </w:style>
  <w:style w:type="character" w:styleId="PageNumber">
    <w:name w:val="page number"/>
    <w:basedOn w:val="DefaultParagraphFont"/>
    <w:rsid w:val="003E3999"/>
  </w:style>
  <w:style w:type="paragraph" w:styleId="BalloonText">
    <w:name w:val="Balloon Text"/>
    <w:basedOn w:val="Normal"/>
    <w:semiHidden/>
    <w:rsid w:val="00DD4AB4"/>
    <w:rPr>
      <w:rFonts w:ascii="Tahoma" w:hAnsi="Tahoma" w:cs="Tahoma"/>
      <w:sz w:val="16"/>
      <w:szCs w:val="16"/>
    </w:rPr>
  </w:style>
  <w:style w:type="table" w:styleId="TableList3">
    <w:name w:val="Table List 3"/>
    <w:basedOn w:val="TableNormal"/>
    <w:rsid w:val="00C37EC1"/>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CommentReference">
    <w:name w:val="annotation reference"/>
    <w:basedOn w:val="DefaultParagraphFont"/>
    <w:semiHidden/>
    <w:rsid w:val="00621299"/>
    <w:rPr>
      <w:sz w:val="16"/>
      <w:szCs w:val="16"/>
    </w:rPr>
  </w:style>
  <w:style w:type="paragraph" w:styleId="CommentText">
    <w:name w:val="annotation text"/>
    <w:basedOn w:val="Normal"/>
    <w:semiHidden/>
    <w:rsid w:val="00621299"/>
    <w:rPr>
      <w:sz w:val="20"/>
      <w:szCs w:val="20"/>
    </w:rPr>
  </w:style>
  <w:style w:type="paragraph" w:styleId="CommentSubject">
    <w:name w:val="annotation subject"/>
    <w:basedOn w:val="CommentText"/>
    <w:next w:val="CommentText"/>
    <w:semiHidden/>
    <w:rsid w:val="00621299"/>
    <w:rPr>
      <w:b/>
      <w:bCs/>
    </w:rPr>
  </w:style>
  <w:style w:type="paragraph" w:customStyle="1" w:styleId="TableSmallBullets">
    <w:name w:val="Table Small Bullets"/>
    <w:basedOn w:val="Normal"/>
    <w:rsid w:val="00D5758D"/>
    <w:pPr>
      <w:numPr>
        <w:numId w:val="15"/>
      </w:numPr>
      <w:tabs>
        <w:tab w:val="left" w:pos="144"/>
      </w:tabs>
      <w:ind w:left="144" w:hanging="144"/>
    </w:pPr>
    <w:rPr>
      <w:rFonts w:ascii="Futura MdCn BT" w:hAnsi="Futura MdCn BT"/>
      <w:sz w:val="20"/>
    </w:rPr>
  </w:style>
  <w:style w:type="paragraph" w:styleId="BodyTextIndent2">
    <w:name w:val="Body Text Indent 2"/>
    <w:basedOn w:val="Normal"/>
    <w:rsid w:val="00D5758D"/>
    <w:pPr>
      <w:widowControl w:val="0"/>
      <w:tabs>
        <w:tab w:val="num" w:pos="780"/>
      </w:tabs>
      <w:autoSpaceDE w:val="0"/>
      <w:autoSpaceDN w:val="0"/>
      <w:adjustRightInd w:val="0"/>
      <w:ind w:left="7"/>
      <w:jc w:val="both"/>
    </w:pPr>
  </w:style>
  <w:style w:type="character" w:styleId="Emphasis">
    <w:name w:val="Emphasis"/>
    <w:basedOn w:val="DefaultParagraphFont"/>
    <w:qFormat/>
    <w:rsid w:val="00945188"/>
    <w:rPr>
      <w:i/>
      <w:iCs/>
    </w:rPr>
  </w:style>
  <w:style w:type="paragraph" w:customStyle="1" w:styleId="Heading4t">
    <w:name w:val="Heading 4t"/>
    <w:basedOn w:val="Heading3"/>
    <w:rsid w:val="007D4700"/>
    <w:rPr>
      <w:sz w:val="24"/>
      <w:szCs w:val="24"/>
    </w:rPr>
  </w:style>
  <w:style w:type="paragraph" w:styleId="EndnoteText">
    <w:name w:val="endnote text"/>
    <w:basedOn w:val="Normal"/>
    <w:semiHidden/>
    <w:rsid w:val="00C034DF"/>
    <w:rPr>
      <w:sz w:val="20"/>
      <w:szCs w:val="20"/>
    </w:rPr>
  </w:style>
  <w:style w:type="character" w:styleId="EndnoteReference">
    <w:name w:val="endnote reference"/>
    <w:basedOn w:val="DefaultParagraphFont"/>
    <w:semiHidden/>
    <w:rsid w:val="00C034DF"/>
    <w:rPr>
      <w:vertAlign w:val="superscript"/>
    </w:rPr>
  </w:style>
  <w:style w:type="character" w:styleId="FollowedHyperlink">
    <w:name w:val="FollowedHyperlink"/>
    <w:basedOn w:val="DefaultParagraphFont"/>
    <w:rsid w:val="00BF735E"/>
    <w:rPr>
      <w:color w:val="800080"/>
      <w:u w:val="single"/>
    </w:rPr>
  </w:style>
  <w:style w:type="character" w:customStyle="1" w:styleId="QuickFormat9">
    <w:name w:val="QuickFormat9"/>
    <w:rsid w:val="003F5921"/>
    <w:rPr>
      <w:b/>
      <w:i/>
      <w:color w:val="000000"/>
      <w:sz w:val="24"/>
    </w:rPr>
  </w:style>
  <w:style w:type="character" w:styleId="Strong">
    <w:name w:val="Strong"/>
    <w:basedOn w:val="DefaultParagraphFont"/>
    <w:qFormat/>
    <w:rsid w:val="007D4F9F"/>
    <w:rPr>
      <w:b/>
      <w:bCs/>
    </w:rPr>
  </w:style>
  <w:style w:type="paragraph" w:styleId="NormalWeb">
    <w:name w:val="Normal (Web)"/>
    <w:basedOn w:val="Normal"/>
    <w:rsid w:val="00450538"/>
    <w:pPr>
      <w:spacing w:before="100" w:beforeAutospacing="1" w:after="100" w:afterAutospacing="1"/>
    </w:pPr>
  </w:style>
  <w:style w:type="paragraph" w:customStyle="1" w:styleId="NormalSS">
    <w:name w:val="NormalSS"/>
    <w:basedOn w:val="Normal"/>
    <w:rsid w:val="00D264FF"/>
    <w:pPr>
      <w:tabs>
        <w:tab w:val="left" w:pos="432"/>
      </w:tabs>
      <w:ind w:firstLine="432"/>
      <w:jc w:val="both"/>
    </w:pPr>
    <w:rPr>
      <w:szCs w:val="20"/>
    </w:rPr>
  </w:style>
</w:styles>
</file>

<file path=word/webSettings.xml><?xml version="1.0" encoding="utf-8"?>
<w:webSettings xmlns:r="http://schemas.openxmlformats.org/officeDocument/2006/relationships" xmlns:w="http://schemas.openxmlformats.org/wordprocessingml/2006/main">
  <w:divs>
    <w:div w:id="77799401">
      <w:bodyDiv w:val="1"/>
      <w:marLeft w:val="0"/>
      <w:marRight w:val="0"/>
      <w:marTop w:val="0"/>
      <w:marBottom w:val="0"/>
      <w:divBdr>
        <w:top w:val="none" w:sz="0" w:space="0" w:color="auto"/>
        <w:left w:val="none" w:sz="0" w:space="0" w:color="auto"/>
        <w:bottom w:val="none" w:sz="0" w:space="0" w:color="auto"/>
        <w:right w:val="none" w:sz="0" w:space="0" w:color="auto"/>
      </w:divBdr>
    </w:div>
    <w:div w:id="132722812">
      <w:bodyDiv w:val="1"/>
      <w:marLeft w:val="0"/>
      <w:marRight w:val="0"/>
      <w:marTop w:val="0"/>
      <w:marBottom w:val="0"/>
      <w:divBdr>
        <w:top w:val="none" w:sz="0" w:space="0" w:color="auto"/>
        <w:left w:val="none" w:sz="0" w:space="0" w:color="auto"/>
        <w:bottom w:val="none" w:sz="0" w:space="0" w:color="auto"/>
        <w:right w:val="none" w:sz="0" w:space="0" w:color="auto"/>
      </w:divBdr>
    </w:div>
    <w:div w:id="592325632">
      <w:bodyDiv w:val="1"/>
      <w:marLeft w:val="0"/>
      <w:marRight w:val="0"/>
      <w:marTop w:val="0"/>
      <w:marBottom w:val="0"/>
      <w:divBdr>
        <w:top w:val="none" w:sz="0" w:space="0" w:color="auto"/>
        <w:left w:val="none" w:sz="0" w:space="0" w:color="auto"/>
        <w:bottom w:val="none" w:sz="0" w:space="0" w:color="auto"/>
        <w:right w:val="none" w:sz="0" w:space="0" w:color="auto"/>
      </w:divBdr>
    </w:div>
    <w:div w:id="686832369">
      <w:bodyDiv w:val="1"/>
      <w:marLeft w:val="0"/>
      <w:marRight w:val="0"/>
      <w:marTop w:val="0"/>
      <w:marBottom w:val="0"/>
      <w:divBdr>
        <w:top w:val="none" w:sz="0" w:space="0" w:color="auto"/>
        <w:left w:val="none" w:sz="0" w:space="0" w:color="auto"/>
        <w:bottom w:val="none" w:sz="0" w:space="0" w:color="auto"/>
        <w:right w:val="none" w:sz="0" w:space="0" w:color="auto"/>
      </w:divBdr>
    </w:div>
    <w:div w:id="796221762">
      <w:bodyDiv w:val="1"/>
      <w:marLeft w:val="0"/>
      <w:marRight w:val="0"/>
      <w:marTop w:val="0"/>
      <w:marBottom w:val="0"/>
      <w:divBdr>
        <w:top w:val="none" w:sz="0" w:space="0" w:color="auto"/>
        <w:left w:val="none" w:sz="0" w:space="0" w:color="auto"/>
        <w:bottom w:val="none" w:sz="0" w:space="0" w:color="auto"/>
        <w:right w:val="none" w:sz="0" w:space="0" w:color="auto"/>
      </w:divBdr>
    </w:div>
    <w:div w:id="797338142">
      <w:bodyDiv w:val="1"/>
      <w:marLeft w:val="0"/>
      <w:marRight w:val="0"/>
      <w:marTop w:val="0"/>
      <w:marBottom w:val="0"/>
      <w:divBdr>
        <w:top w:val="none" w:sz="0" w:space="0" w:color="auto"/>
        <w:left w:val="none" w:sz="0" w:space="0" w:color="auto"/>
        <w:bottom w:val="none" w:sz="0" w:space="0" w:color="auto"/>
        <w:right w:val="none" w:sz="0" w:space="0" w:color="auto"/>
      </w:divBdr>
    </w:div>
    <w:div w:id="811286106">
      <w:bodyDiv w:val="1"/>
      <w:marLeft w:val="0"/>
      <w:marRight w:val="0"/>
      <w:marTop w:val="0"/>
      <w:marBottom w:val="0"/>
      <w:divBdr>
        <w:top w:val="none" w:sz="0" w:space="0" w:color="auto"/>
        <w:left w:val="none" w:sz="0" w:space="0" w:color="auto"/>
        <w:bottom w:val="none" w:sz="0" w:space="0" w:color="auto"/>
        <w:right w:val="none" w:sz="0" w:space="0" w:color="auto"/>
      </w:divBdr>
    </w:div>
    <w:div w:id="1042826188">
      <w:bodyDiv w:val="1"/>
      <w:marLeft w:val="0"/>
      <w:marRight w:val="0"/>
      <w:marTop w:val="0"/>
      <w:marBottom w:val="0"/>
      <w:divBdr>
        <w:top w:val="none" w:sz="0" w:space="0" w:color="auto"/>
        <w:left w:val="none" w:sz="0" w:space="0" w:color="auto"/>
        <w:bottom w:val="none" w:sz="0" w:space="0" w:color="auto"/>
        <w:right w:val="none" w:sz="0" w:space="0" w:color="auto"/>
      </w:divBdr>
    </w:div>
    <w:div w:id="1244143101">
      <w:bodyDiv w:val="1"/>
      <w:marLeft w:val="0"/>
      <w:marRight w:val="0"/>
      <w:marTop w:val="0"/>
      <w:marBottom w:val="0"/>
      <w:divBdr>
        <w:top w:val="none" w:sz="0" w:space="0" w:color="auto"/>
        <w:left w:val="none" w:sz="0" w:space="0" w:color="auto"/>
        <w:bottom w:val="none" w:sz="0" w:space="0" w:color="auto"/>
        <w:right w:val="none" w:sz="0" w:space="0" w:color="auto"/>
      </w:divBdr>
    </w:div>
    <w:div w:id="1459177632">
      <w:bodyDiv w:val="1"/>
      <w:marLeft w:val="0"/>
      <w:marRight w:val="0"/>
      <w:marTop w:val="0"/>
      <w:marBottom w:val="0"/>
      <w:divBdr>
        <w:top w:val="none" w:sz="0" w:space="0" w:color="auto"/>
        <w:left w:val="none" w:sz="0" w:space="0" w:color="auto"/>
        <w:bottom w:val="none" w:sz="0" w:space="0" w:color="auto"/>
        <w:right w:val="none" w:sz="0" w:space="0" w:color="auto"/>
      </w:divBdr>
    </w:div>
    <w:div w:id="1506170582">
      <w:bodyDiv w:val="1"/>
      <w:marLeft w:val="0"/>
      <w:marRight w:val="0"/>
      <w:marTop w:val="0"/>
      <w:marBottom w:val="0"/>
      <w:divBdr>
        <w:top w:val="none" w:sz="0" w:space="0" w:color="auto"/>
        <w:left w:val="none" w:sz="0" w:space="0" w:color="auto"/>
        <w:bottom w:val="none" w:sz="0" w:space="0" w:color="auto"/>
        <w:right w:val="none" w:sz="0" w:space="0" w:color="auto"/>
      </w:divBdr>
    </w:div>
    <w:div w:id="1608805609">
      <w:bodyDiv w:val="1"/>
      <w:marLeft w:val="0"/>
      <w:marRight w:val="0"/>
      <w:marTop w:val="0"/>
      <w:marBottom w:val="0"/>
      <w:divBdr>
        <w:top w:val="none" w:sz="0" w:space="0" w:color="auto"/>
        <w:left w:val="none" w:sz="0" w:space="0" w:color="auto"/>
        <w:bottom w:val="none" w:sz="0" w:space="0" w:color="auto"/>
        <w:right w:val="none" w:sz="0" w:space="0" w:color="auto"/>
      </w:divBdr>
    </w:div>
    <w:div w:id="1619137910">
      <w:bodyDiv w:val="1"/>
      <w:marLeft w:val="0"/>
      <w:marRight w:val="0"/>
      <w:marTop w:val="0"/>
      <w:marBottom w:val="0"/>
      <w:divBdr>
        <w:top w:val="none" w:sz="0" w:space="0" w:color="auto"/>
        <w:left w:val="none" w:sz="0" w:space="0" w:color="auto"/>
        <w:bottom w:val="none" w:sz="0" w:space="0" w:color="auto"/>
        <w:right w:val="none" w:sz="0" w:space="0" w:color="auto"/>
      </w:divBdr>
    </w:div>
    <w:div w:id="1722052944">
      <w:bodyDiv w:val="1"/>
      <w:marLeft w:val="0"/>
      <w:marRight w:val="0"/>
      <w:marTop w:val="0"/>
      <w:marBottom w:val="0"/>
      <w:divBdr>
        <w:top w:val="none" w:sz="0" w:space="0" w:color="auto"/>
        <w:left w:val="none" w:sz="0" w:space="0" w:color="auto"/>
        <w:bottom w:val="none" w:sz="0" w:space="0" w:color="auto"/>
        <w:right w:val="none" w:sz="0" w:space="0" w:color="auto"/>
      </w:divBdr>
    </w:div>
    <w:div w:id="1790466086">
      <w:bodyDiv w:val="1"/>
      <w:marLeft w:val="0"/>
      <w:marRight w:val="0"/>
      <w:marTop w:val="0"/>
      <w:marBottom w:val="0"/>
      <w:divBdr>
        <w:top w:val="none" w:sz="0" w:space="0" w:color="auto"/>
        <w:left w:val="none" w:sz="0" w:space="0" w:color="auto"/>
        <w:bottom w:val="none" w:sz="0" w:space="0" w:color="auto"/>
        <w:right w:val="none" w:sz="0" w:space="0" w:color="auto"/>
      </w:divBdr>
    </w:div>
    <w:div w:id="2050952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2601</Words>
  <Characters>14884</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2010-02-04T15:35:00Z</dcterms:created>
  <dcterms:modified xsi:type="dcterms:W3CDTF">2010-02-04T15:35:00Z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-226972243</vt:i4>
  </property>
  <property fmtid="{D5CDD505-2E9C-101B-9397-08002B2CF9AE}" pid="3" name="_NewReviewCycle">
    <vt:lpwstr/>
  </property>
  <property fmtid="{D5CDD505-2E9C-101B-9397-08002B2CF9AE}" pid="4" name="_PreviousAdHocReviewCycleID">
    <vt:i4>-1867299792</vt:i4>
  </property>
</Properties>
</file>