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0E" w:rsidRPr="00BB3960" w:rsidRDefault="002A170E" w:rsidP="00BB3960">
      <w:pPr>
        <w:pStyle w:val="Heading1"/>
        <w:jc w:val="center"/>
        <w:rPr>
          <w:smallCaps w:val="0"/>
          <w:sz w:val="24"/>
          <w:szCs w:val="24"/>
        </w:rPr>
      </w:pPr>
      <w:r w:rsidRPr="00BB3960">
        <w:rPr>
          <w:rFonts w:ascii="Times New Roman" w:hAnsi="Times New Roman"/>
          <w:smallCaps w:val="0"/>
          <w:sz w:val="24"/>
          <w:szCs w:val="24"/>
        </w:rPr>
        <w:t>Supporting Statement for the</w:t>
      </w:r>
    </w:p>
    <w:p w:rsidR="002A170E" w:rsidRDefault="002A170E" w:rsidP="002A170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Senior Credit Officer Opinion Survey on Dealer Financing Terms</w:t>
      </w:r>
    </w:p>
    <w:p w:rsidR="002A170E" w:rsidRPr="002A170E" w:rsidRDefault="002A170E" w:rsidP="002A170E">
      <w:pPr>
        <w:jc w:val="center"/>
        <w:rPr>
          <w:rFonts w:ascii="Times New Roman" w:hAnsi="Times New Roman"/>
          <w:b/>
        </w:rPr>
      </w:pPr>
      <w:r w:rsidRPr="002A170E">
        <w:rPr>
          <w:rFonts w:ascii="Times New Roman" w:hAnsi="Times New Roman"/>
          <w:b/>
        </w:rPr>
        <w:t xml:space="preserve">(FR </w:t>
      </w:r>
      <w:r>
        <w:rPr>
          <w:rFonts w:ascii="Times New Roman" w:hAnsi="Times New Roman"/>
          <w:b/>
        </w:rPr>
        <w:t>2034</w:t>
      </w:r>
      <w:r w:rsidRPr="002A170E">
        <w:rPr>
          <w:rFonts w:ascii="Times New Roman" w:hAnsi="Times New Roman"/>
          <w:b/>
        </w:rPr>
        <w:t>; OMB No. 7100</w:t>
      </w:r>
      <w:r w:rsidRPr="002A170E">
        <w:rPr>
          <w:rFonts w:ascii="Times New Roman" w:hAnsi="Times New Roman"/>
          <w:b/>
        </w:rPr>
        <w:noBreakHyphen/>
      </w:r>
      <w:r>
        <w:rPr>
          <w:rFonts w:ascii="Times New Roman" w:hAnsi="Times New Roman"/>
          <w:b/>
        </w:rPr>
        <w:t>to be assigned</w:t>
      </w:r>
      <w:r w:rsidRPr="002A170E">
        <w:rPr>
          <w:rFonts w:ascii="Times New Roman" w:hAnsi="Times New Roman"/>
          <w:b/>
        </w:rPr>
        <w:t>)</w:t>
      </w:r>
    </w:p>
    <w:p w:rsidR="002A170E" w:rsidRPr="002A170E" w:rsidRDefault="002A170E" w:rsidP="002A170E">
      <w:pPr>
        <w:rPr>
          <w:rFonts w:ascii="Times New Roman" w:hAnsi="Times New Roman"/>
        </w:rPr>
      </w:pPr>
      <w:r w:rsidRPr="002A170E">
        <w:rPr>
          <w:rFonts w:ascii="Times New Roman" w:hAnsi="Times New Roman"/>
        </w:rPr>
        <w:tab/>
      </w:r>
    </w:p>
    <w:p w:rsidR="002A170E" w:rsidRPr="002A170E" w:rsidRDefault="002A170E" w:rsidP="002A170E">
      <w:pPr>
        <w:rPr>
          <w:rFonts w:ascii="Times New Roman" w:hAnsi="Times New Roman"/>
          <w:b/>
        </w:rPr>
      </w:pPr>
      <w:r w:rsidRPr="002A170E">
        <w:rPr>
          <w:rFonts w:ascii="Times New Roman" w:hAnsi="Times New Roman"/>
          <w:b/>
        </w:rPr>
        <w:t>Summary</w:t>
      </w:r>
    </w:p>
    <w:p w:rsidR="002A170E" w:rsidRPr="002A170E" w:rsidRDefault="002A170E" w:rsidP="002A170E">
      <w:pPr>
        <w:rPr>
          <w:rFonts w:ascii="Times New Roman" w:hAnsi="Times New Roman"/>
        </w:rPr>
      </w:pPr>
    </w:p>
    <w:p w:rsidR="004202D5" w:rsidRPr="00D60904" w:rsidRDefault="00BB3960" w:rsidP="002A170E">
      <w:pPr>
        <w:rPr>
          <w:rFonts w:ascii="Times" w:hAnsi="Times" w:cs="Times"/>
        </w:rPr>
      </w:pPr>
      <w:r>
        <w:rPr>
          <w:rFonts w:ascii="Times New Roman" w:hAnsi="Times New Roman"/>
        </w:rPr>
        <w:t xml:space="preserve">     </w:t>
      </w:r>
      <w:r w:rsidR="002A170E" w:rsidRPr="002A170E">
        <w:rPr>
          <w:rFonts w:ascii="Times New Roman" w:hAnsi="Times New Roman"/>
        </w:rPr>
        <w:t>The Board of Governors of the Federal Reserve System, under delegated authority from the Office of Management and Budget (OMB), proposes to conduct a voluntary survey</w:t>
      </w:r>
      <w:r w:rsidR="002A170E">
        <w:rPr>
          <w:rFonts w:ascii="Times New Roman" w:hAnsi="Times New Roman"/>
        </w:rPr>
        <w:t>,</w:t>
      </w:r>
      <w:r w:rsidR="002A170E" w:rsidRPr="002A170E">
        <w:rPr>
          <w:rFonts w:ascii="Times New Roman" w:hAnsi="Times New Roman"/>
        </w:rPr>
        <w:t xml:space="preserve"> </w:t>
      </w:r>
      <w:r w:rsidR="00741B5E" w:rsidRPr="002A170E">
        <w:rPr>
          <w:rFonts w:ascii="Times New Roman" w:hAnsi="Times New Roman"/>
        </w:rPr>
        <w:t>the</w:t>
      </w:r>
      <w:r w:rsidR="00592B20" w:rsidRPr="002A170E">
        <w:rPr>
          <w:rFonts w:ascii="Times New Roman" w:hAnsi="Times New Roman"/>
        </w:rPr>
        <w:t xml:space="preserve"> Senior </w:t>
      </w:r>
      <w:r w:rsidR="00FF54E6" w:rsidRPr="002A170E">
        <w:rPr>
          <w:rFonts w:ascii="Times New Roman" w:hAnsi="Times New Roman"/>
        </w:rPr>
        <w:t xml:space="preserve">Credit </w:t>
      </w:r>
      <w:r w:rsidR="00592B20" w:rsidRPr="002A170E">
        <w:rPr>
          <w:rFonts w:ascii="Times New Roman" w:hAnsi="Times New Roman"/>
        </w:rPr>
        <w:t xml:space="preserve">Officer Opinion Survey on </w:t>
      </w:r>
      <w:r w:rsidR="00FF54E6" w:rsidRPr="002A170E">
        <w:rPr>
          <w:rFonts w:ascii="Times New Roman" w:hAnsi="Times New Roman"/>
        </w:rPr>
        <w:t>Dealer Financing Terms</w:t>
      </w:r>
      <w:r w:rsidR="00741B5E" w:rsidRPr="002A170E">
        <w:rPr>
          <w:rFonts w:ascii="Times New Roman" w:hAnsi="Times New Roman"/>
        </w:rPr>
        <w:t xml:space="preserve"> (FR 2034; OMB No. 7100-to be assigned)</w:t>
      </w:r>
      <w:r w:rsidR="00592B20" w:rsidRPr="002A170E">
        <w:rPr>
          <w:rFonts w:ascii="Times New Roman" w:hAnsi="Times New Roman"/>
        </w:rPr>
        <w:t>.  This voluntary survey</w:t>
      </w:r>
      <w:r w:rsidR="00592B20" w:rsidRPr="00D60904">
        <w:rPr>
          <w:rFonts w:ascii="Times" w:hAnsi="Times" w:cs="Times"/>
        </w:rPr>
        <w:t xml:space="preserve"> </w:t>
      </w:r>
      <w:r w:rsidR="000D52B8">
        <w:rPr>
          <w:rFonts w:ascii="Times" w:hAnsi="Times" w:cs="Times"/>
        </w:rPr>
        <w:t>would</w:t>
      </w:r>
      <w:r w:rsidR="00FF54E6">
        <w:rPr>
          <w:rFonts w:ascii="Times" w:hAnsi="Times" w:cs="Times"/>
        </w:rPr>
        <w:t xml:space="preserve"> be</w:t>
      </w:r>
      <w:r w:rsidR="00592B20" w:rsidRPr="00D60904">
        <w:rPr>
          <w:rFonts w:ascii="Times" w:hAnsi="Times" w:cs="Times"/>
        </w:rPr>
        <w:t xml:space="preserve"> conducted with a senior </w:t>
      </w:r>
      <w:r w:rsidR="00FF54E6">
        <w:rPr>
          <w:rFonts w:ascii="Times" w:hAnsi="Times" w:cs="Times"/>
        </w:rPr>
        <w:t>credit</w:t>
      </w:r>
      <w:r w:rsidR="00592B20" w:rsidRPr="00D60904">
        <w:rPr>
          <w:rFonts w:ascii="Times" w:hAnsi="Times" w:cs="Times"/>
        </w:rPr>
        <w:t xml:space="preserve"> officer at each respondent </w:t>
      </w:r>
      <w:r w:rsidR="00FF54E6">
        <w:rPr>
          <w:rFonts w:ascii="Times" w:hAnsi="Times" w:cs="Times"/>
        </w:rPr>
        <w:t>financial institution</w:t>
      </w:r>
      <w:r w:rsidR="00592B20" w:rsidRPr="00D60904">
        <w:rPr>
          <w:rFonts w:ascii="Times" w:hAnsi="Times" w:cs="Times"/>
        </w:rPr>
        <w:t xml:space="preserve"> up to six times a year.</w:t>
      </w:r>
      <w:r w:rsidR="001B14AE" w:rsidRPr="00D60904">
        <w:rPr>
          <w:rFonts w:ascii="Times" w:hAnsi="Times" w:cs="Times"/>
        </w:rPr>
        <w:t xml:space="preserve">  </w:t>
      </w:r>
      <w:r w:rsidR="00592B20" w:rsidRPr="00D60904">
        <w:rPr>
          <w:rFonts w:ascii="Times" w:hAnsi="Times" w:cs="Times"/>
        </w:rPr>
        <w:t xml:space="preserve">The </w:t>
      </w:r>
      <w:r w:rsidR="000D52B8">
        <w:rPr>
          <w:rFonts w:ascii="Times" w:hAnsi="Times" w:cs="Times"/>
        </w:rPr>
        <w:t xml:space="preserve">proposed </w:t>
      </w:r>
      <w:r w:rsidR="00592B20" w:rsidRPr="00D60904">
        <w:rPr>
          <w:rFonts w:ascii="Times" w:hAnsi="Times" w:cs="Times"/>
        </w:rPr>
        <w:t xml:space="preserve">reporting panel consists of up to </w:t>
      </w:r>
      <w:r w:rsidR="00ED53A6">
        <w:rPr>
          <w:rFonts w:ascii="Times" w:hAnsi="Times" w:cs="Times"/>
        </w:rPr>
        <w:t>25 U</w:t>
      </w:r>
      <w:r w:rsidR="00222946">
        <w:rPr>
          <w:rFonts w:ascii="Times" w:hAnsi="Times" w:cs="Times"/>
        </w:rPr>
        <w:t>.</w:t>
      </w:r>
      <w:r w:rsidR="00ED53A6">
        <w:rPr>
          <w:rFonts w:ascii="Times" w:hAnsi="Times" w:cs="Times"/>
        </w:rPr>
        <w:t>S</w:t>
      </w:r>
      <w:r w:rsidR="00222946">
        <w:rPr>
          <w:rFonts w:ascii="Times" w:hAnsi="Times" w:cs="Times"/>
        </w:rPr>
        <w:t>.</w:t>
      </w:r>
      <w:r w:rsidR="00ED53A6">
        <w:rPr>
          <w:rFonts w:ascii="Times" w:hAnsi="Times" w:cs="Times"/>
        </w:rPr>
        <w:t xml:space="preserve"> banking institutions</w:t>
      </w:r>
      <w:r w:rsidR="00723283">
        <w:rPr>
          <w:rFonts w:ascii="Times" w:hAnsi="Times" w:cs="Times"/>
        </w:rPr>
        <w:t xml:space="preserve"> and </w:t>
      </w:r>
      <w:r w:rsidR="00592B20" w:rsidRPr="00D60904">
        <w:rPr>
          <w:rFonts w:ascii="Times" w:hAnsi="Times" w:cs="Times"/>
        </w:rPr>
        <w:t>U.S. branches and agencies of foreign banks</w:t>
      </w:r>
      <w:r w:rsidR="00ED53A6">
        <w:rPr>
          <w:rFonts w:ascii="Times" w:hAnsi="Times" w:cs="Times"/>
        </w:rPr>
        <w:t>, the majority of which are affiliated with a Primary Government Securities Dealer</w:t>
      </w:r>
      <w:r w:rsidR="000D52B8" w:rsidRPr="00CA71A7">
        <w:rPr>
          <w:rStyle w:val="FootnoteReference"/>
          <w:rFonts w:ascii="Times" w:hAnsi="Times" w:cs="Times"/>
          <w:vertAlign w:val="superscript"/>
        </w:rPr>
        <w:footnoteReference w:id="1"/>
      </w:r>
      <w:r w:rsidR="00592B20" w:rsidRPr="00D60904">
        <w:rPr>
          <w:rFonts w:ascii="Times" w:hAnsi="Times" w:cs="Times"/>
        </w:rPr>
        <w:t xml:space="preserve">.  </w:t>
      </w:r>
      <w:r w:rsidR="009D5C3A">
        <w:rPr>
          <w:rFonts w:ascii="Times" w:hAnsi="Times" w:cs="Times"/>
        </w:rPr>
        <w:t>T</w:t>
      </w:r>
      <w:r w:rsidR="00592B20" w:rsidRPr="00D60904">
        <w:rPr>
          <w:rFonts w:ascii="Times" w:hAnsi="Times" w:cs="Times"/>
        </w:rPr>
        <w:t xml:space="preserve">he purpose of the </w:t>
      </w:r>
      <w:r w:rsidR="00E92A68">
        <w:rPr>
          <w:rFonts w:ascii="Times" w:hAnsi="Times" w:cs="Times"/>
        </w:rPr>
        <w:t xml:space="preserve">proposed </w:t>
      </w:r>
      <w:r w:rsidR="00592B20" w:rsidRPr="00D60904">
        <w:rPr>
          <w:rFonts w:ascii="Times" w:hAnsi="Times" w:cs="Times"/>
        </w:rPr>
        <w:t xml:space="preserve">survey is to provide qualitative </w:t>
      </w:r>
      <w:r w:rsidR="001A2664">
        <w:rPr>
          <w:rFonts w:ascii="Times" w:hAnsi="Times" w:cs="Times"/>
        </w:rPr>
        <w:t xml:space="preserve">and limited quantitative </w:t>
      </w:r>
      <w:r w:rsidR="00592B20" w:rsidRPr="00D60904">
        <w:rPr>
          <w:rFonts w:ascii="Times" w:hAnsi="Times" w:cs="Times"/>
        </w:rPr>
        <w:t xml:space="preserve">information </w:t>
      </w:r>
      <w:r w:rsidR="002944C3">
        <w:rPr>
          <w:rFonts w:ascii="Times" w:hAnsi="Times" w:cs="Times"/>
        </w:rPr>
        <w:t xml:space="preserve">on </w:t>
      </w:r>
      <w:r w:rsidR="00741B5E">
        <w:rPr>
          <w:rFonts w:ascii="Times" w:hAnsi="Times" w:cs="Times"/>
        </w:rPr>
        <w:t xml:space="preserve">(1) </w:t>
      </w:r>
      <w:r w:rsidR="004B7423">
        <w:rPr>
          <w:rFonts w:ascii="Times" w:hAnsi="Times" w:cs="Times"/>
        </w:rPr>
        <w:t xml:space="preserve">stringency of credit terms, </w:t>
      </w:r>
      <w:r w:rsidR="00741B5E">
        <w:rPr>
          <w:rFonts w:ascii="Times" w:hAnsi="Times" w:cs="Times"/>
        </w:rPr>
        <w:t xml:space="preserve">(2) </w:t>
      </w:r>
      <w:r w:rsidR="002944C3">
        <w:rPr>
          <w:rFonts w:ascii="Times" w:hAnsi="Times" w:cs="Times"/>
        </w:rPr>
        <w:t>credit availability and demand</w:t>
      </w:r>
      <w:r w:rsidR="009D5C3A">
        <w:rPr>
          <w:rFonts w:ascii="Times" w:hAnsi="Times" w:cs="Times"/>
        </w:rPr>
        <w:t xml:space="preserve"> across the entire range of securities financing and over-the-counter derivatives transactions</w:t>
      </w:r>
      <w:r w:rsidR="002944C3">
        <w:rPr>
          <w:rFonts w:ascii="Times" w:hAnsi="Times" w:cs="Times"/>
        </w:rPr>
        <w:t xml:space="preserve">, </w:t>
      </w:r>
      <w:r w:rsidR="00741B5E">
        <w:rPr>
          <w:rFonts w:ascii="Times" w:hAnsi="Times" w:cs="Times"/>
        </w:rPr>
        <w:t>and (3)</w:t>
      </w:r>
      <w:r w:rsidR="002944C3">
        <w:rPr>
          <w:rFonts w:ascii="Times" w:hAnsi="Times" w:cs="Times"/>
        </w:rPr>
        <w:t xml:space="preserve"> </w:t>
      </w:r>
      <w:r w:rsidR="00ED53A6">
        <w:rPr>
          <w:rFonts w:ascii="Times" w:hAnsi="Times" w:cs="Times"/>
        </w:rPr>
        <w:t>the evolution of market conditions and conventions</w:t>
      </w:r>
      <w:r w:rsidR="00FD1A30">
        <w:rPr>
          <w:rFonts w:ascii="Times" w:hAnsi="Times" w:cs="Times"/>
        </w:rPr>
        <w:t xml:space="preserve"> applicable to such activities</w:t>
      </w:r>
      <w:r w:rsidR="00592B20" w:rsidRPr="00D60904">
        <w:rPr>
          <w:rFonts w:ascii="Times" w:hAnsi="Times" w:cs="Times"/>
        </w:rPr>
        <w:t xml:space="preserve">.  </w:t>
      </w:r>
      <w:r w:rsidR="00CB44C7">
        <w:rPr>
          <w:rFonts w:ascii="Times" w:hAnsi="Times" w:cs="Times"/>
        </w:rPr>
        <w:t xml:space="preserve">The </w:t>
      </w:r>
      <w:r w:rsidR="00FA0268">
        <w:rPr>
          <w:rFonts w:ascii="Times" w:hAnsi="Times" w:cs="Times"/>
        </w:rPr>
        <w:t xml:space="preserve">proposed survey </w:t>
      </w:r>
      <w:r w:rsidR="00EB6BD4">
        <w:rPr>
          <w:rFonts w:ascii="Times" w:hAnsi="Times" w:cs="Times"/>
        </w:rPr>
        <w:t xml:space="preserve">is </w:t>
      </w:r>
      <w:r w:rsidR="00FD1A30">
        <w:rPr>
          <w:rFonts w:ascii="Times" w:hAnsi="Times" w:cs="Times"/>
        </w:rPr>
        <w:t>significant</w:t>
      </w:r>
      <w:r w:rsidR="004E7211">
        <w:rPr>
          <w:rFonts w:ascii="Times" w:hAnsi="Times" w:cs="Times"/>
        </w:rPr>
        <w:t>ly</w:t>
      </w:r>
      <w:r w:rsidR="00FD1A30">
        <w:rPr>
          <w:rFonts w:ascii="Times" w:hAnsi="Times" w:cs="Times"/>
        </w:rPr>
        <w:t xml:space="preserve"> modeled after</w:t>
      </w:r>
      <w:r w:rsidR="00CB44C7">
        <w:rPr>
          <w:rFonts w:ascii="Times" w:hAnsi="Times" w:cs="Times"/>
        </w:rPr>
        <w:t xml:space="preserve"> the long-established Senior Loan Officer Opinion Survey (FR 2018</w:t>
      </w:r>
      <w:r w:rsidR="004E7211">
        <w:rPr>
          <w:rFonts w:ascii="Times" w:hAnsi="Times" w:cs="Times"/>
        </w:rPr>
        <w:t>; OMB No. 7100-0058</w:t>
      </w:r>
      <w:r w:rsidR="00CB44C7">
        <w:rPr>
          <w:rFonts w:ascii="Times" w:hAnsi="Times" w:cs="Times"/>
        </w:rPr>
        <w:t xml:space="preserve">), which provides </w:t>
      </w:r>
      <w:r w:rsidR="000D193C">
        <w:rPr>
          <w:rFonts w:ascii="Times" w:hAnsi="Times" w:cs="Times"/>
        </w:rPr>
        <w:t xml:space="preserve">qualitative information on changes in the supply of, and demand for, </w:t>
      </w:r>
      <w:r w:rsidR="004202D5">
        <w:rPr>
          <w:rFonts w:ascii="Times" w:hAnsi="Times" w:cs="Times"/>
        </w:rPr>
        <w:t xml:space="preserve">bank </w:t>
      </w:r>
      <w:r w:rsidR="000D193C">
        <w:rPr>
          <w:rFonts w:ascii="Times" w:hAnsi="Times" w:cs="Times"/>
        </w:rPr>
        <w:t>loans to businesses and households.</w:t>
      </w:r>
      <w:r w:rsidR="00ED53A6">
        <w:rPr>
          <w:rFonts w:ascii="Times" w:hAnsi="Times" w:cs="Times"/>
        </w:rPr>
        <w:t xml:space="preserve">  </w:t>
      </w:r>
      <w:r w:rsidR="009122E1">
        <w:rPr>
          <w:rFonts w:ascii="Times" w:hAnsi="Times" w:cs="Times"/>
        </w:rPr>
        <w:t>A</w:t>
      </w:r>
      <w:r w:rsidR="00592B20" w:rsidRPr="00D60904">
        <w:rPr>
          <w:rFonts w:ascii="Times" w:hAnsi="Times" w:cs="Times"/>
        </w:rPr>
        <w:t xml:space="preserve"> portion of the questions in each </w:t>
      </w:r>
      <w:r w:rsidR="00ED53A6">
        <w:rPr>
          <w:rFonts w:ascii="Times" w:hAnsi="Times" w:cs="Times"/>
        </w:rPr>
        <w:t xml:space="preserve">administration of the new survey </w:t>
      </w:r>
      <w:r w:rsidR="00E92A68">
        <w:rPr>
          <w:rFonts w:ascii="Times" w:hAnsi="Times" w:cs="Times"/>
        </w:rPr>
        <w:t>would</w:t>
      </w:r>
      <w:r w:rsidR="00592B20" w:rsidRPr="00D60904">
        <w:rPr>
          <w:rFonts w:ascii="Times" w:hAnsi="Times" w:cs="Times"/>
        </w:rPr>
        <w:t xml:space="preserve"> </w:t>
      </w:r>
      <w:r w:rsidR="00EA5552">
        <w:rPr>
          <w:rFonts w:ascii="Times" w:hAnsi="Times" w:cs="Times"/>
        </w:rPr>
        <w:t>typically cover</w:t>
      </w:r>
      <w:r w:rsidR="002944C3">
        <w:rPr>
          <w:rFonts w:ascii="Times" w:hAnsi="Times" w:cs="Times"/>
        </w:rPr>
        <w:t xml:space="preserve"> special </w:t>
      </w:r>
      <w:r w:rsidR="00592B20" w:rsidRPr="00D60904">
        <w:rPr>
          <w:rFonts w:ascii="Times" w:hAnsi="Times" w:cs="Times"/>
        </w:rPr>
        <w:t>topics of timely interest</w:t>
      </w:r>
      <w:r w:rsidR="004202D5">
        <w:rPr>
          <w:rFonts w:ascii="Times" w:hAnsi="Times" w:cs="Times"/>
        </w:rPr>
        <w:t xml:space="preserve">; </w:t>
      </w:r>
      <w:r w:rsidR="004E7211">
        <w:rPr>
          <w:rFonts w:ascii="Times" w:hAnsi="Times" w:cs="Times"/>
        </w:rPr>
        <w:t>however</w:t>
      </w:r>
      <w:r w:rsidR="004202D5" w:rsidRPr="00D60904">
        <w:rPr>
          <w:rFonts w:ascii="Times" w:hAnsi="Times" w:cs="Times"/>
        </w:rPr>
        <w:t xml:space="preserve">, </w:t>
      </w:r>
      <w:r w:rsidR="00482994">
        <w:rPr>
          <w:rFonts w:ascii="Times" w:hAnsi="Times" w:cs="Times"/>
        </w:rPr>
        <w:t>the</w:t>
      </w:r>
      <w:r w:rsidR="004202D5" w:rsidRPr="00D60904">
        <w:rPr>
          <w:rFonts w:ascii="Times" w:hAnsi="Times" w:cs="Times"/>
        </w:rPr>
        <w:t xml:space="preserve"> sample </w:t>
      </w:r>
      <w:r w:rsidR="0048757C">
        <w:rPr>
          <w:rFonts w:ascii="Times" w:hAnsi="Times" w:cs="Times"/>
        </w:rPr>
        <w:t xml:space="preserve">survey </w:t>
      </w:r>
      <w:r w:rsidR="004202D5" w:rsidRPr="00D60904">
        <w:rPr>
          <w:rFonts w:ascii="Times" w:hAnsi="Times" w:cs="Times"/>
        </w:rPr>
        <w:t xml:space="preserve">form </w:t>
      </w:r>
      <w:r w:rsidR="00482994">
        <w:rPr>
          <w:rFonts w:ascii="Times" w:hAnsi="Times" w:cs="Times"/>
        </w:rPr>
        <w:t xml:space="preserve">includes </w:t>
      </w:r>
      <w:r w:rsidR="00D86A5F">
        <w:rPr>
          <w:rFonts w:ascii="Times" w:hAnsi="Times" w:cs="Times"/>
        </w:rPr>
        <w:t xml:space="preserve">47 </w:t>
      </w:r>
      <w:r w:rsidR="0048757C">
        <w:rPr>
          <w:rFonts w:ascii="Times" w:hAnsi="Times" w:cs="Times"/>
        </w:rPr>
        <w:t>core questions</w:t>
      </w:r>
      <w:r w:rsidR="004202D5" w:rsidRPr="00D60904">
        <w:rPr>
          <w:rFonts w:ascii="Times" w:hAnsi="Times" w:cs="Times"/>
        </w:rPr>
        <w:t>.</w:t>
      </w:r>
    </w:p>
    <w:p w:rsidR="00592B20" w:rsidRPr="00D60904" w:rsidRDefault="00592B20">
      <w:pPr>
        <w:widowControl/>
        <w:tabs>
          <w:tab w:val="left" w:pos="360"/>
        </w:tabs>
        <w:rPr>
          <w:rFonts w:ascii="Times" w:hAnsi="Times" w:cs="Times"/>
        </w:rPr>
      </w:pPr>
    </w:p>
    <w:p w:rsidR="00592B20" w:rsidRPr="00D60904" w:rsidRDefault="00592B20">
      <w:pPr>
        <w:widowControl/>
        <w:tabs>
          <w:tab w:val="left" w:pos="360"/>
        </w:tabs>
        <w:ind w:firstLine="360"/>
        <w:rPr>
          <w:rFonts w:ascii="Times" w:hAnsi="Times" w:cs="Times"/>
        </w:rPr>
      </w:pPr>
      <w:r w:rsidRPr="00D60904">
        <w:rPr>
          <w:rFonts w:ascii="Times" w:hAnsi="Times" w:cs="Times"/>
        </w:rPr>
        <w:t xml:space="preserve">Although the Federal Reserve </w:t>
      </w:r>
      <w:r w:rsidR="00ED53A6">
        <w:rPr>
          <w:rFonts w:ascii="Times" w:hAnsi="Times" w:cs="Times"/>
        </w:rPr>
        <w:t>seeks</w:t>
      </w:r>
      <w:r w:rsidRPr="00D60904">
        <w:rPr>
          <w:rFonts w:ascii="Times" w:hAnsi="Times" w:cs="Times"/>
        </w:rPr>
        <w:t xml:space="preserve"> the authority to conduct the survey up to six times a year, the survey </w:t>
      </w:r>
      <w:r w:rsidR="00ED53A6">
        <w:rPr>
          <w:rFonts w:ascii="Times" w:hAnsi="Times" w:cs="Times"/>
        </w:rPr>
        <w:t xml:space="preserve">is expected </w:t>
      </w:r>
      <w:r w:rsidR="00643E34">
        <w:rPr>
          <w:rFonts w:ascii="Times" w:hAnsi="Times" w:cs="Times"/>
        </w:rPr>
        <w:t>to</w:t>
      </w:r>
      <w:r w:rsidR="00ED53A6">
        <w:rPr>
          <w:rFonts w:ascii="Times" w:hAnsi="Times" w:cs="Times"/>
        </w:rPr>
        <w:t xml:space="preserve"> be</w:t>
      </w:r>
      <w:r w:rsidRPr="00D60904">
        <w:rPr>
          <w:rFonts w:ascii="Times" w:hAnsi="Times" w:cs="Times"/>
        </w:rPr>
        <w:t xml:space="preserve"> conducted only four times a year</w:t>
      </w:r>
      <w:r w:rsidR="004E7211">
        <w:rPr>
          <w:rFonts w:ascii="Times" w:hAnsi="Times" w:cs="Times"/>
        </w:rPr>
        <w:t xml:space="preserve"> consistent with the FR 2018</w:t>
      </w:r>
      <w:r w:rsidR="00B242E8">
        <w:rPr>
          <w:rFonts w:ascii="Times" w:hAnsi="Times" w:cs="Times"/>
        </w:rPr>
        <w:t xml:space="preserve">.  </w:t>
      </w:r>
      <w:r w:rsidRPr="00D60904">
        <w:rPr>
          <w:rFonts w:ascii="Times" w:hAnsi="Times" w:cs="Times"/>
        </w:rPr>
        <w:t xml:space="preserve">The estimated </w:t>
      </w:r>
      <w:r w:rsidR="00222228">
        <w:rPr>
          <w:rFonts w:ascii="Times" w:hAnsi="Times" w:cs="Times"/>
        </w:rPr>
        <w:t xml:space="preserve">maximum </w:t>
      </w:r>
      <w:r w:rsidRPr="00D60904">
        <w:rPr>
          <w:rFonts w:ascii="Times" w:hAnsi="Times" w:cs="Times"/>
        </w:rPr>
        <w:t xml:space="preserve">annual burden, based on six surveys, is </w:t>
      </w:r>
      <w:r w:rsidR="00404862">
        <w:rPr>
          <w:rFonts w:ascii="Times" w:hAnsi="Times" w:cs="Times"/>
        </w:rPr>
        <w:t>450</w:t>
      </w:r>
      <w:r w:rsidR="00E57DA8">
        <w:rPr>
          <w:rFonts w:ascii="Times" w:hAnsi="Times" w:cs="Times"/>
        </w:rPr>
        <w:t xml:space="preserve"> </w:t>
      </w:r>
      <w:r w:rsidRPr="00D60904">
        <w:rPr>
          <w:rFonts w:ascii="Times" w:hAnsi="Times" w:cs="Times"/>
        </w:rPr>
        <w:t>hours.  Consistent with the</w:t>
      </w:r>
      <w:r w:rsidR="00B505CE">
        <w:rPr>
          <w:rFonts w:ascii="Times" w:hAnsi="Times" w:cs="Times"/>
        </w:rPr>
        <w:t xml:space="preserve"> FR 20</w:t>
      </w:r>
      <w:r w:rsidR="004E7211">
        <w:rPr>
          <w:rFonts w:ascii="Times" w:hAnsi="Times" w:cs="Times"/>
        </w:rPr>
        <w:t>18</w:t>
      </w:r>
      <w:r w:rsidR="00664129">
        <w:rPr>
          <w:rFonts w:ascii="Times" w:hAnsi="Times" w:cs="Times"/>
        </w:rPr>
        <w:t>,</w:t>
      </w:r>
      <w:r w:rsidRPr="00D60904">
        <w:rPr>
          <w:rFonts w:ascii="Times" w:hAnsi="Times" w:cs="Times"/>
        </w:rPr>
        <w:t xml:space="preserve"> other types of respondents</w:t>
      </w:r>
      <w:r w:rsidR="002944C3">
        <w:rPr>
          <w:rFonts w:ascii="Times" w:hAnsi="Times" w:cs="Times"/>
        </w:rPr>
        <w:t>, s</w:t>
      </w:r>
      <w:r w:rsidRPr="00D60904">
        <w:rPr>
          <w:rFonts w:ascii="Times" w:hAnsi="Times" w:cs="Times"/>
        </w:rPr>
        <w:t xml:space="preserve">uch as other depository institutions, bank holding companies, or </w:t>
      </w:r>
      <w:r w:rsidR="00CD7D2E" w:rsidRPr="00D60904">
        <w:rPr>
          <w:rFonts w:ascii="Times" w:hAnsi="Times" w:cs="Times"/>
        </w:rPr>
        <w:t>other financial entities</w:t>
      </w:r>
      <w:r w:rsidR="002944C3">
        <w:rPr>
          <w:rFonts w:ascii="Times" w:hAnsi="Times" w:cs="Times"/>
        </w:rPr>
        <w:t xml:space="preserve">, may be surveyed </w:t>
      </w:r>
      <w:r w:rsidR="00CD7D2E" w:rsidRPr="00D60904">
        <w:rPr>
          <w:rFonts w:ascii="Times" w:hAnsi="Times" w:cs="Times"/>
        </w:rPr>
        <w:t>if appropriate</w:t>
      </w:r>
      <w:r w:rsidRPr="00D60904">
        <w:rPr>
          <w:rFonts w:ascii="Times" w:hAnsi="Times" w:cs="Times"/>
        </w:rPr>
        <w:t>.</w:t>
      </w:r>
    </w:p>
    <w:p w:rsidR="00592B20" w:rsidRPr="00D60904" w:rsidRDefault="00592B20">
      <w:pPr>
        <w:widowControl/>
        <w:tabs>
          <w:tab w:val="left" w:pos="360"/>
        </w:tabs>
        <w:rPr>
          <w:rFonts w:ascii="Times" w:hAnsi="Times" w:cs="Times"/>
        </w:rPr>
      </w:pPr>
    </w:p>
    <w:p w:rsidR="00592B20" w:rsidRDefault="00592B20">
      <w:pPr>
        <w:widowControl/>
        <w:tabs>
          <w:tab w:val="left" w:pos="360"/>
        </w:tabs>
        <w:ind w:firstLine="360"/>
        <w:rPr>
          <w:rFonts w:ascii="Times" w:hAnsi="Times" w:cs="Times"/>
        </w:rPr>
      </w:pPr>
      <w:r w:rsidRPr="00D60904">
        <w:rPr>
          <w:rFonts w:ascii="Times" w:hAnsi="Times" w:cs="Times"/>
        </w:rPr>
        <w:t>The respondents</w:t>
      </w:r>
      <w:r w:rsidR="00A45CF4">
        <w:rPr>
          <w:rFonts w:ascii="Times" w:hAnsi="Times" w:cs="Times"/>
        </w:rPr>
        <w:t>’</w:t>
      </w:r>
      <w:r w:rsidRPr="00D60904">
        <w:rPr>
          <w:rFonts w:ascii="Times" w:hAnsi="Times" w:cs="Times"/>
        </w:rPr>
        <w:t xml:space="preserve"> answers </w:t>
      </w:r>
      <w:r w:rsidR="00B242E8">
        <w:rPr>
          <w:rFonts w:ascii="Times" w:hAnsi="Times" w:cs="Times"/>
        </w:rPr>
        <w:t xml:space="preserve">are intended </w:t>
      </w:r>
      <w:r w:rsidR="0048757C">
        <w:rPr>
          <w:rFonts w:ascii="Times" w:hAnsi="Times" w:cs="Times"/>
        </w:rPr>
        <w:t xml:space="preserve">to </w:t>
      </w:r>
      <w:r w:rsidRPr="00D60904">
        <w:rPr>
          <w:rFonts w:ascii="Times" w:hAnsi="Times" w:cs="Times"/>
        </w:rPr>
        <w:t xml:space="preserve">provide </w:t>
      </w:r>
      <w:r w:rsidR="00A1074E">
        <w:rPr>
          <w:rFonts w:ascii="Times" w:hAnsi="Times" w:cs="Times"/>
        </w:rPr>
        <w:t>information critical to</w:t>
      </w:r>
      <w:r w:rsidR="002944C3">
        <w:rPr>
          <w:rFonts w:ascii="Times" w:hAnsi="Times" w:cs="Times"/>
        </w:rPr>
        <w:t xml:space="preserve"> the Federal Reserve’s </w:t>
      </w:r>
      <w:r w:rsidR="00A1074E">
        <w:rPr>
          <w:rFonts w:ascii="Times" w:hAnsi="Times" w:cs="Times"/>
        </w:rPr>
        <w:t>monitoring</w:t>
      </w:r>
      <w:r w:rsidR="002944C3">
        <w:rPr>
          <w:rFonts w:ascii="Times" w:hAnsi="Times" w:cs="Times"/>
        </w:rPr>
        <w:t xml:space="preserve"> o</w:t>
      </w:r>
      <w:r w:rsidR="00B242E8">
        <w:rPr>
          <w:rFonts w:ascii="Times" w:hAnsi="Times" w:cs="Times"/>
        </w:rPr>
        <w:t>f</w:t>
      </w:r>
      <w:r w:rsidR="00A1074E">
        <w:rPr>
          <w:rFonts w:ascii="Times" w:hAnsi="Times" w:cs="Times"/>
        </w:rPr>
        <w:t xml:space="preserve"> credit markets</w:t>
      </w:r>
      <w:r w:rsidR="00B242E8">
        <w:rPr>
          <w:rFonts w:ascii="Times" w:hAnsi="Times" w:cs="Times"/>
        </w:rPr>
        <w:t xml:space="preserve"> and capital market activity</w:t>
      </w:r>
      <w:r w:rsidRPr="00D60904">
        <w:rPr>
          <w:rFonts w:ascii="Times" w:hAnsi="Times" w:cs="Times"/>
        </w:rPr>
        <w:t xml:space="preserve">.   </w:t>
      </w:r>
      <w:r w:rsidR="00B80174">
        <w:rPr>
          <w:rFonts w:ascii="Times" w:hAnsi="Times" w:cs="Times"/>
        </w:rPr>
        <w:t xml:space="preserve">As is currently the case with FR 2018, aggregate </w:t>
      </w:r>
      <w:r w:rsidR="00A51CE0">
        <w:rPr>
          <w:rFonts w:ascii="Times" w:hAnsi="Times" w:cs="Times"/>
        </w:rPr>
        <w:t xml:space="preserve">results </w:t>
      </w:r>
      <w:r w:rsidR="00B242E8">
        <w:rPr>
          <w:rFonts w:ascii="Times" w:hAnsi="Times" w:cs="Times"/>
        </w:rPr>
        <w:t xml:space="preserve">from </w:t>
      </w:r>
      <w:r w:rsidR="0048757C">
        <w:rPr>
          <w:rFonts w:ascii="Times" w:hAnsi="Times" w:cs="Times"/>
        </w:rPr>
        <w:t>this s</w:t>
      </w:r>
      <w:r w:rsidR="00B242E8">
        <w:rPr>
          <w:rFonts w:ascii="Times" w:hAnsi="Times" w:cs="Times"/>
        </w:rPr>
        <w:t>urvey are expected to be made available</w:t>
      </w:r>
      <w:r w:rsidR="00A1074E">
        <w:rPr>
          <w:rFonts w:ascii="Times" w:hAnsi="Times" w:cs="Times"/>
        </w:rPr>
        <w:t xml:space="preserve"> to the public on the </w:t>
      </w:r>
      <w:r w:rsidR="008A6334">
        <w:rPr>
          <w:rFonts w:ascii="Times" w:hAnsi="Times" w:cs="Times"/>
        </w:rPr>
        <w:t xml:space="preserve">Federal Reserve </w:t>
      </w:r>
      <w:r w:rsidR="00A1074E">
        <w:rPr>
          <w:rFonts w:ascii="Times" w:hAnsi="Times" w:cs="Times"/>
        </w:rPr>
        <w:t>Board website.</w:t>
      </w:r>
      <w:r w:rsidR="007B036E" w:rsidRPr="009E7383">
        <w:rPr>
          <w:rFonts w:ascii="Times New Roman" w:hAnsi="Times New Roman"/>
          <w:vertAlign w:val="superscript"/>
        </w:rPr>
        <w:t xml:space="preserve"> </w:t>
      </w:r>
      <w:r w:rsidR="007B036E" w:rsidRPr="009E7383">
        <w:rPr>
          <w:rFonts w:ascii="Times New Roman" w:hAnsi="Times New Roman"/>
        </w:rPr>
        <w:t xml:space="preserve"> </w:t>
      </w:r>
      <w:r w:rsidR="007B036E" w:rsidRPr="00D60904">
        <w:rPr>
          <w:rFonts w:ascii="Times" w:hAnsi="Times" w:cs="Times"/>
        </w:rPr>
        <w:t>S</w:t>
      </w:r>
      <w:r w:rsidRPr="00D60904">
        <w:rPr>
          <w:rFonts w:ascii="Times" w:hAnsi="Times" w:cs="Times"/>
        </w:rPr>
        <w:t xml:space="preserve">elected </w:t>
      </w:r>
      <w:r w:rsidR="004E7211">
        <w:rPr>
          <w:rFonts w:ascii="Times" w:hAnsi="Times" w:cs="Times"/>
        </w:rPr>
        <w:t xml:space="preserve">aggregate </w:t>
      </w:r>
      <w:r w:rsidRPr="00D60904">
        <w:rPr>
          <w:rFonts w:ascii="Times" w:hAnsi="Times" w:cs="Times"/>
        </w:rPr>
        <w:t xml:space="preserve">information from the surveys </w:t>
      </w:r>
      <w:r w:rsidR="00B242E8">
        <w:rPr>
          <w:rFonts w:ascii="Times" w:hAnsi="Times" w:cs="Times"/>
        </w:rPr>
        <w:t>may also be</w:t>
      </w:r>
      <w:r w:rsidR="002944C3">
        <w:rPr>
          <w:rFonts w:ascii="Times" w:hAnsi="Times" w:cs="Times"/>
        </w:rPr>
        <w:t xml:space="preserve"> published </w:t>
      </w:r>
      <w:r w:rsidRPr="00D60904">
        <w:rPr>
          <w:rFonts w:ascii="Times" w:hAnsi="Times" w:cs="Times"/>
        </w:rPr>
        <w:t xml:space="preserve">annually in </w:t>
      </w:r>
      <w:r w:rsidRPr="00D60904">
        <w:rPr>
          <w:rFonts w:ascii="Times" w:hAnsi="Times" w:cs="Times"/>
          <w:i/>
          <w:iCs/>
        </w:rPr>
        <w:t>Federal Reserve Bulletin</w:t>
      </w:r>
      <w:r w:rsidRPr="00D60904">
        <w:rPr>
          <w:rFonts w:ascii="Times" w:hAnsi="Times" w:cs="Times"/>
        </w:rPr>
        <w:t xml:space="preserve"> article</w:t>
      </w:r>
      <w:r w:rsidR="0048757C">
        <w:rPr>
          <w:rFonts w:ascii="Times" w:hAnsi="Times" w:cs="Times"/>
        </w:rPr>
        <w:t>s</w:t>
      </w:r>
      <w:r w:rsidR="008E1D17">
        <w:rPr>
          <w:rFonts w:ascii="Times" w:hAnsi="Times" w:cs="Times"/>
        </w:rPr>
        <w:t xml:space="preserve"> and in the Monetary Policy Report to the Congress</w:t>
      </w:r>
      <w:r w:rsidRPr="00D60904">
        <w:rPr>
          <w:rFonts w:ascii="Times" w:hAnsi="Times" w:cs="Times"/>
        </w:rPr>
        <w:t>.</w:t>
      </w:r>
      <w:r w:rsidR="00B242E8">
        <w:rPr>
          <w:rFonts w:ascii="Times" w:hAnsi="Times" w:cs="Times"/>
        </w:rPr>
        <w:t xml:space="preserve">  </w:t>
      </w:r>
    </w:p>
    <w:p w:rsidR="00592B20" w:rsidRPr="00D60904" w:rsidRDefault="00592B20">
      <w:pPr>
        <w:widowControl/>
        <w:tabs>
          <w:tab w:val="left" w:pos="360"/>
        </w:tabs>
        <w:rPr>
          <w:rFonts w:ascii="Times" w:hAnsi="Times" w:cs="Times"/>
        </w:rPr>
      </w:pPr>
    </w:p>
    <w:p w:rsidR="00592B20" w:rsidRPr="00840225" w:rsidRDefault="004E7211" w:rsidP="00840225">
      <w:pPr>
        <w:widowControl/>
        <w:tabs>
          <w:tab w:val="left" w:pos="360"/>
        </w:tabs>
        <w:spacing w:after="120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Background and </w:t>
      </w:r>
      <w:r w:rsidR="00592B20" w:rsidRPr="00D60904">
        <w:rPr>
          <w:rFonts w:ascii="Times" w:hAnsi="Times" w:cs="Times"/>
          <w:b/>
          <w:bCs/>
        </w:rPr>
        <w:t>Justification</w:t>
      </w:r>
    </w:p>
    <w:p w:rsidR="00C463F5" w:rsidRDefault="00592B20" w:rsidP="00C463F5">
      <w:pPr>
        <w:widowControl/>
        <w:tabs>
          <w:tab w:val="left" w:pos="360"/>
        </w:tabs>
        <w:ind w:firstLine="360"/>
        <w:rPr>
          <w:rFonts w:ascii="Times" w:hAnsi="Times" w:cs="Times"/>
        </w:rPr>
      </w:pPr>
      <w:r w:rsidRPr="00D60904">
        <w:rPr>
          <w:rFonts w:ascii="Times" w:hAnsi="Times" w:cs="Times"/>
        </w:rPr>
        <w:t xml:space="preserve">The information obtained from the </w:t>
      </w:r>
      <w:r w:rsidR="004E7211">
        <w:rPr>
          <w:rFonts w:ascii="Times" w:hAnsi="Times" w:cs="Times"/>
        </w:rPr>
        <w:t>FR 2018</w:t>
      </w:r>
      <w:r w:rsidR="00C463F5">
        <w:rPr>
          <w:rFonts w:ascii="Times" w:hAnsi="Times" w:cs="Times"/>
        </w:rPr>
        <w:t xml:space="preserve">, which has been conducted </w:t>
      </w:r>
      <w:r w:rsidR="00FD6380">
        <w:rPr>
          <w:rFonts w:ascii="Times" w:hAnsi="Times" w:cs="Times"/>
        </w:rPr>
        <w:t xml:space="preserve">in different forms </w:t>
      </w:r>
      <w:r w:rsidR="00C463F5">
        <w:rPr>
          <w:rFonts w:ascii="Times" w:hAnsi="Times" w:cs="Times"/>
        </w:rPr>
        <w:t xml:space="preserve">since 1964, </w:t>
      </w:r>
      <w:r w:rsidR="00C12B15">
        <w:rPr>
          <w:rFonts w:ascii="Times" w:hAnsi="Times" w:cs="Times"/>
        </w:rPr>
        <w:t>provides</w:t>
      </w:r>
      <w:r w:rsidRPr="00D60904">
        <w:rPr>
          <w:rFonts w:ascii="Times" w:hAnsi="Times" w:cs="Times"/>
        </w:rPr>
        <w:t xml:space="preserve"> valuable insight</w:t>
      </w:r>
      <w:r w:rsidR="00A14A6C" w:rsidRPr="00D60904">
        <w:rPr>
          <w:rFonts w:ascii="Times" w:hAnsi="Times" w:cs="Times"/>
        </w:rPr>
        <w:t>s</w:t>
      </w:r>
      <w:r w:rsidRPr="00D60904">
        <w:rPr>
          <w:rFonts w:ascii="Times" w:hAnsi="Times" w:cs="Times"/>
        </w:rPr>
        <w:t xml:space="preserve"> on credit market and banking developments and </w:t>
      </w:r>
      <w:r w:rsidR="00AA09EE">
        <w:rPr>
          <w:rFonts w:ascii="Times" w:hAnsi="Times" w:cs="Times"/>
        </w:rPr>
        <w:t xml:space="preserve">meaningfully informs the </w:t>
      </w:r>
      <w:r w:rsidR="002463C5">
        <w:rPr>
          <w:rFonts w:ascii="Times" w:hAnsi="Times" w:cs="Times"/>
        </w:rPr>
        <w:t>formulation of</w:t>
      </w:r>
      <w:r w:rsidR="00AA09EE">
        <w:rPr>
          <w:rFonts w:ascii="Times" w:hAnsi="Times" w:cs="Times"/>
        </w:rPr>
        <w:t xml:space="preserve"> </w:t>
      </w:r>
      <w:r w:rsidRPr="00D60904">
        <w:rPr>
          <w:rFonts w:ascii="Times" w:hAnsi="Times" w:cs="Times"/>
        </w:rPr>
        <w:t xml:space="preserve">monetary policy.  </w:t>
      </w:r>
      <w:r w:rsidR="008E1EDC">
        <w:rPr>
          <w:rFonts w:ascii="Times" w:hAnsi="Times" w:cs="Times"/>
        </w:rPr>
        <w:t>This information has been particularly valuable in recent quarters as it has provided the Fed</w:t>
      </w:r>
      <w:r w:rsidR="00EE078E">
        <w:rPr>
          <w:rFonts w:ascii="Times" w:hAnsi="Times" w:cs="Times"/>
        </w:rPr>
        <w:t>eral Reserve</w:t>
      </w:r>
      <w:r w:rsidR="008E1EDC">
        <w:rPr>
          <w:rFonts w:ascii="Times" w:hAnsi="Times" w:cs="Times"/>
        </w:rPr>
        <w:t xml:space="preserve"> with insight into the effects of the financial crisis on the availability of credit to households and businesses.  </w:t>
      </w:r>
    </w:p>
    <w:p w:rsidR="00C463F5" w:rsidRDefault="00C463F5" w:rsidP="00C463F5">
      <w:pPr>
        <w:widowControl/>
        <w:tabs>
          <w:tab w:val="left" w:pos="360"/>
        </w:tabs>
        <w:ind w:firstLine="360"/>
        <w:rPr>
          <w:rFonts w:ascii="Times" w:hAnsi="Times" w:cs="Times"/>
        </w:rPr>
      </w:pPr>
    </w:p>
    <w:p w:rsidR="00C463F5" w:rsidRDefault="00C463F5" w:rsidP="00C463F5">
      <w:pPr>
        <w:widowControl/>
        <w:tabs>
          <w:tab w:val="left" w:pos="360"/>
        </w:tabs>
        <w:ind w:firstLine="360"/>
        <w:rPr>
          <w:rFonts w:ascii="Times" w:hAnsi="Times" w:cs="Times"/>
        </w:rPr>
      </w:pPr>
      <w:r>
        <w:rPr>
          <w:rFonts w:ascii="Times" w:hAnsi="Times" w:cs="Times"/>
        </w:rPr>
        <w:lastRenderedPageBreak/>
        <w:t>The crisis, however, has also highlighted that a significant volume of credit intermediation has moved outside of the traditional banking sector</w:t>
      </w:r>
      <w:r w:rsidR="008324E6">
        <w:rPr>
          <w:rFonts w:ascii="Times" w:hAnsi="Times" w:cs="Times"/>
        </w:rPr>
        <w:t>,</w:t>
      </w:r>
      <w:r>
        <w:rPr>
          <w:rFonts w:ascii="Times" w:hAnsi="Times" w:cs="Times"/>
        </w:rPr>
        <w:t xml:space="preserve"> which is the </w:t>
      </w:r>
      <w:r w:rsidR="008324E6">
        <w:rPr>
          <w:rFonts w:ascii="Times" w:hAnsi="Times" w:cs="Times"/>
        </w:rPr>
        <w:t xml:space="preserve">primary </w:t>
      </w:r>
      <w:r>
        <w:rPr>
          <w:rFonts w:ascii="Times" w:hAnsi="Times" w:cs="Times"/>
        </w:rPr>
        <w:t xml:space="preserve">focus of the </w:t>
      </w:r>
      <w:r w:rsidR="004E7211">
        <w:rPr>
          <w:rFonts w:ascii="Times" w:hAnsi="Times" w:cs="Times"/>
        </w:rPr>
        <w:t>FR 2018</w:t>
      </w:r>
      <w:r>
        <w:rPr>
          <w:rFonts w:ascii="Times" w:hAnsi="Times" w:cs="Times"/>
        </w:rPr>
        <w:t xml:space="preserve">.  In addition, some of the instruments that are commonly used in conjunction with such intermediation </w:t>
      </w:r>
      <w:r w:rsidR="002B0035">
        <w:rPr>
          <w:rFonts w:ascii="Times" w:hAnsi="Times" w:cs="Times"/>
        </w:rPr>
        <w:t>(</w:t>
      </w:r>
      <w:r w:rsidR="00AA09EE">
        <w:rPr>
          <w:rFonts w:ascii="Times" w:hAnsi="Times" w:cs="Times"/>
        </w:rPr>
        <w:t>including for the</w:t>
      </w:r>
      <w:r>
        <w:rPr>
          <w:rFonts w:ascii="Times" w:hAnsi="Times" w:cs="Times"/>
        </w:rPr>
        <w:t xml:space="preserve"> financing of securities positions and over-the-counter derivatives</w:t>
      </w:r>
      <w:r w:rsidR="002B0035">
        <w:rPr>
          <w:rFonts w:ascii="Times" w:hAnsi="Times" w:cs="Times"/>
        </w:rPr>
        <w:t>)</w:t>
      </w:r>
      <w:r>
        <w:rPr>
          <w:rFonts w:ascii="Times" w:hAnsi="Times" w:cs="Times"/>
        </w:rPr>
        <w:t xml:space="preserve"> may have functioned as transmission mechanisms</w:t>
      </w:r>
      <w:r w:rsidR="00FD1A30">
        <w:rPr>
          <w:rFonts w:ascii="Times" w:hAnsi="Times" w:cs="Times"/>
        </w:rPr>
        <w:t xml:space="preserve"> for financial distress</w:t>
      </w:r>
      <w:r w:rsidR="002B0035">
        <w:rPr>
          <w:rFonts w:ascii="Times" w:hAnsi="Times" w:cs="Times"/>
        </w:rPr>
        <w:t xml:space="preserve"> during the crisis by</w:t>
      </w:r>
      <w:r>
        <w:rPr>
          <w:rFonts w:ascii="Times" w:hAnsi="Times" w:cs="Times"/>
        </w:rPr>
        <w:t xml:space="preserve"> connecting together </w:t>
      </w:r>
      <w:r w:rsidR="00AA09EE">
        <w:rPr>
          <w:rFonts w:ascii="Times" w:hAnsi="Times" w:cs="Times"/>
        </w:rPr>
        <w:t xml:space="preserve">seemingly separate </w:t>
      </w:r>
      <w:r>
        <w:rPr>
          <w:rFonts w:ascii="Times" w:hAnsi="Times" w:cs="Times"/>
        </w:rPr>
        <w:t xml:space="preserve">parts of the financial system.  </w:t>
      </w:r>
      <w:r w:rsidR="009F3324">
        <w:rPr>
          <w:rFonts w:ascii="Times" w:hAnsi="Times" w:cs="Times"/>
        </w:rPr>
        <w:t xml:space="preserve">In light of these concerns, there is considerable and mounting </w:t>
      </w:r>
      <w:r w:rsidR="008860C9">
        <w:rPr>
          <w:rFonts w:ascii="Times" w:hAnsi="Times" w:cs="Times"/>
        </w:rPr>
        <w:t>interest</w:t>
      </w:r>
      <w:r w:rsidR="00BC6B3A">
        <w:rPr>
          <w:rFonts w:ascii="Times" w:hAnsi="Times" w:cs="Times"/>
        </w:rPr>
        <w:t xml:space="preserve">, including from regulators in other jurisdictions and multilateral organizations in which the </w:t>
      </w:r>
      <w:r w:rsidR="00482994">
        <w:rPr>
          <w:rFonts w:ascii="Times" w:hAnsi="Times" w:cs="Times"/>
        </w:rPr>
        <w:t xml:space="preserve">Federal Reserve </w:t>
      </w:r>
      <w:r w:rsidR="00BC6B3A">
        <w:rPr>
          <w:rFonts w:ascii="Times" w:hAnsi="Times" w:cs="Times"/>
        </w:rPr>
        <w:t>is an active participant</w:t>
      </w:r>
      <w:r w:rsidR="009F3324">
        <w:rPr>
          <w:rFonts w:ascii="Times" w:hAnsi="Times" w:cs="Times"/>
        </w:rPr>
        <w:t xml:space="preserve">, </w:t>
      </w:r>
      <w:r w:rsidR="00BC6B3A">
        <w:rPr>
          <w:rFonts w:ascii="Times" w:hAnsi="Times" w:cs="Times"/>
        </w:rPr>
        <w:t>in developing</w:t>
      </w:r>
      <w:r w:rsidR="009F3324">
        <w:rPr>
          <w:rFonts w:ascii="Times" w:hAnsi="Times" w:cs="Times"/>
        </w:rPr>
        <w:t xml:space="preserve"> enhanced capabilities to track these activities.</w:t>
      </w:r>
    </w:p>
    <w:p w:rsidR="00C463F5" w:rsidRDefault="00C463F5" w:rsidP="00C463F5">
      <w:pPr>
        <w:widowControl/>
        <w:tabs>
          <w:tab w:val="left" w:pos="360"/>
        </w:tabs>
        <w:ind w:firstLine="360"/>
        <w:rPr>
          <w:rFonts w:ascii="Times" w:hAnsi="Times" w:cs="Times"/>
        </w:rPr>
      </w:pPr>
    </w:p>
    <w:p w:rsidR="005A0152" w:rsidRDefault="00BB3960" w:rsidP="00840225">
      <w:pPr>
        <w:widowControl/>
        <w:tabs>
          <w:tab w:val="left" w:pos="360"/>
        </w:tabs>
        <w:spacing w:after="120"/>
        <w:rPr>
          <w:rFonts w:ascii="Times" w:hAnsi="Times" w:cs="Times"/>
        </w:rPr>
      </w:pPr>
      <w:r>
        <w:rPr>
          <w:rFonts w:ascii="Times" w:hAnsi="Times" w:cs="Times"/>
        </w:rPr>
        <w:tab/>
      </w:r>
      <w:r w:rsidR="00C463F5">
        <w:rPr>
          <w:rFonts w:ascii="Times" w:hAnsi="Times" w:cs="Times"/>
        </w:rPr>
        <w:t>For these rea</w:t>
      </w:r>
      <w:r w:rsidR="001119F3">
        <w:rPr>
          <w:rFonts w:ascii="Times" w:hAnsi="Times" w:cs="Times"/>
        </w:rPr>
        <w:t xml:space="preserve">sons, and given </w:t>
      </w:r>
      <w:r w:rsidR="00AA09EE">
        <w:rPr>
          <w:rFonts w:ascii="Times" w:hAnsi="Times" w:cs="Times"/>
        </w:rPr>
        <w:t>not only</w:t>
      </w:r>
      <w:r w:rsidR="001119F3">
        <w:rPr>
          <w:rFonts w:ascii="Times" w:hAnsi="Times" w:cs="Times"/>
        </w:rPr>
        <w:t xml:space="preserve"> </w:t>
      </w:r>
      <w:r w:rsidR="00615099">
        <w:rPr>
          <w:rFonts w:ascii="Times" w:hAnsi="Times" w:cs="Times"/>
        </w:rPr>
        <w:t>the</w:t>
      </w:r>
      <w:r w:rsidR="001119F3">
        <w:rPr>
          <w:rFonts w:ascii="Times" w:hAnsi="Times" w:cs="Times"/>
        </w:rPr>
        <w:t xml:space="preserve"> monetary policy responsibilities </w:t>
      </w:r>
      <w:r w:rsidR="00615099">
        <w:rPr>
          <w:rFonts w:ascii="Times" w:hAnsi="Times" w:cs="Times"/>
        </w:rPr>
        <w:t xml:space="preserve">of the Federal Reserve </w:t>
      </w:r>
      <w:r w:rsidR="00AA09EE">
        <w:rPr>
          <w:rFonts w:ascii="Times" w:hAnsi="Times" w:cs="Times"/>
        </w:rPr>
        <w:t xml:space="preserve">but also </w:t>
      </w:r>
      <w:r w:rsidR="009F3324">
        <w:rPr>
          <w:rFonts w:ascii="Times" w:hAnsi="Times" w:cs="Times"/>
        </w:rPr>
        <w:t xml:space="preserve">its present </w:t>
      </w:r>
      <w:r w:rsidR="001119F3">
        <w:rPr>
          <w:rFonts w:ascii="Times" w:hAnsi="Times" w:cs="Times"/>
        </w:rPr>
        <w:t xml:space="preserve">role in </w:t>
      </w:r>
      <w:r w:rsidR="00615099">
        <w:rPr>
          <w:rFonts w:ascii="Times" w:hAnsi="Times" w:cs="Times"/>
        </w:rPr>
        <w:t xml:space="preserve">promoting and maintaining the stability of the </w:t>
      </w:r>
      <w:r w:rsidR="001119F3">
        <w:rPr>
          <w:rFonts w:ascii="Times" w:hAnsi="Times" w:cs="Times"/>
        </w:rPr>
        <w:t xml:space="preserve">financial </w:t>
      </w:r>
      <w:r w:rsidR="00615099">
        <w:rPr>
          <w:rFonts w:ascii="Times" w:hAnsi="Times" w:cs="Times"/>
        </w:rPr>
        <w:t xml:space="preserve">system—for </w:t>
      </w:r>
      <w:r w:rsidR="001119F3">
        <w:rPr>
          <w:rFonts w:ascii="Times" w:hAnsi="Times" w:cs="Times"/>
        </w:rPr>
        <w:t>example as a member of the newly constituted Financial Stability Board formed at the behest of the G</w:t>
      </w:r>
      <w:r w:rsidR="009A07E8">
        <w:rPr>
          <w:rFonts w:ascii="Times" w:hAnsi="Times" w:cs="Times"/>
        </w:rPr>
        <w:t>-</w:t>
      </w:r>
      <w:r w:rsidR="001119F3">
        <w:rPr>
          <w:rFonts w:ascii="Times" w:hAnsi="Times" w:cs="Times"/>
        </w:rPr>
        <w:t>20 Finance Ministers and Central Bank Governors</w:t>
      </w:r>
      <w:r w:rsidR="00615099">
        <w:rPr>
          <w:rFonts w:ascii="Times" w:hAnsi="Times" w:cs="Times"/>
        </w:rPr>
        <w:t xml:space="preserve">—it </w:t>
      </w:r>
      <w:r w:rsidR="001119F3">
        <w:rPr>
          <w:rFonts w:ascii="Times" w:hAnsi="Times" w:cs="Times"/>
        </w:rPr>
        <w:t xml:space="preserve">is vital that the regular collection and analysis of information representing the informed judgment of market participants be expanded to include these additional </w:t>
      </w:r>
      <w:r w:rsidR="00AA09EE">
        <w:rPr>
          <w:rFonts w:ascii="Times" w:hAnsi="Times" w:cs="Times"/>
        </w:rPr>
        <w:t>forms of credit extension</w:t>
      </w:r>
      <w:r w:rsidR="005170D1" w:rsidRPr="005170D1">
        <w:rPr>
          <w:rStyle w:val="FootnoteReference"/>
          <w:rFonts w:ascii="Times" w:hAnsi="Times" w:cs="Times"/>
          <w:vertAlign w:val="superscript"/>
        </w:rPr>
        <w:footnoteReference w:id="2"/>
      </w:r>
      <w:r w:rsidR="001119F3">
        <w:rPr>
          <w:rFonts w:ascii="Times" w:hAnsi="Times" w:cs="Times"/>
        </w:rPr>
        <w:t>.  However, the activities that would be the focus of th</w:t>
      </w:r>
      <w:r w:rsidR="00615099">
        <w:rPr>
          <w:rFonts w:ascii="Times" w:hAnsi="Times" w:cs="Times"/>
        </w:rPr>
        <w:t>is</w:t>
      </w:r>
      <w:r w:rsidR="001119F3">
        <w:rPr>
          <w:rFonts w:ascii="Times" w:hAnsi="Times" w:cs="Times"/>
        </w:rPr>
        <w:t xml:space="preserve"> new </w:t>
      </w:r>
      <w:r w:rsidR="00615099">
        <w:rPr>
          <w:rFonts w:ascii="Times" w:hAnsi="Times" w:cs="Times"/>
        </w:rPr>
        <w:t>proposed survey</w:t>
      </w:r>
      <w:r w:rsidR="001119F3">
        <w:rPr>
          <w:rFonts w:ascii="Times" w:hAnsi="Times" w:cs="Times"/>
        </w:rPr>
        <w:t xml:space="preserve"> are conducted by a different and smaller subset of market participants than </w:t>
      </w:r>
      <w:r w:rsidR="00615099">
        <w:rPr>
          <w:rFonts w:ascii="Times" w:hAnsi="Times" w:cs="Times"/>
        </w:rPr>
        <w:t>the up to 60</w:t>
      </w:r>
      <w:r w:rsidR="00615099" w:rsidRPr="00D60904">
        <w:rPr>
          <w:rFonts w:ascii="Times" w:hAnsi="Times" w:cs="Times"/>
        </w:rPr>
        <w:t xml:space="preserve"> large domestically chartered commercial banks</w:t>
      </w:r>
      <w:r w:rsidR="00615099">
        <w:rPr>
          <w:rFonts w:ascii="Times" w:hAnsi="Times" w:cs="Times"/>
        </w:rPr>
        <w:t xml:space="preserve"> </w:t>
      </w:r>
      <w:r w:rsidR="00615099" w:rsidRPr="00D60904">
        <w:rPr>
          <w:rFonts w:ascii="Times" w:hAnsi="Times" w:cs="Times"/>
        </w:rPr>
        <w:t xml:space="preserve">and up to </w:t>
      </w:r>
      <w:r w:rsidR="00615099">
        <w:rPr>
          <w:rFonts w:ascii="Times" w:hAnsi="Times" w:cs="Times"/>
        </w:rPr>
        <w:t>24</w:t>
      </w:r>
      <w:r w:rsidR="00615099" w:rsidRPr="00D60904">
        <w:rPr>
          <w:rFonts w:ascii="Times" w:hAnsi="Times" w:cs="Times"/>
        </w:rPr>
        <w:t xml:space="preserve"> large U.S. branches and agencies of foreign banks</w:t>
      </w:r>
      <w:r w:rsidR="00615099">
        <w:rPr>
          <w:rFonts w:ascii="Times" w:hAnsi="Times" w:cs="Times"/>
        </w:rPr>
        <w:t xml:space="preserve"> </w:t>
      </w:r>
      <w:r w:rsidR="00B76447">
        <w:rPr>
          <w:rFonts w:ascii="Times" w:hAnsi="Times" w:cs="Times"/>
        </w:rPr>
        <w:t xml:space="preserve">that make up </w:t>
      </w:r>
      <w:r w:rsidR="00615099">
        <w:rPr>
          <w:rFonts w:ascii="Times" w:hAnsi="Times" w:cs="Times"/>
        </w:rPr>
        <w:t xml:space="preserve">the pool of respondents of </w:t>
      </w:r>
      <w:r w:rsidR="001119F3">
        <w:rPr>
          <w:rFonts w:ascii="Times" w:hAnsi="Times" w:cs="Times"/>
        </w:rPr>
        <w:t xml:space="preserve">the </w:t>
      </w:r>
      <w:r w:rsidR="002B0035">
        <w:rPr>
          <w:rFonts w:ascii="Times" w:hAnsi="Times" w:cs="Times"/>
        </w:rPr>
        <w:t>FR 2018</w:t>
      </w:r>
      <w:r w:rsidR="001119F3">
        <w:rPr>
          <w:rFonts w:ascii="Times" w:hAnsi="Times" w:cs="Times"/>
        </w:rPr>
        <w:t xml:space="preserve">.  </w:t>
      </w:r>
      <w:r w:rsidR="00FD1A30">
        <w:rPr>
          <w:rFonts w:ascii="Times" w:hAnsi="Times" w:cs="Times"/>
        </w:rPr>
        <w:t>And the</w:t>
      </w:r>
      <w:r w:rsidR="00B439DF">
        <w:rPr>
          <w:rFonts w:ascii="Times" w:hAnsi="Times" w:cs="Times"/>
        </w:rPr>
        <w:t>se</w:t>
      </w:r>
      <w:r w:rsidR="00FD1A30">
        <w:rPr>
          <w:rFonts w:ascii="Times" w:hAnsi="Times" w:cs="Times"/>
        </w:rPr>
        <w:t xml:space="preserve"> activities are not conducted </w:t>
      </w:r>
      <w:r w:rsidR="00B439DF">
        <w:rPr>
          <w:rFonts w:ascii="Times" w:hAnsi="Times" w:cs="Times"/>
        </w:rPr>
        <w:t xml:space="preserve">solely </w:t>
      </w:r>
      <w:r w:rsidR="00FD1A30">
        <w:rPr>
          <w:rFonts w:ascii="Times" w:hAnsi="Times" w:cs="Times"/>
        </w:rPr>
        <w:t>in a bank</w:t>
      </w:r>
      <w:r w:rsidR="00B439DF">
        <w:rPr>
          <w:rFonts w:ascii="Times" w:hAnsi="Times" w:cs="Times"/>
        </w:rPr>
        <w:t xml:space="preserve"> but in several different legal entities</w:t>
      </w:r>
      <w:r w:rsidR="00FD1A30">
        <w:rPr>
          <w:rFonts w:ascii="Times" w:hAnsi="Times" w:cs="Times"/>
        </w:rPr>
        <w:t xml:space="preserve">, necessitating a survey focused on the consolidated entity.  </w:t>
      </w:r>
      <w:r w:rsidR="001119F3">
        <w:rPr>
          <w:rFonts w:ascii="Times" w:hAnsi="Times" w:cs="Times"/>
        </w:rPr>
        <w:t xml:space="preserve">Thus there is reason to establish a new, and more precisely targeted, program rather than expand the </w:t>
      </w:r>
      <w:r w:rsidR="009F3324">
        <w:rPr>
          <w:rFonts w:ascii="Times" w:hAnsi="Times" w:cs="Times"/>
        </w:rPr>
        <w:t xml:space="preserve">scope of the </w:t>
      </w:r>
      <w:r w:rsidR="001119F3">
        <w:rPr>
          <w:rFonts w:ascii="Times" w:hAnsi="Times" w:cs="Times"/>
        </w:rPr>
        <w:t xml:space="preserve">existing </w:t>
      </w:r>
      <w:r w:rsidR="009F3324">
        <w:rPr>
          <w:rFonts w:ascii="Times" w:hAnsi="Times" w:cs="Times"/>
        </w:rPr>
        <w:t xml:space="preserve">survey </w:t>
      </w:r>
      <w:r w:rsidR="001119F3">
        <w:rPr>
          <w:rFonts w:ascii="Times" w:hAnsi="Times" w:cs="Times"/>
        </w:rPr>
        <w:t>effort.</w:t>
      </w:r>
    </w:p>
    <w:p w:rsidR="00592B20" w:rsidRPr="0048757C" w:rsidRDefault="00592B20" w:rsidP="00840225">
      <w:pPr>
        <w:widowControl/>
        <w:tabs>
          <w:tab w:val="left" w:pos="360"/>
        </w:tabs>
        <w:spacing w:after="120"/>
        <w:rPr>
          <w:rFonts w:ascii="Times" w:hAnsi="Times" w:cs="Times"/>
          <w:b/>
          <w:bCs/>
        </w:rPr>
      </w:pPr>
      <w:r w:rsidRPr="00D60904">
        <w:rPr>
          <w:rFonts w:ascii="Times" w:hAnsi="Times" w:cs="Times"/>
          <w:b/>
          <w:bCs/>
        </w:rPr>
        <w:t>Description of Information Collection</w:t>
      </w:r>
    </w:p>
    <w:p w:rsidR="00CA71A7" w:rsidRPr="00D60904" w:rsidRDefault="00CA71A7" w:rsidP="00CA71A7">
      <w:pPr>
        <w:widowControl/>
        <w:tabs>
          <w:tab w:val="left" w:pos="360"/>
        </w:tabs>
        <w:ind w:firstLine="360"/>
        <w:rPr>
          <w:rFonts w:ascii="Times" w:hAnsi="Times" w:cs="Times"/>
        </w:rPr>
      </w:pPr>
      <w:r>
        <w:rPr>
          <w:rFonts w:ascii="Times" w:hAnsi="Times" w:cs="Times"/>
        </w:rPr>
        <w:t xml:space="preserve">The </w:t>
      </w:r>
      <w:r w:rsidRPr="00D60904">
        <w:rPr>
          <w:rFonts w:ascii="Times" w:hAnsi="Times" w:cs="Times"/>
        </w:rPr>
        <w:t xml:space="preserve">questions </w:t>
      </w:r>
      <w:r>
        <w:rPr>
          <w:rFonts w:ascii="Times" w:hAnsi="Times" w:cs="Times"/>
        </w:rPr>
        <w:t xml:space="preserve">on the </w:t>
      </w:r>
      <w:r w:rsidR="001A2664">
        <w:rPr>
          <w:rFonts w:ascii="Times" w:hAnsi="Times" w:cs="Times"/>
        </w:rPr>
        <w:t xml:space="preserve">Senior Credit Officer Opinion Survey would </w:t>
      </w:r>
      <w:r w:rsidRPr="00D60904">
        <w:rPr>
          <w:rFonts w:ascii="Times" w:hAnsi="Times" w:cs="Times"/>
        </w:rPr>
        <w:t xml:space="preserve">generally </w:t>
      </w:r>
      <w:r w:rsidR="001A2664">
        <w:rPr>
          <w:rFonts w:ascii="Times" w:hAnsi="Times" w:cs="Times"/>
        </w:rPr>
        <w:t xml:space="preserve">be </w:t>
      </w:r>
      <w:r w:rsidRPr="00D60904">
        <w:rPr>
          <w:rFonts w:ascii="Times" w:hAnsi="Times" w:cs="Times"/>
        </w:rPr>
        <w:t>qualitative</w:t>
      </w:r>
      <w:r w:rsidR="001A2664">
        <w:rPr>
          <w:rFonts w:ascii="Times" w:hAnsi="Times" w:cs="Times"/>
        </w:rPr>
        <w:t xml:space="preserve"> nature</w:t>
      </w:r>
      <w:r w:rsidRPr="00D60904">
        <w:rPr>
          <w:rFonts w:ascii="Times" w:hAnsi="Times" w:cs="Times"/>
        </w:rPr>
        <w:t xml:space="preserve">.  They </w:t>
      </w:r>
      <w:r w:rsidR="001A2664">
        <w:rPr>
          <w:rFonts w:ascii="Times" w:hAnsi="Times" w:cs="Times"/>
        </w:rPr>
        <w:t>would be</w:t>
      </w:r>
      <w:r w:rsidRPr="00D60904">
        <w:rPr>
          <w:rFonts w:ascii="Times" w:hAnsi="Times" w:cs="Times"/>
        </w:rPr>
        <w:t xml:space="preserve"> drafted </w:t>
      </w:r>
      <w:r>
        <w:rPr>
          <w:rFonts w:ascii="Times" w:hAnsi="Times" w:cs="Times"/>
        </w:rPr>
        <w:t xml:space="preserve">to </w:t>
      </w:r>
      <w:r w:rsidRPr="00D60904">
        <w:rPr>
          <w:rFonts w:ascii="Times" w:hAnsi="Times" w:cs="Times"/>
        </w:rPr>
        <w:t>elicit useful information without imposing undue reporting burden</w:t>
      </w:r>
      <w:r w:rsidR="00E61A6A">
        <w:rPr>
          <w:rFonts w:ascii="Times" w:hAnsi="Times" w:cs="Times"/>
        </w:rPr>
        <w:t>, for example by not requesting information that is already collected through other means</w:t>
      </w:r>
      <w:r w:rsidRPr="00D60904">
        <w:rPr>
          <w:rFonts w:ascii="Times" w:hAnsi="Times" w:cs="Times"/>
        </w:rPr>
        <w:t xml:space="preserve">.  </w:t>
      </w:r>
      <w:r w:rsidR="00625ACE" w:rsidRPr="00D60904">
        <w:rPr>
          <w:rFonts w:ascii="Times" w:hAnsi="Times" w:cs="Times"/>
        </w:rPr>
        <w:t xml:space="preserve">To understand certain </w:t>
      </w:r>
      <w:r w:rsidR="00B33C14">
        <w:rPr>
          <w:rFonts w:ascii="Times" w:hAnsi="Times" w:cs="Times"/>
        </w:rPr>
        <w:t>market conventions and</w:t>
      </w:r>
      <w:r w:rsidR="00625ACE" w:rsidRPr="00D60904">
        <w:rPr>
          <w:rFonts w:ascii="Times" w:hAnsi="Times" w:cs="Times"/>
        </w:rPr>
        <w:t xml:space="preserve"> practices, however, the Federal Reserve </w:t>
      </w:r>
      <w:r w:rsidR="001A2664">
        <w:rPr>
          <w:rFonts w:ascii="Times" w:hAnsi="Times" w:cs="Times"/>
        </w:rPr>
        <w:t xml:space="preserve">may </w:t>
      </w:r>
      <w:r w:rsidR="00625ACE" w:rsidRPr="00D60904">
        <w:rPr>
          <w:rFonts w:ascii="Times" w:hAnsi="Times" w:cs="Times"/>
        </w:rPr>
        <w:t>occasion</w:t>
      </w:r>
      <w:r w:rsidR="00625ACE" w:rsidRPr="00D60904">
        <w:rPr>
          <w:rFonts w:ascii="Times" w:hAnsi="Times" w:cs="Times"/>
        </w:rPr>
        <w:softHyphen/>
        <w:t xml:space="preserve">ally need to ask </w:t>
      </w:r>
      <w:r w:rsidR="000C1BDC">
        <w:rPr>
          <w:rFonts w:ascii="Times" w:hAnsi="Times" w:cs="Times"/>
        </w:rPr>
        <w:t xml:space="preserve">specific </w:t>
      </w:r>
      <w:r w:rsidR="00625ACE" w:rsidRPr="00D60904">
        <w:rPr>
          <w:rFonts w:ascii="Times" w:hAnsi="Times" w:cs="Times"/>
        </w:rPr>
        <w:t xml:space="preserve">quantitative questions.  When quantitative information </w:t>
      </w:r>
      <w:r w:rsidR="00B33C14">
        <w:rPr>
          <w:rFonts w:ascii="Times" w:hAnsi="Times" w:cs="Times"/>
        </w:rPr>
        <w:t>would be</w:t>
      </w:r>
      <w:r w:rsidR="00625ACE" w:rsidRPr="00D60904">
        <w:rPr>
          <w:rFonts w:ascii="Times" w:hAnsi="Times" w:cs="Times"/>
        </w:rPr>
        <w:t xml:space="preserve"> requested, </w:t>
      </w:r>
      <w:r w:rsidR="00B33C14">
        <w:rPr>
          <w:rFonts w:ascii="Times" w:hAnsi="Times" w:cs="Times"/>
        </w:rPr>
        <w:t xml:space="preserve">typically in response to special questions, </w:t>
      </w:r>
      <w:r w:rsidR="00625ACE" w:rsidRPr="00D60904">
        <w:rPr>
          <w:rFonts w:ascii="Times" w:hAnsi="Times" w:cs="Times"/>
        </w:rPr>
        <w:t xml:space="preserve">respondents generally </w:t>
      </w:r>
      <w:r w:rsidR="00B33C14">
        <w:rPr>
          <w:rFonts w:ascii="Times" w:hAnsi="Times" w:cs="Times"/>
        </w:rPr>
        <w:t>would be</w:t>
      </w:r>
      <w:r w:rsidR="00625ACE" w:rsidRPr="00D60904">
        <w:rPr>
          <w:rFonts w:ascii="Times" w:hAnsi="Times" w:cs="Times"/>
        </w:rPr>
        <w:t xml:space="preserve"> asked to provide approximate or rough estimates.  </w:t>
      </w:r>
      <w:r w:rsidR="00625ACE">
        <w:rPr>
          <w:rFonts w:ascii="Times" w:hAnsi="Times" w:cs="Times"/>
        </w:rPr>
        <w:t>A</w:t>
      </w:r>
      <w:r w:rsidR="00625ACE" w:rsidRPr="00D60904">
        <w:rPr>
          <w:rFonts w:ascii="Times" w:hAnsi="Times" w:cs="Times"/>
        </w:rPr>
        <w:t xml:space="preserve"> respondent </w:t>
      </w:r>
      <w:r w:rsidR="00625ACE">
        <w:rPr>
          <w:rFonts w:ascii="Times" w:hAnsi="Times" w:cs="Times"/>
        </w:rPr>
        <w:t xml:space="preserve">may </w:t>
      </w:r>
      <w:r w:rsidR="00B33C14">
        <w:rPr>
          <w:rFonts w:ascii="Times" w:hAnsi="Times" w:cs="Times"/>
        </w:rPr>
        <w:t xml:space="preserve">always </w:t>
      </w:r>
      <w:r w:rsidR="00625ACE" w:rsidRPr="00D60904">
        <w:rPr>
          <w:rFonts w:ascii="Times" w:hAnsi="Times" w:cs="Times"/>
        </w:rPr>
        <w:t xml:space="preserve">decline to answer a particular question </w:t>
      </w:r>
      <w:r w:rsidR="00625ACE">
        <w:rPr>
          <w:rFonts w:ascii="Times" w:hAnsi="Times" w:cs="Times"/>
        </w:rPr>
        <w:t>when</w:t>
      </w:r>
      <w:r w:rsidR="00625ACE" w:rsidRPr="00D60904">
        <w:rPr>
          <w:rFonts w:ascii="Times" w:hAnsi="Times" w:cs="Times"/>
        </w:rPr>
        <w:t xml:space="preserve"> </w:t>
      </w:r>
      <w:r w:rsidR="00625ACE">
        <w:rPr>
          <w:rFonts w:ascii="Times" w:hAnsi="Times" w:cs="Times"/>
        </w:rPr>
        <w:t xml:space="preserve">answering </w:t>
      </w:r>
      <w:r w:rsidR="00625ACE" w:rsidRPr="00D60904">
        <w:rPr>
          <w:rFonts w:ascii="Times" w:hAnsi="Times" w:cs="Times"/>
        </w:rPr>
        <w:t>would entail excessive burden.</w:t>
      </w:r>
      <w:r w:rsidR="00625ACE">
        <w:rPr>
          <w:rFonts w:ascii="Times" w:hAnsi="Times" w:cs="Times"/>
        </w:rPr>
        <w:t xml:space="preserve"> </w:t>
      </w:r>
      <w:r w:rsidRPr="00D60904">
        <w:rPr>
          <w:rFonts w:ascii="Times" w:hAnsi="Times" w:cs="Times"/>
        </w:rPr>
        <w:t xml:space="preserve">Experience </w:t>
      </w:r>
      <w:r w:rsidR="00B33C14">
        <w:rPr>
          <w:rFonts w:ascii="Times" w:hAnsi="Times" w:cs="Times"/>
        </w:rPr>
        <w:t xml:space="preserve">with the </w:t>
      </w:r>
      <w:r w:rsidR="002B0035">
        <w:rPr>
          <w:rFonts w:ascii="Times" w:hAnsi="Times" w:cs="Times"/>
        </w:rPr>
        <w:t>FR 2018</w:t>
      </w:r>
      <w:r w:rsidR="00B33C14">
        <w:rPr>
          <w:rFonts w:ascii="Times" w:hAnsi="Times" w:cs="Times"/>
        </w:rPr>
        <w:t xml:space="preserve"> </w:t>
      </w:r>
      <w:r w:rsidRPr="00D60904">
        <w:rPr>
          <w:rFonts w:ascii="Times" w:hAnsi="Times" w:cs="Times"/>
        </w:rPr>
        <w:t xml:space="preserve">has shown that only a small number of respondents decline </w:t>
      </w:r>
      <w:r>
        <w:rPr>
          <w:rFonts w:ascii="Times" w:hAnsi="Times" w:cs="Times"/>
        </w:rPr>
        <w:t xml:space="preserve">to answer </w:t>
      </w:r>
      <w:r w:rsidRPr="00D60904">
        <w:rPr>
          <w:rFonts w:ascii="Times" w:hAnsi="Times" w:cs="Times"/>
        </w:rPr>
        <w:t xml:space="preserve">any particular question and that response rates overall have </w:t>
      </w:r>
      <w:r>
        <w:rPr>
          <w:rFonts w:ascii="Times" w:hAnsi="Times" w:cs="Times"/>
        </w:rPr>
        <w:t>resulted in a</w:t>
      </w:r>
      <w:r w:rsidRPr="00D60904">
        <w:rPr>
          <w:rFonts w:ascii="Times" w:hAnsi="Times" w:cs="Times"/>
        </w:rPr>
        <w:t xml:space="preserve">dequate and informative answers. </w:t>
      </w:r>
    </w:p>
    <w:p w:rsidR="00625ACE" w:rsidRDefault="00625ACE" w:rsidP="00625ACE">
      <w:pPr>
        <w:widowControl/>
        <w:tabs>
          <w:tab w:val="left" w:pos="360"/>
        </w:tabs>
        <w:ind w:firstLine="360"/>
        <w:rPr>
          <w:rFonts w:ascii="Times" w:hAnsi="Times" w:cs="Times"/>
        </w:rPr>
      </w:pPr>
      <w:r>
        <w:rPr>
          <w:rFonts w:ascii="Times" w:hAnsi="Times" w:cs="Times"/>
        </w:rPr>
        <w:tab/>
      </w:r>
    </w:p>
    <w:p w:rsidR="00625ACE" w:rsidRDefault="00E61A6A" w:rsidP="00625ACE">
      <w:pPr>
        <w:widowControl/>
        <w:tabs>
          <w:tab w:val="left" w:pos="360"/>
        </w:tabs>
        <w:ind w:firstLine="360"/>
        <w:rPr>
          <w:rFonts w:ascii="Times" w:hAnsi="Times" w:cs="Times"/>
        </w:rPr>
      </w:pPr>
      <w:r>
        <w:rPr>
          <w:rFonts w:ascii="Times" w:hAnsi="Times" w:cs="Times"/>
        </w:rPr>
        <w:t>The prototype survey instrument</w:t>
      </w:r>
      <w:r w:rsidR="00B33C14">
        <w:rPr>
          <w:rFonts w:ascii="Times" w:hAnsi="Times" w:cs="Times"/>
        </w:rPr>
        <w:t xml:space="preserve"> consists of </w:t>
      </w:r>
      <w:r w:rsidR="00D86A5F">
        <w:rPr>
          <w:rFonts w:ascii="Times" w:hAnsi="Times" w:cs="Times"/>
        </w:rPr>
        <w:t xml:space="preserve">47 </w:t>
      </w:r>
      <w:r w:rsidR="00A03148">
        <w:rPr>
          <w:rFonts w:ascii="Times" w:hAnsi="Times" w:cs="Times"/>
        </w:rPr>
        <w:t xml:space="preserve">questions divided into three broad </w:t>
      </w:r>
      <w:r w:rsidR="002B0035">
        <w:rPr>
          <w:rFonts w:ascii="Times" w:hAnsi="Times" w:cs="Times"/>
        </w:rPr>
        <w:t>sections</w:t>
      </w:r>
      <w:r w:rsidR="00146D52">
        <w:rPr>
          <w:rFonts w:ascii="Times" w:hAnsi="Times" w:cs="Times"/>
        </w:rPr>
        <w:t>:</w:t>
      </w:r>
      <w:r w:rsidR="00A03148">
        <w:rPr>
          <w:rFonts w:ascii="Times" w:hAnsi="Times" w:cs="Times"/>
        </w:rPr>
        <w:t xml:space="preserve">  The first </w:t>
      </w:r>
      <w:r w:rsidR="002B0035">
        <w:rPr>
          <w:rFonts w:ascii="Times" w:hAnsi="Times" w:cs="Times"/>
        </w:rPr>
        <w:t xml:space="preserve">section </w:t>
      </w:r>
      <w:r w:rsidR="00A03148">
        <w:rPr>
          <w:rFonts w:ascii="Times" w:hAnsi="Times" w:cs="Times"/>
        </w:rPr>
        <w:t xml:space="preserve">focuses on </w:t>
      </w:r>
      <w:r w:rsidR="00D909D4">
        <w:rPr>
          <w:rFonts w:ascii="Times" w:hAnsi="Times" w:cs="Times"/>
        </w:rPr>
        <w:t>credit terms applicable to counterparties of different types</w:t>
      </w:r>
      <w:r w:rsidR="00C6268B">
        <w:rPr>
          <w:rFonts w:ascii="Times" w:hAnsi="Times" w:cs="Times"/>
        </w:rPr>
        <w:t>, spanning a variety of different transactions</w:t>
      </w:r>
      <w:r w:rsidR="00D909D4">
        <w:rPr>
          <w:rFonts w:ascii="Times" w:hAnsi="Times" w:cs="Times"/>
        </w:rPr>
        <w:t xml:space="preserve">.  The </w:t>
      </w:r>
      <w:r w:rsidR="00D86A5F">
        <w:rPr>
          <w:rFonts w:ascii="Times" w:hAnsi="Times" w:cs="Times"/>
        </w:rPr>
        <w:t xml:space="preserve">second </w:t>
      </w:r>
      <w:r w:rsidR="00D909D4">
        <w:rPr>
          <w:rFonts w:ascii="Times" w:hAnsi="Times" w:cs="Times"/>
        </w:rPr>
        <w:t xml:space="preserve">section deals with credit terms applicable to over-the-counter derivatives counterparties, distinguishing among </w:t>
      </w:r>
      <w:r w:rsidR="00146D52">
        <w:rPr>
          <w:rFonts w:ascii="Times" w:hAnsi="Times" w:cs="Times"/>
        </w:rPr>
        <w:t xml:space="preserve">contracts referencing </w:t>
      </w:r>
      <w:r w:rsidR="00D909D4">
        <w:rPr>
          <w:rFonts w:ascii="Times" w:hAnsi="Times" w:cs="Times"/>
        </w:rPr>
        <w:t xml:space="preserve">different underlying assets.  </w:t>
      </w:r>
      <w:r w:rsidR="00D86A5F">
        <w:rPr>
          <w:rFonts w:ascii="Times" w:hAnsi="Times" w:cs="Times"/>
        </w:rPr>
        <w:t xml:space="preserve">The third section contains questions eliciting information about the financing terms provided for certain securities positions.  </w:t>
      </w:r>
      <w:r w:rsidR="00D909D4">
        <w:rPr>
          <w:rFonts w:ascii="Times" w:hAnsi="Times" w:cs="Times"/>
        </w:rPr>
        <w:t xml:space="preserve">As noted above, this core </w:t>
      </w:r>
      <w:r w:rsidR="00C6268B">
        <w:rPr>
          <w:rFonts w:ascii="Times" w:hAnsi="Times" w:cs="Times"/>
        </w:rPr>
        <w:t xml:space="preserve">set </w:t>
      </w:r>
      <w:r w:rsidR="00D909D4">
        <w:rPr>
          <w:rFonts w:ascii="Times" w:hAnsi="Times" w:cs="Times"/>
        </w:rPr>
        <w:t xml:space="preserve">of </w:t>
      </w:r>
      <w:r w:rsidR="00D86A5F">
        <w:rPr>
          <w:rFonts w:ascii="Times" w:hAnsi="Times" w:cs="Times"/>
        </w:rPr>
        <w:t xml:space="preserve">47 </w:t>
      </w:r>
      <w:r w:rsidR="00D909D4">
        <w:rPr>
          <w:rFonts w:ascii="Times" w:hAnsi="Times" w:cs="Times"/>
        </w:rPr>
        <w:t xml:space="preserve">questions, </w:t>
      </w:r>
      <w:r w:rsidR="00D909D4">
        <w:rPr>
          <w:rFonts w:ascii="Times" w:hAnsi="Times" w:cs="Times"/>
        </w:rPr>
        <w:lastRenderedPageBreak/>
        <w:t>which would be asked in each administration of the survey, could be augmented with special questions to deal with matters of topical interest.</w:t>
      </w:r>
    </w:p>
    <w:p w:rsidR="00CA71A7" w:rsidRDefault="00CA71A7" w:rsidP="00CA71A7">
      <w:pPr>
        <w:widowControl/>
        <w:tabs>
          <w:tab w:val="left" w:pos="360"/>
        </w:tabs>
        <w:ind w:firstLine="360"/>
        <w:rPr>
          <w:rFonts w:ascii="Times" w:hAnsi="Times" w:cs="Times"/>
        </w:rPr>
      </w:pPr>
    </w:p>
    <w:p w:rsidR="00633A4F" w:rsidRDefault="00C4488F" w:rsidP="00633A4F">
      <w:pPr>
        <w:widowControl/>
        <w:tabs>
          <w:tab w:val="left" w:pos="360"/>
        </w:tabs>
        <w:rPr>
          <w:rFonts w:ascii="Times" w:hAnsi="Times" w:cs="Times"/>
        </w:rPr>
      </w:pPr>
      <w:r>
        <w:rPr>
          <w:rFonts w:ascii="Times" w:hAnsi="Times" w:cs="Times"/>
        </w:rPr>
        <w:tab/>
      </w:r>
      <w:r w:rsidR="00633A4F">
        <w:rPr>
          <w:rFonts w:ascii="Times" w:hAnsi="Times" w:cs="Times"/>
        </w:rPr>
        <w:t xml:space="preserve">The </w:t>
      </w:r>
      <w:r w:rsidR="00633A4F" w:rsidRPr="00D60904">
        <w:rPr>
          <w:rFonts w:ascii="Times" w:hAnsi="Times" w:cs="Times"/>
        </w:rPr>
        <w:t xml:space="preserve">survey </w:t>
      </w:r>
      <w:r w:rsidR="005B7F77">
        <w:rPr>
          <w:rFonts w:ascii="Times" w:hAnsi="Times" w:cs="Times"/>
        </w:rPr>
        <w:t xml:space="preserve">would be </w:t>
      </w:r>
      <w:r w:rsidR="00633A4F">
        <w:rPr>
          <w:rFonts w:ascii="Times" w:hAnsi="Times" w:cs="Times"/>
        </w:rPr>
        <w:t>conducted</w:t>
      </w:r>
      <w:r w:rsidR="00633A4F" w:rsidRPr="00D60904">
        <w:rPr>
          <w:rFonts w:ascii="Times" w:hAnsi="Times" w:cs="Times"/>
        </w:rPr>
        <w:t xml:space="preserve"> through </w:t>
      </w:r>
      <w:r w:rsidR="00633A4F">
        <w:rPr>
          <w:rFonts w:ascii="Times" w:hAnsi="Times" w:cs="Times"/>
        </w:rPr>
        <w:t xml:space="preserve">a </w:t>
      </w:r>
      <w:r w:rsidR="005B7F77">
        <w:rPr>
          <w:rFonts w:ascii="Times" w:hAnsi="Times" w:cs="Times"/>
        </w:rPr>
        <w:t>web interface designed and maintained</w:t>
      </w:r>
      <w:r>
        <w:rPr>
          <w:rFonts w:ascii="Times" w:hAnsi="Times" w:cs="Times"/>
        </w:rPr>
        <w:t xml:space="preserve"> by</w:t>
      </w:r>
      <w:r w:rsidR="00633A4F">
        <w:rPr>
          <w:rFonts w:ascii="Times" w:hAnsi="Times" w:cs="Times"/>
        </w:rPr>
        <w:t xml:space="preserve"> the Federal Reserve Bank of New York</w:t>
      </w:r>
      <w:r w:rsidR="00482994">
        <w:rPr>
          <w:rFonts w:ascii="Times" w:hAnsi="Times" w:cs="Times"/>
        </w:rPr>
        <w:t xml:space="preserve"> (FRB NY)</w:t>
      </w:r>
      <w:r w:rsidR="005B7F77">
        <w:rPr>
          <w:rFonts w:ascii="Times" w:hAnsi="Times" w:cs="Times"/>
        </w:rPr>
        <w:t>, with follow-up as necessary via telephone</w:t>
      </w:r>
      <w:r w:rsidR="00633A4F">
        <w:rPr>
          <w:rFonts w:ascii="Times" w:hAnsi="Times" w:cs="Times"/>
        </w:rPr>
        <w:t xml:space="preserve">.   </w:t>
      </w:r>
      <w:r w:rsidR="005B7F77">
        <w:rPr>
          <w:rFonts w:ascii="Times" w:hAnsi="Times" w:cs="Times"/>
        </w:rPr>
        <w:t>The primary contact at each responding institution would be</w:t>
      </w:r>
      <w:r w:rsidR="00633A4F">
        <w:rPr>
          <w:rFonts w:ascii="Times" w:hAnsi="Times" w:cs="Times"/>
        </w:rPr>
        <w:t xml:space="preserve"> </w:t>
      </w:r>
      <w:r w:rsidR="00633A4F" w:rsidRPr="00D60904">
        <w:rPr>
          <w:rFonts w:ascii="Times" w:hAnsi="Times" w:cs="Times"/>
        </w:rPr>
        <w:t xml:space="preserve">a senior </w:t>
      </w:r>
      <w:r w:rsidR="00633A4F">
        <w:rPr>
          <w:rFonts w:ascii="Times" w:hAnsi="Times" w:cs="Times"/>
        </w:rPr>
        <w:t xml:space="preserve">credit </w:t>
      </w:r>
      <w:r w:rsidR="000B7F2C">
        <w:rPr>
          <w:rFonts w:ascii="Times" w:hAnsi="Times" w:cs="Times"/>
        </w:rPr>
        <w:t>officer</w:t>
      </w:r>
      <w:r w:rsidR="00633A4F">
        <w:rPr>
          <w:rFonts w:ascii="Times" w:hAnsi="Times" w:cs="Times"/>
        </w:rPr>
        <w:t xml:space="preserve"> who has perspective on all relevant activiti</w:t>
      </w:r>
      <w:r w:rsidR="000B7F2C">
        <w:rPr>
          <w:rFonts w:ascii="Times" w:hAnsi="Times" w:cs="Times"/>
        </w:rPr>
        <w:t>es conducted by the institution</w:t>
      </w:r>
      <w:r w:rsidR="00633A4F">
        <w:rPr>
          <w:rFonts w:ascii="Times" w:hAnsi="Times" w:cs="Times"/>
        </w:rPr>
        <w:t xml:space="preserve">, irrespective of  which business </w:t>
      </w:r>
      <w:r w:rsidR="00C6268B">
        <w:rPr>
          <w:rFonts w:ascii="Times" w:hAnsi="Times" w:cs="Times"/>
        </w:rPr>
        <w:t xml:space="preserve">units </w:t>
      </w:r>
      <w:r w:rsidR="00633A4F">
        <w:rPr>
          <w:rFonts w:ascii="Times" w:hAnsi="Times" w:cs="Times"/>
        </w:rPr>
        <w:t xml:space="preserve">or geographic areas these </w:t>
      </w:r>
      <w:r w:rsidR="0048757C">
        <w:rPr>
          <w:rFonts w:ascii="Times" w:hAnsi="Times" w:cs="Times"/>
        </w:rPr>
        <w:t xml:space="preserve">activities </w:t>
      </w:r>
      <w:r w:rsidR="00633A4F">
        <w:rPr>
          <w:rFonts w:ascii="Times" w:hAnsi="Times" w:cs="Times"/>
        </w:rPr>
        <w:t>are located</w:t>
      </w:r>
      <w:r w:rsidR="00633A4F" w:rsidRPr="00D60904">
        <w:rPr>
          <w:rFonts w:ascii="Times" w:hAnsi="Times" w:cs="Times"/>
        </w:rPr>
        <w:t xml:space="preserve">.    </w:t>
      </w:r>
    </w:p>
    <w:p w:rsidR="00633A4F" w:rsidRPr="00D60904" w:rsidRDefault="00633A4F" w:rsidP="00633A4F">
      <w:pPr>
        <w:widowControl/>
        <w:tabs>
          <w:tab w:val="left" w:pos="360"/>
        </w:tabs>
        <w:rPr>
          <w:rFonts w:ascii="Times" w:hAnsi="Times" w:cs="Times"/>
        </w:rPr>
      </w:pPr>
    </w:p>
    <w:p w:rsidR="00592B20" w:rsidRPr="00D60904" w:rsidRDefault="00E83A24">
      <w:pPr>
        <w:widowControl/>
        <w:tabs>
          <w:tab w:val="left" w:pos="360"/>
        </w:tabs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Reporting Panel</w:t>
      </w:r>
    </w:p>
    <w:p w:rsidR="00592B20" w:rsidRPr="00D60904" w:rsidRDefault="00592B20">
      <w:pPr>
        <w:widowControl/>
        <w:tabs>
          <w:tab w:val="left" w:pos="360"/>
        </w:tabs>
        <w:rPr>
          <w:rFonts w:ascii="Times" w:hAnsi="Times" w:cs="Times"/>
        </w:rPr>
      </w:pPr>
    </w:p>
    <w:p w:rsidR="00234069" w:rsidRDefault="00EC10CA">
      <w:pPr>
        <w:widowControl/>
        <w:tabs>
          <w:tab w:val="left" w:pos="360"/>
        </w:tabs>
        <w:ind w:firstLine="360"/>
        <w:rPr>
          <w:rFonts w:ascii="Times" w:hAnsi="Times" w:cs="Times"/>
          <w:bCs/>
        </w:rPr>
      </w:pPr>
      <w:r w:rsidRPr="00EC10CA">
        <w:rPr>
          <w:rFonts w:ascii="Times" w:hAnsi="Times" w:cs="Times"/>
          <w:bCs/>
        </w:rPr>
        <w:t>T</w:t>
      </w:r>
      <w:r>
        <w:rPr>
          <w:rFonts w:ascii="Times" w:hAnsi="Times" w:cs="Times"/>
          <w:bCs/>
        </w:rPr>
        <w:t xml:space="preserve">he activities </w:t>
      </w:r>
      <w:r w:rsidR="009543FA">
        <w:rPr>
          <w:rFonts w:ascii="Times" w:hAnsi="Times" w:cs="Times"/>
          <w:bCs/>
        </w:rPr>
        <w:t xml:space="preserve">that </w:t>
      </w:r>
      <w:r>
        <w:rPr>
          <w:rFonts w:ascii="Times" w:hAnsi="Times" w:cs="Times"/>
          <w:bCs/>
        </w:rPr>
        <w:t xml:space="preserve">are the focus of the proposed Senior Credit Officer Opinion Survey may be conducted </w:t>
      </w:r>
      <w:r w:rsidR="00CD493E">
        <w:rPr>
          <w:rFonts w:ascii="Times" w:hAnsi="Times" w:cs="Times"/>
          <w:bCs/>
        </w:rPr>
        <w:t xml:space="preserve">by </w:t>
      </w:r>
      <w:r>
        <w:rPr>
          <w:rFonts w:ascii="Times" w:hAnsi="Times" w:cs="Times"/>
          <w:bCs/>
        </w:rPr>
        <w:t xml:space="preserve">large </w:t>
      </w:r>
      <w:r w:rsidR="00CD493E">
        <w:rPr>
          <w:rFonts w:ascii="Times" w:hAnsi="Times" w:cs="Times"/>
          <w:bCs/>
        </w:rPr>
        <w:t xml:space="preserve">financial institutions </w:t>
      </w:r>
      <w:r>
        <w:rPr>
          <w:rFonts w:ascii="Times" w:hAnsi="Times" w:cs="Times"/>
          <w:bCs/>
        </w:rPr>
        <w:t xml:space="preserve">through multiple business units.  For example, a significant volume of securities financing may be conducted from a prime brokerage platform, but this does not preclude other similar activities, perhaps with clients other than hedge funds, from also occurring on trading desks with mandates </w:t>
      </w:r>
      <w:r w:rsidR="00C6268B">
        <w:rPr>
          <w:rFonts w:ascii="Times" w:hAnsi="Times" w:cs="Times"/>
          <w:bCs/>
        </w:rPr>
        <w:t>that include making markets in</w:t>
      </w:r>
      <w:r>
        <w:rPr>
          <w:rFonts w:ascii="Times" w:hAnsi="Times" w:cs="Times"/>
          <w:bCs/>
        </w:rPr>
        <w:t xml:space="preserve"> the securities </w:t>
      </w:r>
      <w:r w:rsidR="00811CED">
        <w:rPr>
          <w:rFonts w:ascii="Times" w:hAnsi="Times" w:cs="Times"/>
          <w:bCs/>
        </w:rPr>
        <w:t xml:space="preserve">being financed </w:t>
      </w:r>
      <w:r>
        <w:rPr>
          <w:rFonts w:ascii="Times" w:hAnsi="Times" w:cs="Times"/>
          <w:bCs/>
        </w:rPr>
        <w:t xml:space="preserve">or on centralized </w:t>
      </w:r>
      <w:r w:rsidR="00C03A74">
        <w:rPr>
          <w:rFonts w:ascii="Times" w:hAnsi="Times" w:cs="Times"/>
          <w:bCs/>
        </w:rPr>
        <w:t>securities financing</w:t>
      </w:r>
      <w:r>
        <w:rPr>
          <w:rFonts w:ascii="Times" w:hAnsi="Times" w:cs="Times"/>
          <w:bCs/>
        </w:rPr>
        <w:t xml:space="preserve"> desks.  In a similar vein, over-the-counter derivative transaction</w:t>
      </w:r>
      <w:r w:rsidR="009543FA">
        <w:rPr>
          <w:rFonts w:ascii="Times" w:hAnsi="Times" w:cs="Times"/>
          <w:bCs/>
        </w:rPr>
        <w:t>s</w:t>
      </w:r>
      <w:r>
        <w:rPr>
          <w:rFonts w:ascii="Times" w:hAnsi="Times" w:cs="Times"/>
          <w:bCs/>
        </w:rPr>
        <w:t xml:space="preserve"> may </w:t>
      </w:r>
      <w:r w:rsidR="00C6268B">
        <w:rPr>
          <w:rFonts w:ascii="Times" w:hAnsi="Times" w:cs="Times"/>
          <w:bCs/>
        </w:rPr>
        <w:t>occur on</w:t>
      </w:r>
      <w:r>
        <w:rPr>
          <w:rFonts w:ascii="Times" w:hAnsi="Times" w:cs="Times"/>
          <w:bCs/>
        </w:rPr>
        <w:t xml:space="preserve"> </w:t>
      </w:r>
      <w:r w:rsidR="00C03A74">
        <w:rPr>
          <w:rFonts w:ascii="Times" w:hAnsi="Times" w:cs="Times"/>
          <w:bCs/>
        </w:rPr>
        <w:t xml:space="preserve">dedicated </w:t>
      </w:r>
      <w:r>
        <w:rPr>
          <w:rFonts w:ascii="Times" w:hAnsi="Times" w:cs="Times"/>
          <w:bCs/>
        </w:rPr>
        <w:t xml:space="preserve">equity volatility or interest rate </w:t>
      </w:r>
      <w:r w:rsidR="00C03A74">
        <w:rPr>
          <w:rFonts w:ascii="Times" w:hAnsi="Times" w:cs="Times"/>
          <w:bCs/>
        </w:rPr>
        <w:t xml:space="preserve">derivatives </w:t>
      </w:r>
      <w:r>
        <w:rPr>
          <w:rFonts w:ascii="Times" w:hAnsi="Times" w:cs="Times"/>
          <w:bCs/>
        </w:rPr>
        <w:t xml:space="preserve">desks that are primarily engaged in derivatives transactions, </w:t>
      </w:r>
      <w:r w:rsidR="00234069">
        <w:rPr>
          <w:rFonts w:ascii="Times" w:hAnsi="Times" w:cs="Times"/>
          <w:bCs/>
        </w:rPr>
        <w:t>but can also flow through business</w:t>
      </w:r>
      <w:r w:rsidR="00C03A74">
        <w:rPr>
          <w:rFonts w:ascii="Times" w:hAnsi="Times" w:cs="Times"/>
          <w:bCs/>
        </w:rPr>
        <w:t>es</w:t>
      </w:r>
      <w:r w:rsidR="00234069">
        <w:rPr>
          <w:rFonts w:ascii="Times" w:hAnsi="Times" w:cs="Times"/>
          <w:bCs/>
        </w:rPr>
        <w:t xml:space="preserve"> like </w:t>
      </w:r>
      <w:r w:rsidR="00811CED">
        <w:rPr>
          <w:rFonts w:ascii="Times" w:hAnsi="Times" w:cs="Times"/>
          <w:bCs/>
        </w:rPr>
        <w:t xml:space="preserve">corporate credit and </w:t>
      </w:r>
      <w:r w:rsidR="00234069">
        <w:rPr>
          <w:rFonts w:ascii="Times" w:hAnsi="Times" w:cs="Times"/>
          <w:bCs/>
        </w:rPr>
        <w:t>commodities that trade both derivatives and the related cash instruments.</w:t>
      </w:r>
    </w:p>
    <w:p w:rsidR="00234069" w:rsidRDefault="00234069">
      <w:pPr>
        <w:widowControl/>
        <w:tabs>
          <w:tab w:val="left" w:pos="360"/>
        </w:tabs>
        <w:ind w:firstLine="360"/>
        <w:rPr>
          <w:rFonts w:ascii="Times" w:hAnsi="Times" w:cs="Times"/>
          <w:bCs/>
        </w:rPr>
      </w:pPr>
    </w:p>
    <w:p w:rsidR="00592B20" w:rsidRPr="00232706" w:rsidRDefault="00B97ABA" w:rsidP="00232706">
      <w:pPr>
        <w:widowControl/>
        <w:tabs>
          <w:tab w:val="left" w:pos="360"/>
        </w:tabs>
        <w:ind w:firstLine="360"/>
        <w:rPr>
          <w:rFonts w:ascii="Times" w:hAnsi="Times" w:cs="Times"/>
          <w:bCs/>
        </w:rPr>
      </w:pPr>
      <w:r>
        <w:rPr>
          <w:rFonts w:ascii="Times" w:hAnsi="Times" w:cs="Times"/>
          <w:bCs/>
        </w:rPr>
        <w:t>A</w:t>
      </w:r>
      <w:r w:rsidR="00234069">
        <w:rPr>
          <w:rFonts w:ascii="Times" w:hAnsi="Times" w:cs="Times"/>
          <w:bCs/>
        </w:rPr>
        <w:t>ssemblin</w:t>
      </w:r>
      <w:r w:rsidR="00811CED">
        <w:rPr>
          <w:rFonts w:ascii="Times" w:hAnsi="Times" w:cs="Times"/>
          <w:bCs/>
        </w:rPr>
        <w:t>g a reporting panel</w:t>
      </w:r>
      <w:r w:rsidR="00234069">
        <w:rPr>
          <w:rFonts w:ascii="Times" w:hAnsi="Times" w:cs="Times"/>
          <w:bCs/>
        </w:rPr>
        <w:t xml:space="preserve"> for the proposed survey involves </w:t>
      </w:r>
      <w:r w:rsidR="00811CED">
        <w:rPr>
          <w:rFonts w:ascii="Times" w:hAnsi="Times" w:cs="Times"/>
          <w:bCs/>
        </w:rPr>
        <w:t xml:space="preserve">considering </w:t>
      </w:r>
      <w:r w:rsidR="00234069">
        <w:rPr>
          <w:rFonts w:ascii="Times" w:hAnsi="Times" w:cs="Times"/>
          <w:bCs/>
        </w:rPr>
        <w:t xml:space="preserve">firms prominent in prime brokerage, securities financing, </w:t>
      </w:r>
      <w:r w:rsidR="009543FA">
        <w:rPr>
          <w:rFonts w:ascii="Times" w:hAnsi="Times" w:cs="Times"/>
          <w:bCs/>
        </w:rPr>
        <w:t xml:space="preserve">or </w:t>
      </w:r>
      <w:r w:rsidR="00234069">
        <w:rPr>
          <w:rFonts w:ascii="Times" w:hAnsi="Times" w:cs="Times"/>
          <w:bCs/>
        </w:rPr>
        <w:t>fixed income and equity derivatives or</w:t>
      </w:r>
      <w:r w:rsidR="009543FA">
        <w:rPr>
          <w:rFonts w:ascii="Times" w:hAnsi="Times" w:cs="Times"/>
          <w:bCs/>
        </w:rPr>
        <w:t xml:space="preserve"> firms</w:t>
      </w:r>
      <w:r w:rsidR="00234069">
        <w:rPr>
          <w:rFonts w:ascii="Times" w:hAnsi="Times" w:cs="Times"/>
          <w:bCs/>
        </w:rPr>
        <w:t xml:space="preserve"> </w:t>
      </w:r>
      <w:r w:rsidR="00811CED">
        <w:rPr>
          <w:rFonts w:ascii="Times" w:hAnsi="Times" w:cs="Times"/>
          <w:bCs/>
        </w:rPr>
        <w:t xml:space="preserve">with a substantial market presence in </w:t>
      </w:r>
      <w:r w:rsidR="00234069">
        <w:rPr>
          <w:rFonts w:ascii="Times" w:hAnsi="Times" w:cs="Times"/>
          <w:bCs/>
        </w:rPr>
        <w:t xml:space="preserve">businesses such as commodities or </w:t>
      </w:r>
      <w:r w:rsidR="00811CED">
        <w:rPr>
          <w:rFonts w:ascii="Times" w:hAnsi="Times" w:cs="Times"/>
          <w:bCs/>
        </w:rPr>
        <w:t xml:space="preserve">corporate </w:t>
      </w:r>
      <w:r w:rsidR="00234069">
        <w:rPr>
          <w:rFonts w:ascii="Times" w:hAnsi="Times" w:cs="Times"/>
          <w:bCs/>
        </w:rPr>
        <w:t xml:space="preserve">credit trading that typically entail both cash and derivatives activities.  </w:t>
      </w:r>
      <w:r w:rsidR="00C03A74">
        <w:rPr>
          <w:rFonts w:ascii="Times" w:hAnsi="Times" w:cs="Times"/>
          <w:bCs/>
        </w:rPr>
        <w:t xml:space="preserve">But the overlap is considerable, with </w:t>
      </w:r>
      <w:r w:rsidR="00C6268B">
        <w:rPr>
          <w:rFonts w:ascii="Times" w:hAnsi="Times" w:cs="Times"/>
          <w:bCs/>
        </w:rPr>
        <w:t xml:space="preserve">the </w:t>
      </w:r>
      <w:r w:rsidR="00C03A74">
        <w:rPr>
          <w:rFonts w:ascii="Times" w:hAnsi="Times" w:cs="Times"/>
          <w:bCs/>
        </w:rPr>
        <w:t xml:space="preserve">most significant market participants active in most or all of the </w:t>
      </w:r>
      <w:r w:rsidR="00C6268B">
        <w:rPr>
          <w:rFonts w:ascii="Times" w:hAnsi="Times" w:cs="Times"/>
          <w:bCs/>
        </w:rPr>
        <w:t xml:space="preserve">relevant </w:t>
      </w:r>
      <w:r w:rsidR="00C03A74">
        <w:rPr>
          <w:rFonts w:ascii="Times" w:hAnsi="Times" w:cs="Times"/>
          <w:bCs/>
        </w:rPr>
        <w:t xml:space="preserve">areas.  </w:t>
      </w:r>
      <w:r w:rsidR="00234069">
        <w:rPr>
          <w:rFonts w:ascii="Times" w:hAnsi="Times" w:cs="Times"/>
          <w:bCs/>
        </w:rPr>
        <w:t xml:space="preserve">A strong indicator for inclusion in </w:t>
      </w:r>
      <w:r w:rsidR="00B439DF">
        <w:rPr>
          <w:rFonts w:ascii="Times" w:hAnsi="Times" w:cs="Times"/>
          <w:bCs/>
        </w:rPr>
        <w:t xml:space="preserve">the </w:t>
      </w:r>
      <w:r>
        <w:rPr>
          <w:rFonts w:ascii="Times" w:hAnsi="Times" w:cs="Times"/>
          <w:bCs/>
        </w:rPr>
        <w:t>combined group</w:t>
      </w:r>
      <w:r w:rsidR="00234069">
        <w:rPr>
          <w:rFonts w:ascii="Times" w:hAnsi="Times" w:cs="Times"/>
          <w:bCs/>
        </w:rPr>
        <w:t xml:space="preserve"> is the presence of an affiliate </w:t>
      </w:r>
      <w:r w:rsidR="009543FA">
        <w:rPr>
          <w:rFonts w:ascii="Times" w:hAnsi="Times" w:cs="Times"/>
          <w:bCs/>
        </w:rPr>
        <w:t xml:space="preserve">that </w:t>
      </w:r>
      <w:r w:rsidR="00234069">
        <w:rPr>
          <w:rFonts w:ascii="Times" w:hAnsi="Times" w:cs="Times"/>
          <w:bCs/>
        </w:rPr>
        <w:t xml:space="preserve">is </w:t>
      </w:r>
      <w:r w:rsidR="00C03A74">
        <w:rPr>
          <w:rFonts w:ascii="Times" w:hAnsi="Times" w:cs="Times"/>
          <w:bCs/>
        </w:rPr>
        <w:t xml:space="preserve">a </w:t>
      </w:r>
      <w:r w:rsidR="009543FA">
        <w:rPr>
          <w:rFonts w:ascii="Times" w:hAnsi="Times" w:cs="Times"/>
          <w:bCs/>
        </w:rPr>
        <w:t>d</w:t>
      </w:r>
      <w:r w:rsidR="00234069">
        <w:rPr>
          <w:rFonts w:ascii="Times" w:hAnsi="Times" w:cs="Times"/>
          <w:bCs/>
        </w:rPr>
        <w:t xml:space="preserve">ealer in </w:t>
      </w:r>
      <w:r w:rsidR="009543FA">
        <w:rPr>
          <w:rFonts w:ascii="Times" w:hAnsi="Times" w:cs="Times"/>
          <w:bCs/>
        </w:rPr>
        <w:t>g</w:t>
      </w:r>
      <w:r w:rsidR="00234069">
        <w:rPr>
          <w:rFonts w:ascii="Times" w:hAnsi="Times" w:cs="Times"/>
          <w:bCs/>
        </w:rPr>
        <w:t xml:space="preserve">overnment </w:t>
      </w:r>
      <w:r w:rsidR="009543FA">
        <w:rPr>
          <w:rFonts w:ascii="Times" w:hAnsi="Times" w:cs="Times"/>
          <w:bCs/>
        </w:rPr>
        <w:t>s</w:t>
      </w:r>
      <w:r w:rsidR="00234069">
        <w:rPr>
          <w:rFonts w:ascii="Times" w:hAnsi="Times" w:cs="Times"/>
          <w:bCs/>
        </w:rPr>
        <w:t>ecurities.  In f</w:t>
      </w:r>
      <w:r>
        <w:rPr>
          <w:rFonts w:ascii="Times" w:hAnsi="Times" w:cs="Times"/>
          <w:bCs/>
        </w:rPr>
        <w:t xml:space="preserve">act, the prospective </w:t>
      </w:r>
      <w:r w:rsidR="00234069">
        <w:rPr>
          <w:rFonts w:ascii="Times" w:hAnsi="Times" w:cs="Times"/>
          <w:bCs/>
        </w:rPr>
        <w:t xml:space="preserve">panel of 22 firms includes the consolidated entities affiliated with each of the 18 </w:t>
      </w:r>
      <w:r w:rsidR="009543FA">
        <w:rPr>
          <w:rFonts w:ascii="Times" w:hAnsi="Times" w:cs="Times"/>
          <w:bCs/>
        </w:rPr>
        <w:t>p</w:t>
      </w:r>
      <w:r w:rsidR="00234069">
        <w:rPr>
          <w:rFonts w:ascii="Times" w:hAnsi="Times" w:cs="Times"/>
          <w:bCs/>
        </w:rPr>
        <w:t xml:space="preserve">rimary </w:t>
      </w:r>
      <w:r w:rsidR="009543FA">
        <w:rPr>
          <w:rFonts w:ascii="Times" w:hAnsi="Times" w:cs="Times"/>
          <w:bCs/>
        </w:rPr>
        <w:t>d</w:t>
      </w:r>
      <w:r w:rsidR="00234069">
        <w:rPr>
          <w:rFonts w:ascii="Times" w:hAnsi="Times" w:cs="Times"/>
          <w:bCs/>
        </w:rPr>
        <w:t xml:space="preserve">ealers.  This group </w:t>
      </w:r>
      <w:r w:rsidR="007B0974">
        <w:rPr>
          <w:rFonts w:ascii="Times" w:hAnsi="Times" w:cs="Times"/>
          <w:bCs/>
        </w:rPr>
        <w:t>would be</w:t>
      </w:r>
      <w:r w:rsidR="00234069">
        <w:rPr>
          <w:rFonts w:ascii="Times" w:hAnsi="Times" w:cs="Times"/>
          <w:bCs/>
        </w:rPr>
        <w:t xml:space="preserve"> augmented with </w:t>
      </w:r>
      <w:r w:rsidR="002B0035">
        <w:rPr>
          <w:rFonts w:ascii="Times" w:hAnsi="Times" w:cs="Times"/>
          <w:bCs/>
        </w:rPr>
        <w:t xml:space="preserve">a few </w:t>
      </w:r>
      <w:r w:rsidR="00234069">
        <w:rPr>
          <w:rFonts w:ascii="Times" w:hAnsi="Times" w:cs="Times"/>
          <w:bCs/>
        </w:rPr>
        <w:t xml:space="preserve">non-US institutions </w:t>
      </w:r>
      <w:r w:rsidR="009543FA">
        <w:rPr>
          <w:rFonts w:ascii="Times" w:hAnsi="Times" w:cs="Times"/>
          <w:bCs/>
        </w:rPr>
        <w:t>that</w:t>
      </w:r>
      <w:r w:rsidR="00234069">
        <w:rPr>
          <w:rFonts w:ascii="Times" w:hAnsi="Times" w:cs="Times"/>
          <w:bCs/>
        </w:rPr>
        <w:t xml:space="preserve">, while not </w:t>
      </w:r>
      <w:r w:rsidR="009543FA">
        <w:rPr>
          <w:rFonts w:ascii="Times" w:hAnsi="Times" w:cs="Times"/>
          <w:bCs/>
        </w:rPr>
        <w:t>p</w:t>
      </w:r>
      <w:r w:rsidR="00234069">
        <w:rPr>
          <w:rFonts w:ascii="Times" w:hAnsi="Times" w:cs="Times"/>
          <w:bCs/>
        </w:rPr>
        <w:t xml:space="preserve">rimary </w:t>
      </w:r>
      <w:r w:rsidR="009543FA">
        <w:rPr>
          <w:rFonts w:ascii="Times" w:hAnsi="Times" w:cs="Times"/>
          <w:bCs/>
        </w:rPr>
        <w:t>d</w:t>
      </w:r>
      <w:r w:rsidR="00234069">
        <w:rPr>
          <w:rFonts w:ascii="Times" w:hAnsi="Times" w:cs="Times"/>
          <w:bCs/>
        </w:rPr>
        <w:t>ealers, play a significant role in some facet</w:t>
      </w:r>
      <w:r w:rsidR="007B0974">
        <w:rPr>
          <w:rFonts w:ascii="Times" w:hAnsi="Times" w:cs="Times"/>
          <w:bCs/>
        </w:rPr>
        <w:t>s</w:t>
      </w:r>
      <w:r w:rsidR="00234069">
        <w:rPr>
          <w:rFonts w:ascii="Times" w:hAnsi="Times" w:cs="Times"/>
          <w:bCs/>
        </w:rPr>
        <w:t xml:space="preserve"> of over-the-counter derivatives or securities financing activities.</w:t>
      </w:r>
    </w:p>
    <w:p w:rsidR="00ED02FE" w:rsidRPr="00D60904" w:rsidRDefault="00ED02FE">
      <w:pPr>
        <w:widowControl/>
        <w:tabs>
          <w:tab w:val="left" w:pos="360"/>
        </w:tabs>
        <w:ind w:firstLine="360"/>
        <w:rPr>
          <w:rFonts w:ascii="Times" w:hAnsi="Times" w:cs="Times"/>
        </w:rPr>
      </w:pPr>
    </w:p>
    <w:p w:rsidR="00592B20" w:rsidRPr="00840225" w:rsidRDefault="00592B20" w:rsidP="00840225">
      <w:pPr>
        <w:widowControl/>
        <w:tabs>
          <w:tab w:val="left" w:pos="360"/>
        </w:tabs>
        <w:spacing w:after="120"/>
        <w:rPr>
          <w:rFonts w:ascii="Times" w:hAnsi="Times" w:cs="Times"/>
          <w:b/>
          <w:bCs/>
        </w:rPr>
      </w:pPr>
      <w:r w:rsidRPr="00D60904">
        <w:rPr>
          <w:rFonts w:ascii="Times" w:hAnsi="Times" w:cs="Times"/>
          <w:b/>
          <w:bCs/>
        </w:rPr>
        <w:t>Time Schedule for Information Collection and Publication</w:t>
      </w:r>
    </w:p>
    <w:p w:rsidR="00592B20" w:rsidRPr="00D60904" w:rsidRDefault="00592B20">
      <w:pPr>
        <w:widowControl/>
        <w:tabs>
          <w:tab w:val="left" w:pos="360"/>
        </w:tabs>
        <w:rPr>
          <w:rFonts w:ascii="Times" w:hAnsi="Times" w:cs="Times"/>
        </w:rPr>
        <w:sectPr w:rsidR="00592B20" w:rsidRPr="00D60904" w:rsidSect="00222228">
          <w:headerReference w:type="even" r:id="rId6"/>
          <w:footerReference w:type="even" r:id="rId7"/>
          <w:footerReference w:type="default" r:id="rId8"/>
          <w:headerReference w:type="first" r:id="rId9"/>
          <w:endnotePr>
            <w:numFmt w:val="decimal"/>
          </w:endnotePr>
          <w:pgSz w:w="12240" w:h="15840"/>
          <w:pgMar w:top="1440" w:right="1440" w:bottom="1260" w:left="1440" w:header="1354" w:footer="1166" w:gutter="0"/>
          <w:cols w:space="720"/>
          <w:noEndnote/>
          <w:titlePg/>
        </w:sectPr>
      </w:pPr>
    </w:p>
    <w:p w:rsidR="00C212EE" w:rsidRDefault="007357DD" w:rsidP="00C212EE">
      <w:pPr>
        <w:widowControl/>
        <w:ind w:firstLine="36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lastRenderedPageBreak/>
        <w:t xml:space="preserve">As noted earlier, the survey data generally would be </w:t>
      </w:r>
      <w:r w:rsidR="00BB3960">
        <w:rPr>
          <w:rFonts w:ascii="Times" w:hAnsi="Times" w:cs="Times"/>
          <w:color w:val="000000"/>
        </w:rPr>
        <w:t>collect</w:t>
      </w:r>
      <w:r>
        <w:rPr>
          <w:rFonts w:ascii="Times" w:hAnsi="Times" w:cs="Times"/>
          <w:color w:val="000000"/>
        </w:rPr>
        <w:t xml:space="preserve">ed by </w:t>
      </w:r>
      <w:r w:rsidR="00BB3960">
        <w:rPr>
          <w:rFonts w:ascii="Times" w:hAnsi="Times" w:cs="Times"/>
          <w:color w:val="000000"/>
        </w:rPr>
        <w:t>FRB NY</w:t>
      </w:r>
      <w:r>
        <w:rPr>
          <w:rFonts w:ascii="Times" w:hAnsi="Times" w:cs="Times"/>
          <w:color w:val="000000"/>
        </w:rPr>
        <w:t xml:space="preserve"> and transmitted to the Federal Reserve Board.  Data then would be tabulated and summarized in a public release and made available on the Federal Reserve’s public website.</w:t>
      </w:r>
    </w:p>
    <w:p w:rsidR="009F7463" w:rsidRPr="00D60904" w:rsidRDefault="00592B20" w:rsidP="00DB264A">
      <w:pPr>
        <w:widowControl/>
        <w:tabs>
          <w:tab w:val="left" w:pos="360"/>
        </w:tabs>
        <w:ind w:firstLine="360"/>
        <w:rPr>
          <w:rFonts w:ascii="Times" w:hAnsi="Times" w:cs="Times"/>
        </w:rPr>
      </w:pPr>
      <w:r w:rsidRPr="00D60904">
        <w:rPr>
          <w:rFonts w:ascii="Times" w:hAnsi="Times" w:cs="Times"/>
        </w:rPr>
        <w:t xml:space="preserve"> </w:t>
      </w:r>
    </w:p>
    <w:p w:rsidR="00592B20" w:rsidRPr="00840225" w:rsidRDefault="00592B20" w:rsidP="00840225">
      <w:pPr>
        <w:widowControl/>
        <w:tabs>
          <w:tab w:val="left" w:pos="360"/>
        </w:tabs>
        <w:spacing w:after="120"/>
        <w:rPr>
          <w:rFonts w:ascii="Times" w:hAnsi="Times" w:cs="Times"/>
          <w:b/>
          <w:bCs/>
        </w:rPr>
      </w:pPr>
      <w:r w:rsidRPr="00D60904">
        <w:rPr>
          <w:rFonts w:ascii="Times" w:hAnsi="Times" w:cs="Times"/>
          <w:b/>
          <w:bCs/>
        </w:rPr>
        <w:t>Legal Status</w:t>
      </w:r>
    </w:p>
    <w:p w:rsidR="000E0B3E" w:rsidRPr="00A42A08" w:rsidRDefault="00183571" w:rsidP="000E0B3E">
      <w:pPr>
        <w:widowControl/>
        <w:tabs>
          <w:tab w:val="left" w:pos="360"/>
        </w:tabs>
        <w:rPr>
          <w:rFonts w:ascii="Times" w:hAnsi="Times"/>
        </w:rPr>
      </w:pPr>
      <w:r>
        <w:rPr>
          <w:rFonts w:ascii="Times" w:hAnsi="Times" w:cs="Times"/>
        </w:rPr>
        <w:tab/>
      </w:r>
      <w:r w:rsidR="00A01A3C" w:rsidRPr="00D60904">
        <w:rPr>
          <w:rFonts w:ascii="Times" w:hAnsi="Times" w:cs="Times"/>
        </w:rPr>
        <w:t xml:space="preserve">The </w:t>
      </w:r>
      <w:r w:rsidR="00A01A3C">
        <w:rPr>
          <w:rFonts w:ascii="Times" w:hAnsi="Times" w:cs="Times"/>
        </w:rPr>
        <w:t xml:space="preserve">Federal Reserve </w:t>
      </w:r>
      <w:r w:rsidR="00A01A3C" w:rsidRPr="00D60904">
        <w:rPr>
          <w:rFonts w:ascii="Times" w:hAnsi="Times" w:cs="Times"/>
        </w:rPr>
        <w:t xml:space="preserve">Board's Legal Division </w:t>
      </w:r>
      <w:r w:rsidR="00182879">
        <w:rPr>
          <w:rFonts w:ascii="Times" w:hAnsi="Times" w:cs="Times"/>
        </w:rPr>
        <w:t>has</w:t>
      </w:r>
      <w:r w:rsidR="00232706">
        <w:rPr>
          <w:rFonts w:ascii="Times" w:hAnsi="Times" w:cs="Times"/>
        </w:rPr>
        <w:t xml:space="preserve"> determine</w:t>
      </w:r>
      <w:r w:rsidR="00182879">
        <w:rPr>
          <w:rFonts w:ascii="Times" w:hAnsi="Times" w:cs="Times"/>
        </w:rPr>
        <w:t>d</w:t>
      </w:r>
      <w:r w:rsidR="00A01A3C" w:rsidRPr="00D60904">
        <w:rPr>
          <w:rFonts w:ascii="Times" w:hAnsi="Times" w:cs="Times"/>
        </w:rPr>
        <w:t xml:space="preserve"> that the Senior </w:t>
      </w:r>
      <w:r w:rsidR="00232706">
        <w:rPr>
          <w:rFonts w:ascii="Times" w:hAnsi="Times" w:cs="Times"/>
        </w:rPr>
        <w:t>Credit</w:t>
      </w:r>
      <w:r w:rsidR="00A01A3C" w:rsidRPr="00D60904">
        <w:rPr>
          <w:rFonts w:ascii="Times" w:hAnsi="Times" w:cs="Times"/>
        </w:rPr>
        <w:t xml:space="preserve"> Officer Opinion Survey on </w:t>
      </w:r>
      <w:r w:rsidR="00232706">
        <w:rPr>
          <w:rFonts w:ascii="Times" w:hAnsi="Times" w:cs="Times"/>
        </w:rPr>
        <w:t>Dealer Financing Terms</w:t>
      </w:r>
      <w:r w:rsidR="00A01A3C" w:rsidRPr="00D60904">
        <w:rPr>
          <w:rFonts w:ascii="Times" w:hAnsi="Times" w:cs="Times"/>
        </w:rPr>
        <w:t xml:space="preserve"> is a</w:t>
      </w:r>
      <w:r w:rsidR="00A01A3C">
        <w:rPr>
          <w:rFonts w:ascii="Times" w:hAnsi="Times" w:cs="Times"/>
        </w:rPr>
        <w:t>uthorized by Sections 2A and 11(a)(2) of the Federal Reserve Act</w:t>
      </w:r>
      <w:r w:rsidR="00A01A3C" w:rsidRPr="00D60904">
        <w:rPr>
          <w:rFonts w:ascii="Times" w:hAnsi="Times" w:cs="Times"/>
        </w:rPr>
        <w:t xml:space="preserve"> </w:t>
      </w:r>
      <w:r w:rsidR="00A01A3C">
        <w:rPr>
          <w:rFonts w:ascii="Times" w:hAnsi="Times" w:cs="Times"/>
        </w:rPr>
        <w:t xml:space="preserve">(12 U.S.C. §§ 225a, 248(a)(2), </w:t>
      </w:r>
      <w:r w:rsidR="00182879">
        <w:rPr>
          <w:rFonts w:ascii="Times" w:hAnsi="Times" w:cs="Times"/>
        </w:rPr>
        <w:t>Section 5(c) of the Bank Holding Company Act, (12 U.S.C.</w:t>
      </w:r>
      <w:r w:rsidR="00182879" w:rsidRPr="00182879">
        <w:rPr>
          <w:rFonts w:ascii="Times" w:hAnsi="Times" w:cs="Times"/>
        </w:rPr>
        <w:t xml:space="preserve"> </w:t>
      </w:r>
      <w:r w:rsidR="00182879">
        <w:rPr>
          <w:rFonts w:ascii="Times" w:hAnsi="Times" w:cs="Times"/>
        </w:rPr>
        <w:t xml:space="preserve">§ 1844(c), </w:t>
      </w:r>
      <w:r w:rsidR="00A01A3C">
        <w:rPr>
          <w:rFonts w:ascii="Times" w:hAnsi="Times" w:cs="Times"/>
        </w:rPr>
        <w:t xml:space="preserve">and Section 7(c)(2) of the International Banking Act 3105(c)(2)) </w:t>
      </w:r>
      <w:r w:rsidR="00A01A3C" w:rsidRPr="00D60904">
        <w:rPr>
          <w:rFonts w:ascii="Times" w:hAnsi="Times" w:cs="Times"/>
        </w:rPr>
        <w:t xml:space="preserve">and is voluntary. </w:t>
      </w:r>
      <w:r w:rsidR="00592B20" w:rsidRPr="00D60904">
        <w:rPr>
          <w:rFonts w:ascii="Times" w:hAnsi="Times" w:cs="Times"/>
        </w:rPr>
        <w:t xml:space="preserve"> The </w:t>
      </w:r>
      <w:r w:rsidR="00232706">
        <w:rPr>
          <w:rFonts w:ascii="Times" w:hAnsi="Times" w:cs="Times"/>
        </w:rPr>
        <w:t>individual financial institution</w:t>
      </w:r>
      <w:r w:rsidR="00592B20" w:rsidRPr="00D60904">
        <w:rPr>
          <w:rFonts w:ascii="Times" w:hAnsi="Times" w:cs="Times"/>
        </w:rPr>
        <w:t xml:space="preserve"> information provided by each respondent </w:t>
      </w:r>
      <w:r w:rsidR="001D7674">
        <w:rPr>
          <w:rFonts w:ascii="Times" w:hAnsi="Times" w:cs="Times"/>
        </w:rPr>
        <w:t>would be</w:t>
      </w:r>
      <w:r w:rsidR="00592B20" w:rsidRPr="00D60904">
        <w:rPr>
          <w:rFonts w:ascii="Times" w:hAnsi="Times" w:cs="Times"/>
        </w:rPr>
        <w:t xml:space="preserve"> accorded confidential treatment under authority of exemption </w:t>
      </w:r>
      <w:r w:rsidR="007B4EF5">
        <w:rPr>
          <w:rFonts w:ascii="Times" w:hAnsi="Times" w:cs="Times"/>
        </w:rPr>
        <w:t xml:space="preserve">four </w:t>
      </w:r>
      <w:r w:rsidR="00592B20" w:rsidRPr="00D60904">
        <w:rPr>
          <w:rFonts w:ascii="Times" w:hAnsi="Times" w:cs="Times"/>
        </w:rPr>
        <w:t xml:space="preserve">of the Freedom of Information Act (5 U.S.C. </w:t>
      </w:r>
      <w:r w:rsidR="00B30122">
        <w:rPr>
          <w:rFonts w:ascii="Times" w:hAnsi="Times"/>
        </w:rPr>
        <w:t>§</w:t>
      </w:r>
      <w:r w:rsidR="00592B20" w:rsidRPr="00D60904">
        <w:rPr>
          <w:rFonts w:ascii="Times" w:hAnsi="Times" w:cs="Times"/>
        </w:rPr>
        <w:t>552 (b)(4)).</w:t>
      </w:r>
      <w:r w:rsidR="000E0B3E">
        <w:rPr>
          <w:rFonts w:ascii="Times" w:hAnsi="Times" w:cs="Times"/>
        </w:rPr>
        <w:t xml:space="preserve">  </w:t>
      </w:r>
    </w:p>
    <w:p w:rsidR="00CD6AFC" w:rsidRPr="00D60904" w:rsidRDefault="00CD6AFC">
      <w:pPr>
        <w:widowControl/>
        <w:tabs>
          <w:tab w:val="left" w:pos="360"/>
        </w:tabs>
        <w:rPr>
          <w:rFonts w:ascii="Times" w:hAnsi="Times" w:cs="Times"/>
        </w:rPr>
      </w:pPr>
    </w:p>
    <w:p w:rsidR="00D86A5F" w:rsidRPr="00E83B9A" w:rsidRDefault="00592B20" w:rsidP="00D86A5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Times New Roman" w:hAnsi="Times New Roman"/>
        </w:rPr>
      </w:pPr>
      <w:r w:rsidRPr="00D60904">
        <w:rPr>
          <w:rFonts w:ascii="Times" w:hAnsi="Times" w:cs="Times"/>
          <w:b/>
          <w:bCs/>
        </w:rPr>
        <w:lastRenderedPageBreak/>
        <w:t xml:space="preserve">Consultation </w:t>
      </w:r>
      <w:proofErr w:type="gramStart"/>
      <w:r w:rsidRPr="00D60904">
        <w:rPr>
          <w:rFonts w:ascii="Times" w:hAnsi="Times" w:cs="Times"/>
          <w:b/>
          <w:bCs/>
        </w:rPr>
        <w:t>Outside</w:t>
      </w:r>
      <w:proofErr w:type="gramEnd"/>
      <w:r w:rsidRPr="00D60904">
        <w:rPr>
          <w:rFonts w:ascii="Times" w:hAnsi="Times" w:cs="Times"/>
          <w:b/>
          <w:bCs/>
        </w:rPr>
        <w:t xml:space="preserve"> the Agency</w:t>
      </w:r>
      <w:r w:rsidR="00D86A5F" w:rsidRPr="00D86A5F">
        <w:rPr>
          <w:rFonts w:ascii="Times" w:hAnsi="Times" w:cs="Times"/>
          <w:b/>
          <w:bCs/>
        </w:rPr>
        <w:t xml:space="preserve"> </w:t>
      </w:r>
      <w:r w:rsidR="00C3372A" w:rsidRPr="00C3372A">
        <w:rPr>
          <w:rFonts w:ascii="Times" w:hAnsi="Times"/>
          <w:b/>
        </w:rPr>
        <w:t>and Discussion of Public Comment</w:t>
      </w:r>
    </w:p>
    <w:p w:rsidR="00592B20" w:rsidRPr="00D60904" w:rsidRDefault="00592B20" w:rsidP="00D54459">
      <w:pPr>
        <w:widowControl/>
        <w:tabs>
          <w:tab w:val="left" w:pos="360"/>
        </w:tabs>
        <w:spacing w:after="120"/>
        <w:rPr>
          <w:rFonts w:ascii="Times" w:hAnsi="Times" w:cs="Times"/>
        </w:rPr>
      </w:pPr>
    </w:p>
    <w:p w:rsidR="00D86A5F" w:rsidRPr="00D86A5F" w:rsidRDefault="00C2557E" w:rsidP="00321A00">
      <w:pPr>
        <w:keepLines/>
        <w:widowControl/>
        <w:ind w:firstLine="360"/>
        <w:rPr>
          <w:rFonts w:ascii="Times" w:hAnsi="Times"/>
        </w:rPr>
      </w:pPr>
      <w:r w:rsidRPr="00C2557E">
        <w:rPr>
          <w:rFonts w:ascii="Times" w:hAnsi="Times"/>
        </w:rPr>
        <w:t xml:space="preserve">On </w:t>
      </w:r>
      <w:r>
        <w:rPr>
          <w:rFonts w:ascii="Times" w:hAnsi="Times"/>
        </w:rPr>
        <w:t>December 15</w:t>
      </w:r>
      <w:r w:rsidRPr="00C2557E">
        <w:rPr>
          <w:rFonts w:ascii="Times" w:hAnsi="Times"/>
        </w:rPr>
        <w:t xml:space="preserve">, 2009, the Federal Reserve published a notice in the </w:t>
      </w:r>
      <w:r w:rsidRPr="00C2557E">
        <w:rPr>
          <w:rFonts w:ascii="Times" w:hAnsi="Times"/>
          <w:i/>
        </w:rPr>
        <w:t>Federal Register</w:t>
      </w:r>
      <w:r w:rsidRPr="00C2557E">
        <w:rPr>
          <w:rFonts w:ascii="Times" w:hAnsi="Times"/>
        </w:rPr>
        <w:t xml:space="preserve"> (74 FR </w:t>
      </w:r>
      <w:r>
        <w:rPr>
          <w:rFonts w:ascii="Times" w:hAnsi="Times"/>
        </w:rPr>
        <w:t>66359</w:t>
      </w:r>
      <w:r w:rsidRPr="00C2557E">
        <w:rPr>
          <w:rFonts w:ascii="Times" w:hAnsi="Times"/>
        </w:rPr>
        <w:t xml:space="preserve">) requesting public comment for 60 days on the implementation of the FR </w:t>
      </w:r>
      <w:r>
        <w:rPr>
          <w:rFonts w:ascii="Times" w:hAnsi="Times"/>
        </w:rPr>
        <w:t xml:space="preserve">2034 </w:t>
      </w:r>
      <w:r w:rsidRPr="00C2557E">
        <w:rPr>
          <w:rFonts w:ascii="Times" w:hAnsi="Times"/>
        </w:rPr>
        <w:t xml:space="preserve">survey.  The comment period for this notice </w:t>
      </w:r>
      <w:r w:rsidR="00D86A5F" w:rsidRPr="00C2557E">
        <w:rPr>
          <w:rFonts w:ascii="Times" w:hAnsi="Times"/>
        </w:rPr>
        <w:t>expire</w:t>
      </w:r>
      <w:r w:rsidR="00D86A5F">
        <w:rPr>
          <w:rFonts w:ascii="Times" w:hAnsi="Times"/>
        </w:rPr>
        <w:t>d</w:t>
      </w:r>
      <w:r w:rsidR="00D86A5F" w:rsidRPr="00C2557E">
        <w:rPr>
          <w:rFonts w:ascii="Times" w:hAnsi="Times"/>
        </w:rPr>
        <w:t xml:space="preserve"> </w:t>
      </w:r>
      <w:r w:rsidRPr="00C2557E">
        <w:rPr>
          <w:rFonts w:ascii="Times" w:hAnsi="Times"/>
        </w:rPr>
        <w:t xml:space="preserve">on </w:t>
      </w:r>
      <w:r>
        <w:rPr>
          <w:rFonts w:ascii="Times" w:hAnsi="Times"/>
        </w:rPr>
        <w:t>February 16</w:t>
      </w:r>
      <w:r w:rsidRPr="00C2557E">
        <w:rPr>
          <w:rFonts w:ascii="Times" w:hAnsi="Times"/>
        </w:rPr>
        <w:t xml:space="preserve">, 2010.  </w:t>
      </w:r>
      <w:r w:rsidR="00C3372A" w:rsidRPr="00C3372A">
        <w:rPr>
          <w:rFonts w:ascii="Times" w:hAnsi="Times"/>
        </w:rPr>
        <w:t>The Federal Reserve received one comment letter</w:t>
      </w:r>
      <w:r w:rsidR="00C3372A" w:rsidRPr="00C3372A">
        <w:rPr>
          <w:rFonts w:ascii="Times" w:hAnsi="Times"/>
          <w:color w:val="000000"/>
        </w:rPr>
        <w:t xml:space="preserve"> addressing the FR </w:t>
      </w:r>
      <w:r w:rsidR="00D86A5F">
        <w:rPr>
          <w:rFonts w:ascii="Times" w:hAnsi="Times"/>
          <w:color w:val="000000"/>
        </w:rPr>
        <w:t>2034 survey</w:t>
      </w:r>
      <w:r w:rsidR="00C3372A" w:rsidRPr="00C3372A">
        <w:rPr>
          <w:rFonts w:ascii="Times" w:hAnsi="Times"/>
        </w:rPr>
        <w:t xml:space="preserve">.  </w:t>
      </w:r>
      <w:r w:rsidR="00C3372A" w:rsidRPr="00C3372A">
        <w:rPr>
          <w:rFonts w:ascii="Times" w:hAnsi="Times"/>
          <w:color w:val="000000"/>
        </w:rPr>
        <w:t xml:space="preserve">The comments are summarized and addressed in detail in the final </w:t>
      </w:r>
      <w:r w:rsidR="00C3372A" w:rsidRPr="00C3372A">
        <w:rPr>
          <w:rFonts w:ascii="Times" w:hAnsi="Times"/>
          <w:i/>
          <w:color w:val="000000"/>
        </w:rPr>
        <w:t>Federal Register</w:t>
      </w:r>
      <w:r w:rsidR="00C3372A" w:rsidRPr="00C3372A">
        <w:rPr>
          <w:rFonts w:ascii="Times" w:hAnsi="Times"/>
          <w:color w:val="000000"/>
        </w:rPr>
        <w:t xml:space="preserve"> notice published on March </w:t>
      </w:r>
      <w:r w:rsidR="00D86A5F">
        <w:rPr>
          <w:rFonts w:ascii="Times" w:hAnsi="Times"/>
          <w:color w:val="000000"/>
        </w:rPr>
        <w:t>30</w:t>
      </w:r>
      <w:r w:rsidR="00C3372A" w:rsidRPr="00C3372A">
        <w:rPr>
          <w:rFonts w:ascii="Times" w:hAnsi="Times"/>
          <w:color w:val="000000"/>
        </w:rPr>
        <w:t xml:space="preserve">, 2010 </w:t>
      </w:r>
      <w:r w:rsidR="00C3372A" w:rsidRPr="00C3372A">
        <w:rPr>
          <w:rFonts w:ascii="Times" w:hAnsi="Times"/>
        </w:rPr>
        <w:t xml:space="preserve">(75 FR </w:t>
      </w:r>
      <w:r w:rsidR="00D86A5F">
        <w:rPr>
          <w:rFonts w:ascii="Times" w:hAnsi="Times"/>
        </w:rPr>
        <w:t>15708</w:t>
      </w:r>
      <w:r w:rsidR="00C3372A" w:rsidRPr="00C3372A">
        <w:rPr>
          <w:rFonts w:ascii="Times" w:hAnsi="Times"/>
        </w:rPr>
        <w:t>).</w:t>
      </w:r>
    </w:p>
    <w:p w:rsidR="00CA71A7" w:rsidRPr="00D60904" w:rsidRDefault="00CA71A7">
      <w:pPr>
        <w:widowControl/>
        <w:tabs>
          <w:tab w:val="left" w:pos="360"/>
        </w:tabs>
        <w:rPr>
          <w:rFonts w:ascii="Times" w:hAnsi="Times" w:cs="Times"/>
        </w:rPr>
      </w:pPr>
    </w:p>
    <w:p w:rsidR="00592B20" w:rsidRPr="00D54459" w:rsidRDefault="00592B20" w:rsidP="00D54459">
      <w:pPr>
        <w:widowControl/>
        <w:tabs>
          <w:tab w:val="left" w:pos="360"/>
        </w:tabs>
        <w:spacing w:after="120"/>
        <w:rPr>
          <w:rFonts w:ascii="Times" w:hAnsi="Times" w:cs="Times"/>
          <w:b/>
          <w:bCs/>
        </w:rPr>
      </w:pPr>
      <w:r w:rsidRPr="00D60904">
        <w:rPr>
          <w:rFonts w:ascii="Times" w:hAnsi="Times" w:cs="Times"/>
          <w:b/>
          <w:bCs/>
        </w:rPr>
        <w:t>Estimate of Respondent Burden</w:t>
      </w:r>
    </w:p>
    <w:p w:rsidR="00CF32E2" w:rsidRDefault="00CF32E2" w:rsidP="00E52297">
      <w:pPr>
        <w:widowControl/>
        <w:ind w:firstLine="360"/>
        <w:rPr>
          <w:rFonts w:ascii="Times" w:hAnsi="Times" w:cs="Times"/>
        </w:rPr>
      </w:pPr>
      <w:r w:rsidRPr="00A42A08">
        <w:rPr>
          <w:rFonts w:ascii="Times" w:hAnsi="Times"/>
        </w:rPr>
        <w:t xml:space="preserve">As shown </w:t>
      </w:r>
      <w:r>
        <w:rPr>
          <w:rFonts w:ascii="Times" w:hAnsi="Times"/>
        </w:rPr>
        <w:t xml:space="preserve">in table </w:t>
      </w:r>
      <w:r w:rsidR="00935931">
        <w:rPr>
          <w:rFonts w:ascii="Times" w:hAnsi="Times"/>
        </w:rPr>
        <w:t>1</w:t>
      </w:r>
      <w:r w:rsidRPr="00A42A08">
        <w:rPr>
          <w:rFonts w:ascii="Times" w:hAnsi="Times"/>
        </w:rPr>
        <w:t xml:space="preserve">, </w:t>
      </w:r>
      <w:r w:rsidR="00625ACE">
        <w:rPr>
          <w:rFonts w:ascii="Times" w:hAnsi="Times"/>
        </w:rPr>
        <w:t>based on six</w:t>
      </w:r>
      <w:r w:rsidR="00625ACE" w:rsidRPr="00A42A08">
        <w:rPr>
          <w:rFonts w:ascii="Times" w:hAnsi="Times"/>
        </w:rPr>
        <w:t xml:space="preserve"> surveys per year and </w:t>
      </w:r>
      <w:r w:rsidR="00625ACE">
        <w:rPr>
          <w:rFonts w:ascii="Times" w:hAnsi="Times"/>
        </w:rPr>
        <w:t>an average response time of t</w:t>
      </w:r>
      <w:r w:rsidR="00995535">
        <w:rPr>
          <w:rFonts w:ascii="Times" w:hAnsi="Times"/>
        </w:rPr>
        <w:t>hree</w:t>
      </w:r>
      <w:r w:rsidR="00625ACE">
        <w:rPr>
          <w:rFonts w:ascii="Times" w:hAnsi="Times"/>
        </w:rPr>
        <w:t xml:space="preserve"> </w:t>
      </w:r>
      <w:r w:rsidR="00625ACE" w:rsidRPr="00A42A08">
        <w:rPr>
          <w:rFonts w:ascii="Times" w:hAnsi="Times"/>
        </w:rPr>
        <w:t>hour</w:t>
      </w:r>
      <w:r w:rsidR="00625ACE">
        <w:rPr>
          <w:rFonts w:ascii="Times" w:hAnsi="Times"/>
        </w:rPr>
        <w:t xml:space="preserve">s, </w:t>
      </w:r>
      <w:r>
        <w:rPr>
          <w:rFonts w:ascii="Times" w:hAnsi="Times"/>
        </w:rPr>
        <w:t xml:space="preserve">the </w:t>
      </w:r>
      <w:r w:rsidRPr="00A42A08">
        <w:rPr>
          <w:rFonts w:ascii="Times" w:hAnsi="Times"/>
        </w:rPr>
        <w:t xml:space="preserve">total </w:t>
      </w:r>
      <w:r>
        <w:rPr>
          <w:rFonts w:ascii="Times" w:hAnsi="Times"/>
        </w:rPr>
        <w:t xml:space="preserve">annual burden for the </w:t>
      </w:r>
      <w:r w:rsidR="00232706">
        <w:rPr>
          <w:rFonts w:ascii="Times" w:hAnsi="Times"/>
        </w:rPr>
        <w:t>Senior Credit Officer Opinion</w:t>
      </w:r>
      <w:r>
        <w:rPr>
          <w:rFonts w:ascii="Times" w:hAnsi="Times"/>
        </w:rPr>
        <w:t xml:space="preserve"> </w:t>
      </w:r>
      <w:r w:rsidR="0048757C">
        <w:rPr>
          <w:rFonts w:ascii="Times" w:hAnsi="Times"/>
        </w:rPr>
        <w:t>S</w:t>
      </w:r>
      <w:r w:rsidRPr="00A42A08">
        <w:rPr>
          <w:rFonts w:ascii="Times" w:hAnsi="Times"/>
        </w:rPr>
        <w:t xml:space="preserve">urvey is estimated to be </w:t>
      </w:r>
      <w:r w:rsidR="00BF4335">
        <w:rPr>
          <w:rFonts w:ascii="Times" w:hAnsi="Times"/>
        </w:rPr>
        <w:t>450</w:t>
      </w:r>
      <w:r>
        <w:rPr>
          <w:rFonts w:ascii="Times" w:hAnsi="Times"/>
        </w:rPr>
        <w:t xml:space="preserve"> hours</w:t>
      </w:r>
      <w:r w:rsidR="00625ACE">
        <w:rPr>
          <w:rFonts w:ascii="Times" w:hAnsi="Times"/>
        </w:rPr>
        <w:t>.</w:t>
      </w:r>
      <w:r w:rsidR="00B932A0">
        <w:rPr>
          <w:rFonts w:ascii="Times" w:hAnsi="Times"/>
        </w:rPr>
        <w:t xml:space="preserve">  </w:t>
      </w:r>
      <w:r w:rsidR="00625ACE">
        <w:rPr>
          <w:rFonts w:ascii="Times" w:hAnsi="Times"/>
        </w:rPr>
        <w:t>Actual r</w:t>
      </w:r>
      <w:r w:rsidR="00592B20" w:rsidRPr="00D60904">
        <w:rPr>
          <w:rFonts w:ascii="Times" w:hAnsi="Times" w:cs="Times"/>
        </w:rPr>
        <w:t xml:space="preserve">espondent burden for this survey </w:t>
      </w:r>
      <w:r w:rsidR="00BF4335">
        <w:rPr>
          <w:rFonts w:ascii="Times" w:hAnsi="Times" w:cs="Times"/>
        </w:rPr>
        <w:t>would likely vary as it does now for the Senior Loan Officer Opinion Survey</w:t>
      </w:r>
      <w:r w:rsidR="00592B20" w:rsidRPr="00D60904">
        <w:rPr>
          <w:rFonts w:ascii="Times" w:hAnsi="Times" w:cs="Times"/>
        </w:rPr>
        <w:t xml:space="preserve">, depending on how many of the six authorized surveys are actually carried out and on the specific content of each questionnaire.  Based on </w:t>
      </w:r>
      <w:r w:rsidR="00482994">
        <w:rPr>
          <w:rFonts w:ascii="Times" w:hAnsi="Times" w:cs="Times"/>
        </w:rPr>
        <w:t>experience with</w:t>
      </w:r>
      <w:r w:rsidR="00232706">
        <w:rPr>
          <w:rFonts w:ascii="Times" w:hAnsi="Times" w:cs="Times"/>
        </w:rPr>
        <w:t xml:space="preserve"> the Senior Loan Officer Opinion Survey</w:t>
      </w:r>
      <w:r w:rsidR="00592B20" w:rsidRPr="00D60904">
        <w:rPr>
          <w:rFonts w:ascii="Times" w:hAnsi="Times" w:cs="Times"/>
        </w:rPr>
        <w:t xml:space="preserve">, </w:t>
      </w:r>
      <w:r w:rsidR="00482994">
        <w:rPr>
          <w:rFonts w:ascii="Times" w:hAnsi="Times" w:cs="Times"/>
        </w:rPr>
        <w:t xml:space="preserve">the Federal Reserve </w:t>
      </w:r>
      <w:r w:rsidR="00592B20" w:rsidRPr="00D60904">
        <w:rPr>
          <w:rFonts w:ascii="Times" w:hAnsi="Times" w:cs="Times"/>
        </w:rPr>
        <w:t>estimate</w:t>
      </w:r>
      <w:r w:rsidR="00412C32">
        <w:rPr>
          <w:rFonts w:ascii="Times" w:hAnsi="Times" w:cs="Times"/>
        </w:rPr>
        <w:t>s</w:t>
      </w:r>
      <w:r w:rsidR="00592B20" w:rsidRPr="00D60904">
        <w:rPr>
          <w:rFonts w:ascii="Times" w:hAnsi="Times" w:cs="Times"/>
        </w:rPr>
        <w:t xml:space="preserve"> that</w:t>
      </w:r>
      <w:r w:rsidR="00592B20" w:rsidRPr="00CA71A7">
        <w:rPr>
          <w:rFonts w:ascii="Times" w:hAnsi="Times" w:cs="Times"/>
        </w:rPr>
        <w:t xml:space="preserve">, </w:t>
      </w:r>
      <w:r w:rsidR="00592B20" w:rsidRPr="00CA71A7">
        <w:rPr>
          <w:rFonts w:ascii="Times" w:hAnsi="Times" w:cs="Times"/>
          <w:iCs/>
        </w:rPr>
        <w:t>on average</w:t>
      </w:r>
      <w:r w:rsidR="00592B20" w:rsidRPr="00CA71A7">
        <w:rPr>
          <w:rFonts w:ascii="Times" w:hAnsi="Times" w:cs="Times"/>
        </w:rPr>
        <w:t xml:space="preserve">, </w:t>
      </w:r>
      <w:r w:rsidR="00B439DF">
        <w:rPr>
          <w:rFonts w:ascii="Times" w:hAnsi="Times" w:cs="Times"/>
        </w:rPr>
        <w:t>completion of a typical questionnaire would</w:t>
      </w:r>
      <w:r w:rsidR="00592B20" w:rsidRPr="00CA71A7">
        <w:rPr>
          <w:rFonts w:ascii="Times" w:hAnsi="Times" w:cs="Times"/>
        </w:rPr>
        <w:t xml:space="preserve"> take about </w:t>
      </w:r>
      <w:r w:rsidR="0021450B">
        <w:rPr>
          <w:rFonts w:ascii="Times" w:hAnsi="Times" w:cs="Times"/>
        </w:rPr>
        <w:t>three</w:t>
      </w:r>
      <w:r w:rsidR="00592B20" w:rsidRPr="00CA71A7">
        <w:rPr>
          <w:rFonts w:ascii="Times" w:hAnsi="Times" w:cs="Times"/>
        </w:rPr>
        <w:t xml:space="preserve"> hours of a respondent's time.</w:t>
      </w:r>
      <w:r w:rsidR="00DB264A" w:rsidRPr="00CA71A7">
        <w:rPr>
          <w:rStyle w:val="FootnoteReference"/>
          <w:rFonts w:ascii="Times" w:hAnsi="Times" w:cs="Times"/>
          <w:vertAlign w:val="superscript"/>
        </w:rPr>
        <w:footnoteReference w:id="3"/>
      </w:r>
      <w:r w:rsidR="00BA24B2">
        <w:rPr>
          <w:rFonts w:ascii="Times" w:hAnsi="Times" w:cs="Times"/>
        </w:rPr>
        <w:t xml:space="preserve">  The annual burden for the </w:t>
      </w:r>
      <w:r w:rsidR="00232706">
        <w:rPr>
          <w:rFonts w:ascii="Times" w:hAnsi="Times" w:cs="Times"/>
        </w:rPr>
        <w:t>proposed new survey would represent</w:t>
      </w:r>
      <w:r w:rsidR="00BA24B2">
        <w:rPr>
          <w:rFonts w:ascii="Times" w:hAnsi="Times" w:cs="Times"/>
        </w:rPr>
        <w:t xml:space="preserve"> less than 1 percent of total </w:t>
      </w:r>
      <w:r w:rsidR="0048757C">
        <w:rPr>
          <w:rFonts w:ascii="Times" w:hAnsi="Times" w:cs="Times"/>
        </w:rPr>
        <w:t xml:space="preserve">paperwork </w:t>
      </w:r>
      <w:r w:rsidR="00BA24B2">
        <w:rPr>
          <w:rFonts w:ascii="Times" w:hAnsi="Times" w:cs="Times"/>
        </w:rPr>
        <w:t>burden for the Federal Reserve System.</w:t>
      </w:r>
      <w:r w:rsidR="00592B20" w:rsidRPr="00CA71A7">
        <w:rPr>
          <w:rFonts w:ascii="Times" w:hAnsi="Times" w:cs="Times"/>
        </w:rPr>
        <w:t xml:space="preserve"> </w:t>
      </w:r>
    </w:p>
    <w:p w:rsidR="00451C4D" w:rsidRDefault="00451C4D">
      <w:pPr>
        <w:widowControl/>
        <w:autoSpaceDE/>
        <w:autoSpaceDN/>
        <w:adjustRightInd/>
        <w:rPr>
          <w:rFonts w:ascii="Times" w:hAnsi="Times" w:cs="Times"/>
          <w:b/>
          <w:bCs/>
        </w:rPr>
      </w:pPr>
    </w:p>
    <w:p w:rsidR="009C4F77" w:rsidRPr="00D60904" w:rsidRDefault="00935931" w:rsidP="009C4F77">
      <w:pPr>
        <w:widowControl/>
        <w:tabs>
          <w:tab w:val="left" w:pos="360"/>
        </w:tabs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Table 1</w:t>
      </w:r>
    </w:p>
    <w:p w:rsidR="009C4F77" w:rsidRPr="00CF32E2" w:rsidRDefault="009C4F77" w:rsidP="009C4F77">
      <w:pPr>
        <w:widowControl/>
        <w:jc w:val="center"/>
        <w:rPr>
          <w:rFonts w:ascii="Times New Roman" w:hAnsi="Times New Roman"/>
          <w:color w:val="000000"/>
        </w:rPr>
      </w:pPr>
      <w:r>
        <w:rPr>
          <w:rFonts w:ascii="Times" w:hAnsi="Times" w:cs="Times"/>
          <w:b/>
          <w:bCs/>
        </w:rPr>
        <w:t>Estimate of Respondent Burden</w:t>
      </w:r>
    </w:p>
    <w:p w:rsidR="009C4F77" w:rsidRPr="00D60904" w:rsidRDefault="009C4F77" w:rsidP="009C4F77">
      <w:pPr>
        <w:widowControl/>
        <w:tabs>
          <w:tab w:val="left" w:pos="360"/>
        </w:tabs>
        <w:rPr>
          <w:rFonts w:ascii="Times" w:hAnsi="Times" w:cs="Times"/>
        </w:rPr>
      </w:pPr>
    </w:p>
    <w:tbl>
      <w:tblPr>
        <w:tblW w:w="0" w:type="auto"/>
        <w:tblInd w:w="120" w:type="dxa"/>
        <w:tblBorders>
          <w:top w:val="single" w:sz="6" w:space="0" w:color="auto"/>
          <w:bottom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880"/>
        <w:gridCol w:w="1620"/>
        <w:gridCol w:w="1620"/>
        <w:gridCol w:w="1620"/>
        <w:gridCol w:w="1620"/>
      </w:tblGrid>
      <w:tr w:rsidR="009C4F77" w:rsidRPr="00D60904" w:rsidTr="00A07D4C">
        <w:trPr>
          <w:trHeight w:val="1005"/>
        </w:trPr>
        <w:tc>
          <w:tcPr>
            <w:tcW w:w="2880" w:type="dxa"/>
            <w:vAlign w:val="center"/>
          </w:tcPr>
          <w:p w:rsidR="009C4F77" w:rsidRPr="00D60904" w:rsidRDefault="009C4F77" w:rsidP="00A07D4C">
            <w:pPr>
              <w:spacing w:line="129" w:lineRule="exact"/>
              <w:jc w:val="center"/>
              <w:rPr>
                <w:rFonts w:ascii="Times" w:hAnsi="Times" w:cs="Times"/>
              </w:rPr>
            </w:pPr>
          </w:p>
          <w:p w:rsidR="009C4F77" w:rsidRPr="00D60904" w:rsidRDefault="009C4F77" w:rsidP="00A07D4C">
            <w:pPr>
              <w:widowControl/>
              <w:tabs>
                <w:tab w:val="left" w:pos="360"/>
              </w:tabs>
              <w:spacing w:after="48"/>
              <w:jc w:val="center"/>
              <w:rPr>
                <w:rFonts w:ascii="Times" w:hAnsi="Times" w:cs="Times"/>
              </w:rPr>
            </w:pPr>
          </w:p>
        </w:tc>
        <w:tc>
          <w:tcPr>
            <w:tcW w:w="1620" w:type="dxa"/>
            <w:vAlign w:val="center"/>
          </w:tcPr>
          <w:p w:rsidR="009C4F77" w:rsidRPr="00D60904" w:rsidRDefault="009C4F77" w:rsidP="00A07D4C">
            <w:pPr>
              <w:spacing w:line="129" w:lineRule="exact"/>
              <w:jc w:val="center"/>
              <w:rPr>
                <w:rFonts w:ascii="Times" w:hAnsi="Times" w:cs="Times"/>
              </w:rPr>
            </w:pPr>
          </w:p>
          <w:p w:rsidR="00A07D4C" w:rsidRDefault="009C4F77" w:rsidP="00A07D4C">
            <w:pPr>
              <w:widowControl/>
              <w:tabs>
                <w:tab w:val="left" w:pos="360"/>
              </w:tabs>
              <w:jc w:val="center"/>
              <w:rPr>
                <w:rFonts w:ascii="Times" w:hAnsi="Times" w:cs="Times"/>
                <w:i/>
                <w:iCs/>
              </w:rPr>
            </w:pPr>
            <w:r w:rsidRPr="00D60904">
              <w:rPr>
                <w:rFonts w:ascii="Times" w:hAnsi="Times" w:cs="Times"/>
                <w:i/>
                <w:iCs/>
              </w:rPr>
              <w:t>Number</w:t>
            </w:r>
          </w:p>
          <w:p w:rsidR="009C4F77" w:rsidRPr="00D60904" w:rsidRDefault="009C4F77" w:rsidP="00A07D4C">
            <w:pPr>
              <w:widowControl/>
              <w:tabs>
                <w:tab w:val="left" w:pos="360"/>
              </w:tabs>
              <w:jc w:val="center"/>
              <w:rPr>
                <w:rFonts w:ascii="Times" w:hAnsi="Times" w:cs="Times"/>
                <w:i/>
                <w:iCs/>
              </w:rPr>
            </w:pPr>
            <w:r w:rsidRPr="00D60904">
              <w:rPr>
                <w:rFonts w:ascii="Times" w:hAnsi="Times" w:cs="Times"/>
                <w:i/>
                <w:iCs/>
              </w:rPr>
              <w:t>of</w:t>
            </w:r>
          </w:p>
          <w:p w:rsidR="009C4F77" w:rsidRPr="00D60904" w:rsidRDefault="009C4F77" w:rsidP="00A07D4C">
            <w:pPr>
              <w:widowControl/>
              <w:tabs>
                <w:tab w:val="left" w:pos="360"/>
              </w:tabs>
              <w:spacing w:after="48"/>
              <w:jc w:val="center"/>
              <w:rPr>
                <w:rFonts w:ascii="Times" w:hAnsi="Times" w:cs="Times"/>
              </w:rPr>
            </w:pPr>
            <w:r w:rsidRPr="00D60904">
              <w:rPr>
                <w:rFonts w:ascii="Times" w:hAnsi="Times" w:cs="Times"/>
                <w:i/>
                <w:iCs/>
              </w:rPr>
              <w:t>respondents</w:t>
            </w:r>
          </w:p>
        </w:tc>
        <w:tc>
          <w:tcPr>
            <w:tcW w:w="1620" w:type="dxa"/>
            <w:vAlign w:val="center"/>
          </w:tcPr>
          <w:p w:rsidR="009C4F77" w:rsidRPr="00D60904" w:rsidRDefault="009C4F77" w:rsidP="00A07D4C">
            <w:pPr>
              <w:spacing w:line="129" w:lineRule="exact"/>
              <w:jc w:val="center"/>
              <w:rPr>
                <w:rFonts w:ascii="Times" w:hAnsi="Times" w:cs="Times"/>
              </w:rPr>
            </w:pPr>
          </w:p>
          <w:p w:rsidR="009C4F77" w:rsidRPr="00D60904" w:rsidRDefault="009C4F77" w:rsidP="00A07D4C">
            <w:pPr>
              <w:widowControl/>
              <w:tabs>
                <w:tab w:val="left" w:pos="360"/>
              </w:tabs>
              <w:jc w:val="center"/>
              <w:rPr>
                <w:rFonts w:ascii="Times" w:hAnsi="Times" w:cs="Times"/>
                <w:i/>
                <w:iCs/>
              </w:rPr>
            </w:pPr>
            <w:r w:rsidRPr="00D60904">
              <w:rPr>
                <w:rFonts w:ascii="Times" w:hAnsi="Times" w:cs="Times"/>
                <w:i/>
                <w:iCs/>
              </w:rPr>
              <w:t>Annual</w:t>
            </w:r>
          </w:p>
          <w:p w:rsidR="009C4F77" w:rsidRPr="00D60904" w:rsidRDefault="009C4F77" w:rsidP="00A07D4C">
            <w:pPr>
              <w:widowControl/>
              <w:tabs>
                <w:tab w:val="left" w:pos="360"/>
              </w:tabs>
              <w:spacing w:after="48"/>
              <w:jc w:val="center"/>
              <w:rPr>
                <w:rFonts w:ascii="Times" w:hAnsi="Times" w:cs="Times"/>
              </w:rPr>
            </w:pPr>
            <w:r w:rsidRPr="00D60904">
              <w:rPr>
                <w:rFonts w:ascii="Times" w:hAnsi="Times" w:cs="Times"/>
                <w:i/>
                <w:iCs/>
              </w:rPr>
              <w:t>frequency</w:t>
            </w:r>
          </w:p>
        </w:tc>
        <w:tc>
          <w:tcPr>
            <w:tcW w:w="1620" w:type="dxa"/>
            <w:vAlign w:val="center"/>
          </w:tcPr>
          <w:p w:rsidR="009C4F77" w:rsidRPr="00D60904" w:rsidRDefault="009C4F77" w:rsidP="00A07D4C">
            <w:pPr>
              <w:spacing w:line="129" w:lineRule="exact"/>
              <w:jc w:val="center"/>
              <w:rPr>
                <w:rFonts w:ascii="Times" w:hAnsi="Times" w:cs="Times"/>
              </w:rPr>
            </w:pPr>
          </w:p>
          <w:p w:rsidR="009C4F77" w:rsidRPr="00D60904" w:rsidRDefault="009C4F77" w:rsidP="00A07D4C">
            <w:pPr>
              <w:widowControl/>
              <w:tabs>
                <w:tab w:val="left" w:pos="360"/>
              </w:tabs>
              <w:jc w:val="center"/>
              <w:rPr>
                <w:rFonts w:ascii="Times" w:hAnsi="Times" w:cs="Times"/>
                <w:i/>
                <w:iCs/>
              </w:rPr>
            </w:pPr>
            <w:r w:rsidRPr="00D60904">
              <w:rPr>
                <w:rFonts w:ascii="Times" w:hAnsi="Times" w:cs="Times"/>
                <w:i/>
                <w:iCs/>
              </w:rPr>
              <w:t>Estimated</w:t>
            </w:r>
          </w:p>
          <w:p w:rsidR="009C4F77" w:rsidRPr="00D60904" w:rsidRDefault="009C4F77" w:rsidP="00A07D4C">
            <w:pPr>
              <w:widowControl/>
              <w:tabs>
                <w:tab w:val="left" w:pos="360"/>
              </w:tabs>
              <w:jc w:val="center"/>
              <w:rPr>
                <w:rFonts w:ascii="Times" w:hAnsi="Times" w:cs="Times"/>
                <w:i/>
                <w:iCs/>
              </w:rPr>
            </w:pPr>
            <w:r w:rsidRPr="00D60904">
              <w:rPr>
                <w:rFonts w:ascii="Times" w:hAnsi="Times" w:cs="Times"/>
                <w:i/>
                <w:iCs/>
              </w:rPr>
              <w:t>average hours</w:t>
            </w:r>
          </w:p>
          <w:p w:rsidR="009C4F77" w:rsidRPr="00D60904" w:rsidRDefault="009C4F77" w:rsidP="00A07D4C">
            <w:pPr>
              <w:widowControl/>
              <w:tabs>
                <w:tab w:val="left" w:pos="360"/>
              </w:tabs>
              <w:spacing w:after="48"/>
              <w:jc w:val="center"/>
              <w:rPr>
                <w:rFonts w:ascii="Times" w:hAnsi="Times" w:cs="Times"/>
              </w:rPr>
            </w:pPr>
            <w:r w:rsidRPr="00D60904">
              <w:rPr>
                <w:rFonts w:ascii="Times" w:hAnsi="Times" w:cs="Times"/>
                <w:i/>
                <w:iCs/>
              </w:rPr>
              <w:t>per response</w:t>
            </w:r>
          </w:p>
        </w:tc>
        <w:tc>
          <w:tcPr>
            <w:tcW w:w="1620" w:type="dxa"/>
            <w:vAlign w:val="center"/>
          </w:tcPr>
          <w:p w:rsidR="009C4F77" w:rsidRPr="00D60904" w:rsidRDefault="009C4F77" w:rsidP="00A07D4C">
            <w:pPr>
              <w:spacing w:line="129" w:lineRule="exact"/>
              <w:jc w:val="center"/>
              <w:rPr>
                <w:rFonts w:ascii="Times" w:hAnsi="Times" w:cs="Times"/>
              </w:rPr>
            </w:pPr>
          </w:p>
          <w:p w:rsidR="009C4F77" w:rsidRPr="00D60904" w:rsidRDefault="009C4F77" w:rsidP="00A07D4C">
            <w:pPr>
              <w:widowControl/>
              <w:tabs>
                <w:tab w:val="left" w:pos="360"/>
              </w:tabs>
              <w:jc w:val="center"/>
              <w:rPr>
                <w:rFonts w:ascii="Times" w:hAnsi="Times" w:cs="Times"/>
                <w:i/>
                <w:iCs/>
              </w:rPr>
            </w:pPr>
            <w:r w:rsidRPr="00D60904">
              <w:rPr>
                <w:rFonts w:ascii="Times" w:hAnsi="Times" w:cs="Times"/>
                <w:i/>
                <w:iCs/>
              </w:rPr>
              <w:t>Estimated</w:t>
            </w:r>
          </w:p>
          <w:p w:rsidR="009C4F77" w:rsidRPr="00D60904" w:rsidRDefault="009C4F77" w:rsidP="00A07D4C">
            <w:pPr>
              <w:widowControl/>
              <w:tabs>
                <w:tab w:val="left" w:pos="360"/>
              </w:tabs>
              <w:jc w:val="center"/>
              <w:rPr>
                <w:rFonts w:ascii="Times" w:hAnsi="Times" w:cs="Times"/>
                <w:i/>
                <w:iCs/>
              </w:rPr>
            </w:pPr>
            <w:r w:rsidRPr="00D60904">
              <w:rPr>
                <w:rFonts w:ascii="Times" w:hAnsi="Times" w:cs="Times"/>
                <w:i/>
                <w:iCs/>
              </w:rPr>
              <w:t>annual</w:t>
            </w:r>
          </w:p>
          <w:p w:rsidR="009C4F77" w:rsidRPr="00D60904" w:rsidRDefault="009C4F77" w:rsidP="00A07D4C">
            <w:pPr>
              <w:widowControl/>
              <w:tabs>
                <w:tab w:val="left" w:pos="360"/>
              </w:tabs>
              <w:spacing w:after="48"/>
              <w:jc w:val="center"/>
              <w:rPr>
                <w:rFonts w:ascii="Times" w:hAnsi="Times" w:cs="Times"/>
              </w:rPr>
            </w:pPr>
            <w:r w:rsidRPr="00D60904">
              <w:rPr>
                <w:rFonts w:ascii="Times" w:hAnsi="Times" w:cs="Times"/>
                <w:i/>
                <w:iCs/>
              </w:rPr>
              <w:t>burden hours</w:t>
            </w:r>
          </w:p>
        </w:tc>
      </w:tr>
      <w:tr w:rsidR="009C4F77" w:rsidRPr="00D60904" w:rsidTr="00A07D4C">
        <w:trPr>
          <w:trHeight w:val="1005"/>
        </w:trPr>
        <w:tc>
          <w:tcPr>
            <w:tcW w:w="2880" w:type="dxa"/>
            <w:vAlign w:val="center"/>
          </w:tcPr>
          <w:p w:rsidR="009C4F77" w:rsidRPr="00D60904" w:rsidRDefault="009C4F77" w:rsidP="00A07D4C">
            <w:pPr>
              <w:spacing w:line="110" w:lineRule="exact"/>
              <w:jc w:val="center"/>
              <w:rPr>
                <w:rFonts w:ascii="Times" w:hAnsi="Times" w:cs="Times"/>
              </w:rPr>
            </w:pPr>
          </w:p>
          <w:p w:rsidR="009C4F77" w:rsidRPr="00D60904" w:rsidRDefault="009C4F77" w:rsidP="00A07D4C">
            <w:pPr>
              <w:widowControl/>
              <w:tabs>
                <w:tab w:val="left" w:pos="360"/>
              </w:tabs>
              <w:spacing w:after="67"/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Senior Credit Officer Opinion Survey</w:t>
            </w:r>
          </w:p>
        </w:tc>
        <w:tc>
          <w:tcPr>
            <w:tcW w:w="1620" w:type="dxa"/>
            <w:vAlign w:val="center"/>
          </w:tcPr>
          <w:p w:rsidR="009C4F77" w:rsidRPr="00D60904" w:rsidRDefault="009C4F77" w:rsidP="00A07D4C">
            <w:pPr>
              <w:spacing w:line="110" w:lineRule="exact"/>
              <w:jc w:val="center"/>
              <w:rPr>
                <w:rFonts w:ascii="Times" w:hAnsi="Times" w:cs="Times"/>
              </w:rPr>
            </w:pPr>
          </w:p>
          <w:p w:rsidR="009C4F77" w:rsidRPr="00D60904" w:rsidRDefault="009C4F77" w:rsidP="00A07D4C">
            <w:pPr>
              <w:widowControl/>
              <w:tabs>
                <w:tab w:val="left" w:pos="360"/>
              </w:tabs>
              <w:spacing w:after="67"/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25</w:t>
            </w:r>
          </w:p>
        </w:tc>
        <w:tc>
          <w:tcPr>
            <w:tcW w:w="1620" w:type="dxa"/>
            <w:vAlign w:val="center"/>
          </w:tcPr>
          <w:p w:rsidR="009C4F77" w:rsidRPr="00D60904" w:rsidRDefault="009C4F77" w:rsidP="00A07D4C">
            <w:pPr>
              <w:spacing w:line="110" w:lineRule="exact"/>
              <w:jc w:val="center"/>
              <w:rPr>
                <w:rFonts w:ascii="Times" w:hAnsi="Times" w:cs="Times"/>
              </w:rPr>
            </w:pPr>
          </w:p>
          <w:p w:rsidR="009C4F77" w:rsidRPr="00D60904" w:rsidRDefault="009C4F77" w:rsidP="00A07D4C">
            <w:pPr>
              <w:widowControl/>
              <w:tabs>
                <w:tab w:val="left" w:pos="360"/>
              </w:tabs>
              <w:spacing w:after="67"/>
              <w:jc w:val="center"/>
              <w:rPr>
                <w:rFonts w:ascii="Times" w:hAnsi="Times" w:cs="Times"/>
              </w:rPr>
            </w:pPr>
            <w:r w:rsidRPr="00D60904">
              <w:rPr>
                <w:rFonts w:ascii="Times" w:hAnsi="Times" w:cs="Times"/>
              </w:rPr>
              <w:t>6</w:t>
            </w:r>
          </w:p>
        </w:tc>
        <w:tc>
          <w:tcPr>
            <w:tcW w:w="1620" w:type="dxa"/>
            <w:vAlign w:val="center"/>
          </w:tcPr>
          <w:p w:rsidR="009C4F77" w:rsidRPr="00D60904" w:rsidRDefault="009C4F77" w:rsidP="00A07D4C">
            <w:pPr>
              <w:spacing w:line="110" w:lineRule="exact"/>
              <w:jc w:val="center"/>
              <w:rPr>
                <w:rFonts w:ascii="Times" w:hAnsi="Times" w:cs="Times"/>
              </w:rPr>
            </w:pPr>
          </w:p>
          <w:p w:rsidR="009C4F77" w:rsidRPr="00D60904" w:rsidRDefault="009C4F77" w:rsidP="00A07D4C">
            <w:pPr>
              <w:widowControl/>
              <w:tabs>
                <w:tab w:val="left" w:pos="360"/>
              </w:tabs>
              <w:spacing w:after="67"/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</w:t>
            </w:r>
          </w:p>
        </w:tc>
        <w:tc>
          <w:tcPr>
            <w:tcW w:w="1620" w:type="dxa"/>
            <w:vAlign w:val="center"/>
          </w:tcPr>
          <w:p w:rsidR="009C4F77" w:rsidRPr="00D60904" w:rsidRDefault="009C4F77" w:rsidP="00A07D4C">
            <w:pPr>
              <w:spacing w:line="110" w:lineRule="exact"/>
              <w:jc w:val="center"/>
              <w:rPr>
                <w:rFonts w:ascii="Times" w:hAnsi="Times" w:cs="Times"/>
              </w:rPr>
            </w:pPr>
          </w:p>
          <w:p w:rsidR="009C4F77" w:rsidRPr="00D60904" w:rsidRDefault="009C4F77" w:rsidP="00A07D4C">
            <w:pPr>
              <w:widowControl/>
              <w:tabs>
                <w:tab w:val="left" w:pos="360"/>
              </w:tabs>
              <w:spacing w:after="67"/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450</w:t>
            </w:r>
          </w:p>
        </w:tc>
      </w:tr>
    </w:tbl>
    <w:p w:rsidR="009C4F77" w:rsidRPr="00D60904" w:rsidRDefault="009C4F77" w:rsidP="009C4F77">
      <w:pPr>
        <w:widowControl/>
        <w:tabs>
          <w:tab w:val="left" w:pos="360"/>
        </w:tabs>
        <w:rPr>
          <w:rFonts w:ascii="Times" w:hAnsi="Times" w:cs="Times"/>
        </w:rPr>
      </w:pPr>
    </w:p>
    <w:p w:rsidR="009C4F77" w:rsidRPr="000E0B3E" w:rsidRDefault="009C4F77" w:rsidP="009C4F77">
      <w:pPr>
        <w:widowControl/>
        <w:tabs>
          <w:tab w:val="left" w:pos="360"/>
        </w:tabs>
        <w:rPr>
          <w:rFonts w:ascii="Times" w:hAnsi="Times" w:cs="Times"/>
          <w:vertAlign w:val="superscript"/>
        </w:rPr>
      </w:pPr>
      <w:r w:rsidRPr="00E60570">
        <w:rPr>
          <w:rFonts w:ascii="Times New Roman" w:hAnsi="Times New Roman"/>
        </w:rPr>
        <w:t>The total cost to the public</w:t>
      </w:r>
      <w:r w:rsidRPr="00D60904" w:rsidDel="000E0B3E">
        <w:rPr>
          <w:rFonts w:ascii="Times" w:hAnsi="Times" w:cs="Times"/>
        </w:rPr>
        <w:t xml:space="preserve"> </w:t>
      </w:r>
      <w:r w:rsidRPr="00D60904">
        <w:rPr>
          <w:rFonts w:ascii="Times" w:hAnsi="Times" w:cs="Times"/>
        </w:rPr>
        <w:t>is estimated to be $</w:t>
      </w:r>
      <w:r>
        <w:rPr>
          <w:rFonts w:ascii="Times" w:hAnsi="Times" w:cs="Times"/>
        </w:rPr>
        <w:t>33,</w:t>
      </w:r>
      <w:r w:rsidR="00AB34FB">
        <w:rPr>
          <w:rFonts w:ascii="Times" w:hAnsi="Times" w:cs="Times"/>
        </w:rPr>
        <w:t>863</w:t>
      </w:r>
      <w:r>
        <w:rPr>
          <w:rFonts w:ascii="Times" w:hAnsi="Times" w:cs="Times"/>
        </w:rPr>
        <w:t>.</w:t>
      </w:r>
      <w:r w:rsidRPr="000E0B3E">
        <w:rPr>
          <w:rStyle w:val="FootnoteReference"/>
          <w:rFonts w:ascii="Times" w:hAnsi="Times" w:cs="Times"/>
          <w:vertAlign w:val="superscript"/>
        </w:rPr>
        <w:footnoteReference w:id="4"/>
      </w:r>
    </w:p>
    <w:p w:rsidR="009C4F77" w:rsidRPr="00D60904" w:rsidRDefault="009C4F77" w:rsidP="009C4F77">
      <w:pPr>
        <w:widowControl/>
        <w:tabs>
          <w:tab w:val="left" w:pos="360"/>
        </w:tabs>
        <w:rPr>
          <w:rFonts w:ascii="Times" w:hAnsi="Times" w:cs="Times"/>
          <w:b/>
          <w:bCs/>
        </w:rPr>
      </w:pPr>
    </w:p>
    <w:p w:rsidR="009C4F77" w:rsidRDefault="009C4F77" w:rsidP="009C4F77">
      <w:pPr>
        <w:widowControl/>
        <w:tabs>
          <w:tab w:val="left" w:pos="360"/>
        </w:tabs>
        <w:spacing w:after="120"/>
        <w:rPr>
          <w:rFonts w:ascii="Times" w:hAnsi="Times" w:cs="Times"/>
          <w:b/>
          <w:bCs/>
        </w:rPr>
      </w:pPr>
      <w:r w:rsidRPr="00D60904">
        <w:rPr>
          <w:rFonts w:ascii="Times" w:hAnsi="Times" w:cs="Times"/>
          <w:b/>
          <w:bCs/>
        </w:rPr>
        <w:t>Sensitive Questions</w:t>
      </w:r>
    </w:p>
    <w:p w:rsidR="009C4F77" w:rsidRDefault="009C4F77" w:rsidP="009C4F77">
      <w:pPr>
        <w:widowControl/>
        <w:tabs>
          <w:tab w:val="left" w:pos="360"/>
        </w:tabs>
        <w:rPr>
          <w:rFonts w:ascii="Times" w:hAnsi="Times" w:cs="Times"/>
        </w:rPr>
      </w:pPr>
      <w:r>
        <w:rPr>
          <w:rFonts w:ascii="Times" w:hAnsi="Times" w:cs="Times"/>
        </w:rPr>
        <w:tab/>
      </w:r>
      <w:r w:rsidRPr="00D60904">
        <w:rPr>
          <w:rFonts w:ascii="Times" w:hAnsi="Times" w:cs="Times"/>
        </w:rPr>
        <w:t>This collection of information contains no questions of a sensitive nature, as defined by OMB guidelines.</w:t>
      </w:r>
    </w:p>
    <w:p w:rsidR="00E2470A" w:rsidRDefault="00E2470A" w:rsidP="009C4F77">
      <w:pPr>
        <w:widowControl/>
        <w:tabs>
          <w:tab w:val="left" w:pos="360"/>
        </w:tabs>
        <w:rPr>
          <w:rFonts w:ascii="Times" w:hAnsi="Times" w:cs="Times"/>
        </w:rPr>
      </w:pPr>
    </w:p>
    <w:p w:rsidR="009C4F77" w:rsidRPr="00D54459" w:rsidRDefault="009C4F77" w:rsidP="009C4F77">
      <w:pPr>
        <w:widowControl/>
        <w:tabs>
          <w:tab w:val="left" w:pos="360"/>
        </w:tabs>
        <w:spacing w:after="120"/>
        <w:rPr>
          <w:rFonts w:ascii="Times" w:hAnsi="Times" w:cs="Times"/>
          <w:b/>
          <w:bCs/>
        </w:rPr>
      </w:pPr>
      <w:r w:rsidRPr="00D60904">
        <w:rPr>
          <w:rFonts w:ascii="Times" w:hAnsi="Times" w:cs="Times"/>
          <w:b/>
          <w:bCs/>
        </w:rPr>
        <w:lastRenderedPageBreak/>
        <w:t>Estimate of Cost to the Federal Reserve System</w:t>
      </w:r>
    </w:p>
    <w:p w:rsidR="009C4F77" w:rsidRDefault="009C4F77" w:rsidP="009C4F77">
      <w:pPr>
        <w:widowControl/>
        <w:tabs>
          <w:tab w:val="left" w:pos="360"/>
        </w:tabs>
        <w:rPr>
          <w:rFonts w:ascii="Times" w:hAnsi="Times" w:cs="Times"/>
        </w:rPr>
      </w:pPr>
      <w:r>
        <w:rPr>
          <w:rFonts w:ascii="Times" w:hAnsi="Times" w:cs="Times"/>
        </w:rPr>
        <w:tab/>
      </w:r>
      <w:r w:rsidRPr="00D60904">
        <w:rPr>
          <w:rFonts w:ascii="Times" w:hAnsi="Times" w:cs="Times"/>
        </w:rPr>
        <w:t>The Federal Reserve's processing costs associated with this survey are nominal.</w:t>
      </w:r>
    </w:p>
    <w:p w:rsidR="009C4F77" w:rsidRDefault="009C4F77" w:rsidP="009C4F77">
      <w:pPr>
        <w:widowControl/>
        <w:tabs>
          <w:tab w:val="left" w:pos="360"/>
        </w:tabs>
        <w:rPr>
          <w:rFonts w:ascii="Times" w:hAnsi="Times" w:cs="Times"/>
        </w:rPr>
      </w:pPr>
    </w:p>
    <w:p w:rsidR="009617C7" w:rsidRPr="00D60904" w:rsidRDefault="00B439DF" w:rsidP="00B439DF">
      <w:pPr>
        <w:widowControl/>
        <w:tabs>
          <w:tab w:val="left" w:pos="360"/>
        </w:tabs>
        <w:rPr>
          <w:rFonts w:ascii="Times" w:hAnsi="Times" w:cs="Times"/>
        </w:rPr>
      </w:pP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</w:p>
    <w:sectPr w:rsidR="009617C7" w:rsidRPr="00D60904" w:rsidSect="00222228">
      <w:endnotePr>
        <w:numFmt w:val="decimal"/>
      </w:endnotePr>
      <w:type w:val="continuous"/>
      <w:pgSz w:w="12240" w:h="15840"/>
      <w:pgMar w:top="1350" w:right="1440" w:bottom="900" w:left="1440" w:header="1350" w:footer="90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7DD" w:rsidRDefault="007357DD">
      <w:r>
        <w:separator/>
      </w:r>
    </w:p>
  </w:endnote>
  <w:endnote w:type="continuationSeparator" w:id="0">
    <w:p w:rsidR="007357DD" w:rsidRDefault="00735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7DD" w:rsidRDefault="00C3372A" w:rsidP="0022222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357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357DD" w:rsidRDefault="007357D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7DD" w:rsidRPr="00222228" w:rsidRDefault="00C3372A" w:rsidP="004A6029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 w:rsidRPr="00222228">
      <w:rPr>
        <w:rStyle w:val="PageNumber"/>
        <w:rFonts w:ascii="Times New Roman" w:hAnsi="Times New Roman"/>
      </w:rPr>
      <w:fldChar w:fldCharType="begin"/>
    </w:r>
    <w:r w:rsidR="007357DD" w:rsidRPr="00222228">
      <w:rPr>
        <w:rStyle w:val="PageNumber"/>
        <w:rFonts w:ascii="Times New Roman" w:hAnsi="Times New Roman"/>
      </w:rPr>
      <w:instrText xml:space="preserve">PAGE  </w:instrText>
    </w:r>
    <w:r w:rsidRPr="00222228">
      <w:rPr>
        <w:rStyle w:val="PageNumber"/>
        <w:rFonts w:ascii="Times New Roman" w:hAnsi="Times New Roman"/>
      </w:rPr>
      <w:fldChar w:fldCharType="separate"/>
    </w:r>
    <w:r w:rsidR="00321A00">
      <w:rPr>
        <w:rStyle w:val="PageNumber"/>
        <w:rFonts w:ascii="Times New Roman" w:hAnsi="Times New Roman"/>
        <w:noProof/>
      </w:rPr>
      <w:t>2</w:t>
    </w:r>
    <w:r w:rsidRPr="00222228">
      <w:rPr>
        <w:rStyle w:val="PageNumber"/>
        <w:rFonts w:ascii="Times New Roman" w:hAnsi="Times New Roman"/>
      </w:rPr>
      <w:fldChar w:fldCharType="end"/>
    </w:r>
  </w:p>
  <w:p w:rsidR="007357DD" w:rsidRDefault="007357D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7DD" w:rsidRDefault="007357DD">
      <w:r>
        <w:separator/>
      </w:r>
    </w:p>
  </w:footnote>
  <w:footnote w:type="continuationSeparator" w:id="0">
    <w:p w:rsidR="007357DD" w:rsidRDefault="007357DD">
      <w:r>
        <w:continuationSeparator/>
      </w:r>
    </w:p>
  </w:footnote>
  <w:footnote w:id="1">
    <w:p w:rsidR="007357DD" w:rsidRPr="00D60904" w:rsidRDefault="007357DD" w:rsidP="000D52B8">
      <w:pPr>
        <w:pStyle w:val="FootnoteText"/>
        <w:rPr>
          <w:rFonts w:ascii="Times New Roman" w:hAnsi="Times New Roman"/>
        </w:rPr>
      </w:pPr>
      <w:r w:rsidRPr="00D60904">
        <w:rPr>
          <w:rStyle w:val="FootnoteReference"/>
          <w:rFonts w:ascii="Times New Roman" w:hAnsi="Times New Roman"/>
          <w:vertAlign w:val="superscript"/>
        </w:rPr>
        <w:footnoteRef/>
      </w:r>
      <w:r w:rsidRPr="00D609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 list of the current Primary Dealers in Government Securities is available at </w:t>
      </w:r>
      <w:hyperlink r:id="rId1" w:history="1">
        <w:r w:rsidR="002C73A2" w:rsidRPr="00023EAC">
          <w:rPr>
            <w:rStyle w:val="Hyperlink"/>
            <w:rFonts w:ascii="Times New Roman" w:hAnsi="Times New Roman"/>
          </w:rPr>
          <w:t>http://www.newyorkfed.org/markets/pridealers_current.html</w:t>
        </w:r>
      </w:hyperlink>
      <w:r w:rsidRPr="00D60904">
        <w:rPr>
          <w:rFonts w:ascii="Times New Roman" w:hAnsi="Times New Roman"/>
        </w:rPr>
        <w:t>.</w:t>
      </w:r>
      <w:r w:rsidR="002C73A2">
        <w:rPr>
          <w:rFonts w:ascii="Times New Roman" w:hAnsi="Times New Roman"/>
        </w:rPr>
        <w:t xml:space="preserve"> </w:t>
      </w:r>
    </w:p>
  </w:footnote>
  <w:footnote w:id="2">
    <w:p w:rsidR="007357DD" w:rsidRPr="005170D1" w:rsidRDefault="007357DD">
      <w:pPr>
        <w:pStyle w:val="FootnoteText"/>
        <w:rPr>
          <w:rFonts w:ascii="Times" w:hAnsi="Times"/>
        </w:rPr>
      </w:pPr>
      <w:r w:rsidRPr="00FC3A1E">
        <w:rPr>
          <w:rStyle w:val="FootnoteReference"/>
          <w:rFonts w:ascii="Times" w:hAnsi="Times"/>
          <w:vertAlign w:val="superscript"/>
        </w:rPr>
        <w:footnoteRef/>
      </w:r>
      <w:r w:rsidRPr="00FC3A1E">
        <w:rPr>
          <w:rFonts w:ascii="Times" w:hAnsi="Times"/>
        </w:rPr>
        <w:t xml:space="preserve"> The Group of Twenty (</w:t>
      </w:r>
      <w:r>
        <w:rPr>
          <w:rFonts w:ascii="Times" w:hAnsi="Times"/>
        </w:rPr>
        <w:t xml:space="preserve">G-20) consists of finance ministers and central bank governors from 19 systemically important industrial and developing countries who convene regularly to consider key issues related to global economic stability.  </w:t>
      </w:r>
    </w:p>
  </w:footnote>
  <w:footnote w:id="3">
    <w:p w:rsidR="007357DD" w:rsidRPr="00D60904" w:rsidRDefault="007357DD" w:rsidP="00D60904">
      <w:pPr>
        <w:pStyle w:val="FootnoteText"/>
        <w:rPr>
          <w:rFonts w:ascii="Times New Roman" w:hAnsi="Times New Roman"/>
        </w:rPr>
      </w:pPr>
      <w:r w:rsidRPr="00D60904">
        <w:rPr>
          <w:rStyle w:val="FootnoteReference"/>
          <w:rFonts w:ascii="Times New Roman" w:hAnsi="Times New Roman"/>
          <w:vertAlign w:val="superscript"/>
        </w:rPr>
        <w:footnoteRef/>
      </w:r>
      <w:r w:rsidRPr="00D60904">
        <w:rPr>
          <w:rFonts w:ascii="Times New Roman" w:hAnsi="Times New Roman"/>
        </w:rPr>
        <w:t xml:space="preserve"> Actual burden underlying the average </w:t>
      </w:r>
      <w:r>
        <w:rPr>
          <w:rFonts w:ascii="Times New Roman" w:hAnsi="Times New Roman"/>
        </w:rPr>
        <w:t>assumed three</w:t>
      </w:r>
      <w:r w:rsidRPr="00D60904">
        <w:rPr>
          <w:rFonts w:ascii="Times New Roman" w:hAnsi="Times New Roman"/>
        </w:rPr>
        <w:t xml:space="preserve">-hour response </w:t>
      </w:r>
      <w:r>
        <w:rPr>
          <w:rFonts w:ascii="Times New Roman" w:hAnsi="Times New Roman"/>
        </w:rPr>
        <w:t>time</w:t>
      </w:r>
      <w:r w:rsidRPr="00D60904">
        <w:rPr>
          <w:rFonts w:ascii="Times New Roman" w:hAnsi="Times New Roman"/>
        </w:rPr>
        <w:t xml:space="preserve"> varies considerably not only from survey to survey, depending on the number and nature of the questions, but also among respondents for any one survey.</w:t>
      </w:r>
    </w:p>
  </w:footnote>
  <w:footnote w:id="4">
    <w:p w:rsidR="007357DD" w:rsidRPr="003656AD" w:rsidRDefault="007357DD" w:rsidP="009C4F77">
      <w:pPr>
        <w:rPr>
          <w:rFonts w:ascii="Times" w:hAnsi="Times"/>
          <w:sz w:val="18"/>
          <w:szCs w:val="18"/>
        </w:rPr>
      </w:pPr>
      <w:r w:rsidRPr="000E0B3E">
        <w:rPr>
          <w:rStyle w:val="FootnoteReference"/>
          <w:rFonts w:ascii="Times New Roman" w:hAnsi="Times New Roman"/>
          <w:vertAlign w:val="superscript"/>
        </w:rPr>
        <w:footnoteRef/>
      </w:r>
      <w:r w:rsidRPr="000E0B3E">
        <w:rPr>
          <w:rFonts w:ascii="Times New Roman" w:hAnsi="Times New Roman"/>
        </w:rPr>
        <w:t xml:space="preserve"> </w:t>
      </w:r>
      <w:r w:rsidRPr="003656AD">
        <w:rPr>
          <w:rFonts w:ascii="Times" w:hAnsi="Times"/>
          <w:sz w:val="18"/>
          <w:szCs w:val="18"/>
        </w:rPr>
        <w:t xml:space="preserve">Total cost to the public was estimated using the following formula.  Percent of staff time, multiplied by annual burden hours, multiplied by hourly rate:  </w:t>
      </w:r>
      <w:r>
        <w:rPr>
          <w:rFonts w:ascii="Times" w:hAnsi="Times"/>
          <w:sz w:val="18"/>
          <w:szCs w:val="18"/>
        </w:rPr>
        <w:t>15</w:t>
      </w:r>
      <w:r w:rsidRPr="003656AD">
        <w:rPr>
          <w:rFonts w:ascii="Times" w:hAnsi="Times"/>
          <w:sz w:val="18"/>
          <w:szCs w:val="18"/>
        </w:rPr>
        <w:t xml:space="preserve">% Administrative or Junior Analyst @ $25, </w:t>
      </w:r>
      <w:r>
        <w:rPr>
          <w:rFonts w:ascii="Times" w:hAnsi="Times"/>
          <w:sz w:val="18"/>
          <w:szCs w:val="18"/>
        </w:rPr>
        <w:t>30</w:t>
      </w:r>
      <w:r w:rsidRPr="003656AD">
        <w:rPr>
          <w:rFonts w:ascii="Times" w:hAnsi="Times"/>
          <w:sz w:val="18"/>
          <w:szCs w:val="18"/>
        </w:rPr>
        <w:t xml:space="preserve">% Managerial or Technical @ $55, </w:t>
      </w:r>
      <w:r>
        <w:rPr>
          <w:rFonts w:ascii="Times" w:hAnsi="Times"/>
          <w:sz w:val="18"/>
          <w:szCs w:val="18"/>
        </w:rPr>
        <w:t>and 55</w:t>
      </w:r>
      <w:r w:rsidRPr="003656AD">
        <w:rPr>
          <w:rFonts w:ascii="Times" w:hAnsi="Times"/>
          <w:sz w:val="18"/>
          <w:szCs w:val="18"/>
        </w:rPr>
        <w:t xml:space="preserve">% Senior Management @ $100.  Hourly rate estimates for each occupational group are averages using data from the Bureau of Labor and Statistics (BLS), Occupational Employment and Wages 2007, http://www.bls.gov/news.release/ocwage.nr0.htm  Occupations are defined using the BLS Occupational Classification System.  http://www.bls.gov/soc/  </w:t>
      </w:r>
    </w:p>
    <w:p w:rsidR="007357DD" w:rsidRPr="0014327D" w:rsidRDefault="007357DD" w:rsidP="009C4F77">
      <w:pPr>
        <w:pStyle w:val="FootnoteText"/>
        <w:rPr>
          <w:sz w:val="18"/>
          <w:szCs w:val="18"/>
        </w:rPr>
      </w:pPr>
    </w:p>
    <w:p w:rsidR="007357DD" w:rsidRDefault="007357DD" w:rsidP="009C4F77"/>
    <w:p w:rsidR="007357DD" w:rsidRDefault="007357DD" w:rsidP="009C4F77">
      <w:pPr>
        <w:pStyle w:val="FootnoteTex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7DD" w:rsidRDefault="00C3372A" w:rsidP="00CB26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357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357DD" w:rsidRDefault="007357D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7DD" w:rsidRPr="00140302" w:rsidRDefault="007357DD">
    <w:pPr>
      <w:pStyle w:val="Header"/>
      <w:ind w:right="-450"/>
      <w:rPr>
        <w:rFonts w:ascii="Times New Roman" w:hAnsi="Times New Roman"/>
        <w:b/>
        <w:bCs/>
      </w:rPr>
    </w:pPr>
    <w:r w:rsidRPr="00140302">
      <w:rPr>
        <w:rFonts w:ascii="Times New Roman" w:hAnsi="Times New Roman"/>
      </w:rPr>
      <w:tab/>
    </w:r>
    <w:r w:rsidRPr="00140302">
      <w:rPr>
        <w:rFonts w:ascii="Times New Roman" w:hAnsi="Times New Roman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proofState w:spelling="clean" w:grammar="clean"/>
  <w:stylePaneFormatFilter w:val="3F01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/>
  <w:rsids>
    <w:rsidRoot w:val="00B65591"/>
    <w:rsid w:val="00004154"/>
    <w:rsid w:val="0001200A"/>
    <w:rsid w:val="00014FB2"/>
    <w:rsid w:val="00015D1E"/>
    <w:rsid w:val="0001742F"/>
    <w:rsid w:val="00017FF1"/>
    <w:rsid w:val="00036894"/>
    <w:rsid w:val="00043C0B"/>
    <w:rsid w:val="000541C1"/>
    <w:rsid w:val="00071DFF"/>
    <w:rsid w:val="00072292"/>
    <w:rsid w:val="0007302A"/>
    <w:rsid w:val="0007458B"/>
    <w:rsid w:val="00080552"/>
    <w:rsid w:val="000B6DC0"/>
    <w:rsid w:val="000B71D2"/>
    <w:rsid w:val="000B7F2C"/>
    <w:rsid w:val="000C1BDC"/>
    <w:rsid w:val="000C2EE1"/>
    <w:rsid w:val="000D193C"/>
    <w:rsid w:val="000D4693"/>
    <w:rsid w:val="000D52B8"/>
    <w:rsid w:val="000D7DD3"/>
    <w:rsid w:val="000E0B3E"/>
    <w:rsid w:val="000E4FD2"/>
    <w:rsid w:val="00106074"/>
    <w:rsid w:val="001119F3"/>
    <w:rsid w:val="00111FF3"/>
    <w:rsid w:val="001165CD"/>
    <w:rsid w:val="0011729E"/>
    <w:rsid w:val="0012473B"/>
    <w:rsid w:val="00133F71"/>
    <w:rsid w:val="00140302"/>
    <w:rsid w:val="001409B6"/>
    <w:rsid w:val="00146D39"/>
    <w:rsid w:val="00146D52"/>
    <w:rsid w:val="00181EDB"/>
    <w:rsid w:val="00182879"/>
    <w:rsid w:val="00183571"/>
    <w:rsid w:val="001859E7"/>
    <w:rsid w:val="00194146"/>
    <w:rsid w:val="001A2664"/>
    <w:rsid w:val="001A71FA"/>
    <w:rsid w:val="001A7F67"/>
    <w:rsid w:val="001B14AE"/>
    <w:rsid w:val="001C4170"/>
    <w:rsid w:val="001C480C"/>
    <w:rsid w:val="001D7674"/>
    <w:rsid w:val="00211CFC"/>
    <w:rsid w:val="00212310"/>
    <w:rsid w:val="0021450B"/>
    <w:rsid w:val="00216704"/>
    <w:rsid w:val="00222228"/>
    <w:rsid w:val="00222946"/>
    <w:rsid w:val="00232706"/>
    <w:rsid w:val="0023384D"/>
    <w:rsid w:val="00234069"/>
    <w:rsid w:val="002352DF"/>
    <w:rsid w:val="00236AC7"/>
    <w:rsid w:val="002442AF"/>
    <w:rsid w:val="002463C5"/>
    <w:rsid w:val="00246A63"/>
    <w:rsid w:val="00246ED3"/>
    <w:rsid w:val="0024779E"/>
    <w:rsid w:val="002479E3"/>
    <w:rsid w:val="002512ED"/>
    <w:rsid w:val="002568F2"/>
    <w:rsid w:val="00261823"/>
    <w:rsid w:val="00263DAF"/>
    <w:rsid w:val="0026731F"/>
    <w:rsid w:val="002673C2"/>
    <w:rsid w:val="0027420E"/>
    <w:rsid w:val="002742B2"/>
    <w:rsid w:val="002944C3"/>
    <w:rsid w:val="002A0189"/>
    <w:rsid w:val="002A170E"/>
    <w:rsid w:val="002B0035"/>
    <w:rsid w:val="002C262E"/>
    <w:rsid w:val="002C48D9"/>
    <w:rsid w:val="002C6497"/>
    <w:rsid w:val="002C73A2"/>
    <w:rsid w:val="002D16E4"/>
    <w:rsid w:val="002F1F04"/>
    <w:rsid w:val="002F3DFA"/>
    <w:rsid w:val="00304B55"/>
    <w:rsid w:val="00321A00"/>
    <w:rsid w:val="0032579C"/>
    <w:rsid w:val="00343BFF"/>
    <w:rsid w:val="00381880"/>
    <w:rsid w:val="003877CE"/>
    <w:rsid w:val="003914B6"/>
    <w:rsid w:val="00393150"/>
    <w:rsid w:val="003A0EB0"/>
    <w:rsid w:val="003A572B"/>
    <w:rsid w:val="003C425B"/>
    <w:rsid w:val="003D3F9D"/>
    <w:rsid w:val="003E1878"/>
    <w:rsid w:val="003E39F6"/>
    <w:rsid w:val="003E6308"/>
    <w:rsid w:val="00400FE1"/>
    <w:rsid w:val="00404862"/>
    <w:rsid w:val="00411F1A"/>
    <w:rsid w:val="00412C32"/>
    <w:rsid w:val="004174C9"/>
    <w:rsid w:val="00420232"/>
    <w:rsid w:val="004202D5"/>
    <w:rsid w:val="0042711E"/>
    <w:rsid w:val="00427265"/>
    <w:rsid w:val="00430874"/>
    <w:rsid w:val="00430910"/>
    <w:rsid w:val="00434590"/>
    <w:rsid w:val="00434F10"/>
    <w:rsid w:val="00446D2E"/>
    <w:rsid w:val="00451C4D"/>
    <w:rsid w:val="00455CCB"/>
    <w:rsid w:val="00464B08"/>
    <w:rsid w:val="00473456"/>
    <w:rsid w:val="00473904"/>
    <w:rsid w:val="00482994"/>
    <w:rsid w:val="00485655"/>
    <w:rsid w:val="0048757C"/>
    <w:rsid w:val="004930BE"/>
    <w:rsid w:val="004A40F0"/>
    <w:rsid w:val="004A55FE"/>
    <w:rsid w:val="004A5DEA"/>
    <w:rsid w:val="004A6029"/>
    <w:rsid w:val="004B7423"/>
    <w:rsid w:val="004D6B4F"/>
    <w:rsid w:val="004E5B3A"/>
    <w:rsid w:val="004E7211"/>
    <w:rsid w:val="004F6320"/>
    <w:rsid w:val="005007D2"/>
    <w:rsid w:val="00507E11"/>
    <w:rsid w:val="00510A98"/>
    <w:rsid w:val="005119BA"/>
    <w:rsid w:val="005156F5"/>
    <w:rsid w:val="005170D1"/>
    <w:rsid w:val="005205B2"/>
    <w:rsid w:val="005338FE"/>
    <w:rsid w:val="00544D7D"/>
    <w:rsid w:val="00545745"/>
    <w:rsid w:val="0055093B"/>
    <w:rsid w:val="00566C82"/>
    <w:rsid w:val="005727B0"/>
    <w:rsid w:val="005817E4"/>
    <w:rsid w:val="00583BC1"/>
    <w:rsid w:val="00583FCB"/>
    <w:rsid w:val="00592B20"/>
    <w:rsid w:val="005A0152"/>
    <w:rsid w:val="005A37FE"/>
    <w:rsid w:val="005A5C92"/>
    <w:rsid w:val="005B5BF7"/>
    <w:rsid w:val="005B5F64"/>
    <w:rsid w:val="005B7F77"/>
    <w:rsid w:val="005C36F7"/>
    <w:rsid w:val="005D57F5"/>
    <w:rsid w:val="005D7344"/>
    <w:rsid w:val="006044EE"/>
    <w:rsid w:val="00610CB5"/>
    <w:rsid w:val="00615099"/>
    <w:rsid w:val="0062594E"/>
    <w:rsid w:val="00625ACE"/>
    <w:rsid w:val="00633A4F"/>
    <w:rsid w:val="00640D6E"/>
    <w:rsid w:val="00643E34"/>
    <w:rsid w:val="00657179"/>
    <w:rsid w:val="00664129"/>
    <w:rsid w:val="00682725"/>
    <w:rsid w:val="00682F44"/>
    <w:rsid w:val="006866DB"/>
    <w:rsid w:val="006A2EA7"/>
    <w:rsid w:val="006A62D9"/>
    <w:rsid w:val="006B2441"/>
    <w:rsid w:val="006D5BCB"/>
    <w:rsid w:val="006E161A"/>
    <w:rsid w:val="006E44BE"/>
    <w:rsid w:val="006F064E"/>
    <w:rsid w:val="006F0A32"/>
    <w:rsid w:val="007002D6"/>
    <w:rsid w:val="00723283"/>
    <w:rsid w:val="007249A0"/>
    <w:rsid w:val="00730A71"/>
    <w:rsid w:val="0073343C"/>
    <w:rsid w:val="007357DD"/>
    <w:rsid w:val="007371E9"/>
    <w:rsid w:val="00741B5E"/>
    <w:rsid w:val="00752093"/>
    <w:rsid w:val="00755360"/>
    <w:rsid w:val="00757576"/>
    <w:rsid w:val="00760A8A"/>
    <w:rsid w:val="00761857"/>
    <w:rsid w:val="00771FDA"/>
    <w:rsid w:val="0077595A"/>
    <w:rsid w:val="007820B7"/>
    <w:rsid w:val="00786C11"/>
    <w:rsid w:val="00787B01"/>
    <w:rsid w:val="00791677"/>
    <w:rsid w:val="00794512"/>
    <w:rsid w:val="00796FB4"/>
    <w:rsid w:val="007979EC"/>
    <w:rsid w:val="007A34BC"/>
    <w:rsid w:val="007A6568"/>
    <w:rsid w:val="007B036E"/>
    <w:rsid w:val="007B0974"/>
    <w:rsid w:val="007B2045"/>
    <w:rsid w:val="007B3C7B"/>
    <w:rsid w:val="007B4574"/>
    <w:rsid w:val="007B4EF5"/>
    <w:rsid w:val="007B541A"/>
    <w:rsid w:val="007B54E8"/>
    <w:rsid w:val="007B63C9"/>
    <w:rsid w:val="007B661E"/>
    <w:rsid w:val="007B7CF7"/>
    <w:rsid w:val="007C07F0"/>
    <w:rsid w:val="007D00B1"/>
    <w:rsid w:val="007D0ACD"/>
    <w:rsid w:val="007D38D7"/>
    <w:rsid w:val="007D4E51"/>
    <w:rsid w:val="007E1914"/>
    <w:rsid w:val="007E268B"/>
    <w:rsid w:val="00801B0E"/>
    <w:rsid w:val="00802328"/>
    <w:rsid w:val="00811CED"/>
    <w:rsid w:val="008256F8"/>
    <w:rsid w:val="0082667B"/>
    <w:rsid w:val="008324E6"/>
    <w:rsid w:val="00840225"/>
    <w:rsid w:val="00841593"/>
    <w:rsid w:val="00852418"/>
    <w:rsid w:val="00853208"/>
    <w:rsid w:val="00863876"/>
    <w:rsid w:val="0086628E"/>
    <w:rsid w:val="00870FD6"/>
    <w:rsid w:val="00883523"/>
    <w:rsid w:val="00884400"/>
    <w:rsid w:val="008860C9"/>
    <w:rsid w:val="0089244B"/>
    <w:rsid w:val="00896238"/>
    <w:rsid w:val="008A23F6"/>
    <w:rsid w:val="008A2DFB"/>
    <w:rsid w:val="008A5A12"/>
    <w:rsid w:val="008A6334"/>
    <w:rsid w:val="008B1A6A"/>
    <w:rsid w:val="008B766B"/>
    <w:rsid w:val="008C28F2"/>
    <w:rsid w:val="008C3404"/>
    <w:rsid w:val="008D42F1"/>
    <w:rsid w:val="008E1D17"/>
    <w:rsid w:val="008E1EDC"/>
    <w:rsid w:val="008E1F74"/>
    <w:rsid w:val="008F65E6"/>
    <w:rsid w:val="008F7927"/>
    <w:rsid w:val="009011D9"/>
    <w:rsid w:val="00903B30"/>
    <w:rsid w:val="0090573C"/>
    <w:rsid w:val="009122E1"/>
    <w:rsid w:val="0091258E"/>
    <w:rsid w:val="009209C7"/>
    <w:rsid w:val="0092281E"/>
    <w:rsid w:val="00935931"/>
    <w:rsid w:val="00941EFD"/>
    <w:rsid w:val="00947881"/>
    <w:rsid w:val="009543FA"/>
    <w:rsid w:val="00956DB2"/>
    <w:rsid w:val="00957326"/>
    <w:rsid w:val="00957ED6"/>
    <w:rsid w:val="009606AF"/>
    <w:rsid w:val="009608E4"/>
    <w:rsid w:val="009617C7"/>
    <w:rsid w:val="009668D0"/>
    <w:rsid w:val="00991016"/>
    <w:rsid w:val="00995535"/>
    <w:rsid w:val="009A01FC"/>
    <w:rsid w:val="009A07E8"/>
    <w:rsid w:val="009A0A0D"/>
    <w:rsid w:val="009A2500"/>
    <w:rsid w:val="009A3D5B"/>
    <w:rsid w:val="009A7509"/>
    <w:rsid w:val="009C4218"/>
    <w:rsid w:val="009C4F77"/>
    <w:rsid w:val="009C6DBB"/>
    <w:rsid w:val="009C7D3B"/>
    <w:rsid w:val="009D17BE"/>
    <w:rsid w:val="009D5C3A"/>
    <w:rsid w:val="009E7383"/>
    <w:rsid w:val="009F17CC"/>
    <w:rsid w:val="009F1CA0"/>
    <w:rsid w:val="009F3324"/>
    <w:rsid w:val="009F7463"/>
    <w:rsid w:val="00A01A3C"/>
    <w:rsid w:val="00A03148"/>
    <w:rsid w:val="00A07D4C"/>
    <w:rsid w:val="00A1074E"/>
    <w:rsid w:val="00A14A6C"/>
    <w:rsid w:val="00A15D91"/>
    <w:rsid w:val="00A32E2F"/>
    <w:rsid w:val="00A34B58"/>
    <w:rsid w:val="00A457C8"/>
    <w:rsid w:val="00A45CF4"/>
    <w:rsid w:val="00A4649B"/>
    <w:rsid w:val="00A51CE0"/>
    <w:rsid w:val="00A53A48"/>
    <w:rsid w:val="00A6188D"/>
    <w:rsid w:val="00A6452D"/>
    <w:rsid w:val="00A72AED"/>
    <w:rsid w:val="00A75F7F"/>
    <w:rsid w:val="00A93714"/>
    <w:rsid w:val="00A9420A"/>
    <w:rsid w:val="00AA02F3"/>
    <w:rsid w:val="00AA09EE"/>
    <w:rsid w:val="00AA1432"/>
    <w:rsid w:val="00AA4ABF"/>
    <w:rsid w:val="00AB34FB"/>
    <w:rsid w:val="00AC54FD"/>
    <w:rsid w:val="00AD3BFB"/>
    <w:rsid w:val="00AD5732"/>
    <w:rsid w:val="00AD6B63"/>
    <w:rsid w:val="00AE272C"/>
    <w:rsid w:val="00AE30DF"/>
    <w:rsid w:val="00AF0668"/>
    <w:rsid w:val="00AF0887"/>
    <w:rsid w:val="00AF225B"/>
    <w:rsid w:val="00AF6951"/>
    <w:rsid w:val="00AF74DE"/>
    <w:rsid w:val="00B00FFB"/>
    <w:rsid w:val="00B03D31"/>
    <w:rsid w:val="00B10183"/>
    <w:rsid w:val="00B1337B"/>
    <w:rsid w:val="00B163E8"/>
    <w:rsid w:val="00B2263D"/>
    <w:rsid w:val="00B22D9E"/>
    <w:rsid w:val="00B242E8"/>
    <w:rsid w:val="00B25896"/>
    <w:rsid w:val="00B30122"/>
    <w:rsid w:val="00B32DCB"/>
    <w:rsid w:val="00B33C14"/>
    <w:rsid w:val="00B36136"/>
    <w:rsid w:val="00B4023C"/>
    <w:rsid w:val="00B403DD"/>
    <w:rsid w:val="00B439DF"/>
    <w:rsid w:val="00B43B53"/>
    <w:rsid w:val="00B44130"/>
    <w:rsid w:val="00B45E5A"/>
    <w:rsid w:val="00B470FB"/>
    <w:rsid w:val="00B505CE"/>
    <w:rsid w:val="00B534C6"/>
    <w:rsid w:val="00B61A14"/>
    <w:rsid w:val="00B62641"/>
    <w:rsid w:val="00B63DE6"/>
    <w:rsid w:val="00B65591"/>
    <w:rsid w:val="00B67E78"/>
    <w:rsid w:val="00B72255"/>
    <w:rsid w:val="00B7496E"/>
    <w:rsid w:val="00B76447"/>
    <w:rsid w:val="00B80174"/>
    <w:rsid w:val="00B8040D"/>
    <w:rsid w:val="00B932A0"/>
    <w:rsid w:val="00B961C8"/>
    <w:rsid w:val="00B96368"/>
    <w:rsid w:val="00B97ABA"/>
    <w:rsid w:val="00BA24B2"/>
    <w:rsid w:val="00BB07D5"/>
    <w:rsid w:val="00BB1C5C"/>
    <w:rsid w:val="00BB3960"/>
    <w:rsid w:val="00BB479E"/>
    <w:rsid w:val="00BC2A94"/>
    <w:rsid w:val="00BC3BAA"/>
    <w:rsid w:val="00BC5162"/>
    <w:rsid w:val="00BC6B3A"/>
    <w:rsid w:val="00BD5B48"/>
    <w:rsid w:val="00BD706E"/>
    <w:rsid w:val="00BF0F0A"/>
    <w:rsid w:val="00BF1227"/>
    <w:rsid w:val="00BF180E"/>
    <w:rsid w:val="00BF4335"/>
    <w:rsid w:val="00C036B7"/>
    <w:rsid w:val="00C03A74"/>
    <w:rsid w:val="00C06752"/>
    <w:rsid w:val="00C12B15"/>
    <w:rsid w:val="00C16FED"/>
    <w:rsid w:val="00C175FB"/>
    <w:rsid w:val="00C212EE"/>
    <w:rsid w:val="00C2557E"/>
    <w:rsid w:val="00C3372A"/>
    <w:rsid w:val="00C37DBA"/>
    <w:rsid w:val="00C4488F"/>
    <w:rsid w:val="00C463F5"/>
    <w:rsid w:val="00C46F07"/>
    <w:rsid w:val="00C47819"/>
    <w:rsid w:val="00C511C7"/>
    <w:rsid w:val="00C60BA3"/>
    <w:rsid w:val="00C6268B"/>
    <w:rsid w:val="00C65B25"/>
    <w:rsid w:val="00C70C98"/>
    <w:rsid w:val="00C7352A"/>
    <w:rsid w:val="00C778A5"/>
    <w:rsid w:val="00C82518"/>
    <w:rsid w:val="00C832A2"/>
    <w:rsid w:val="00CA08D8"/>
    <w:rsid w:val="00CA6D41"/>
    <w:rsid w:val="00CA716B"/>
    <w:rsid w:val="00CA71A7"/>
    <w:rsid w:val="00CB2616"/>
    <w:rsid w:val="00CB44C7"/>
    <w:rsid w:val="00CB51AD"/>
    <w:rsid w:val="00CC2E06"/>
    <w:rsid w:val="00CC52B6"/>
    <w:rsid w:val="00CD493E"/>
    <w:rsid w:val="00CD6AC2"/>
    <w:rsid w:val="00CD6AFC"/>
    <w:rsid w:val="00CD7D2E"/>
    <w:rsid w:val="00CE2382"/>
    <w:rsid w:val="00CF32E2"/>
    <w:rsid w:val="00CF71A0"/>
    <w:rsid w:val="00CF76F1"/>
    <w:rsid w:val="00D15993"/>
    <w:rsid w:val="00D22B83"/>
    <w:rsid w:val="00D36375"/>
    <w:rsid w:val="00D36FBD"/>
    <w:rsid w:val="00D43B28"/>
    <w:rsid w:val="00D54459"/>
    <w:rsid w:val="00D5507E"/>
    <w:rsid w:val="00D60904"/>
    <w:rsid w:val="00D63F71"/>
    <w:rsid w:val="00D72A24"/>
    <w:rsid w:val="00D732A5"/>
    <w:rsid w:val="00D77C0B"/>
    <w:rsid w:val="00D80D32"/>
    <w:rsid w:val="00D85A40"/>
    <w:rsid w:val="00D86A5F"/>
    <w:rsid w:val="00D86AB9"/>
    <w:rsid w:val="00D909D4"/>
    <w:rsid w:val="00D9304E"/>
    <w:rsid w:val="00DA5DA4"/>
    <w:rsid w:val="00DB264A"/>
    <w:rsid w:val="00DC0124"/>
    <w:rsid w:val="00DD1217"/>
    <w:rsid w:val="00DD241E"/>
    <w:rsid w:val="00DD3E59"/>
    <w:rsid w:val="00DE5F56"/>
    <w:rsid w:val="00DF07F4"/>
    <w:rsid w:val="00DF5E7C"/>
    <w:rsid w:val="00E02BFE"/>
    <w:rsid w:val="00E04021"/>
    <w:rsid w:val="00E215FD"/>
    <w:rsid w:val="00E2470A"/>
    <w:rsid w:val="00E40B20"/>
    <w:rsid w:val="00E422D2"/>
    <w:rsid w:val="00E44943"/>
    <w:rsid w:val="00E450DC"/>
    <w:rsid w:val="00E5064A"/>
    <w:rsid w:val="00E51FBE"/>
    <w:rsid w:val="00E52297"/>
    <w:rsid w:val="00E52FC9"/>
    <w:rsid w:val="00E57DA8"/>
    <w:rsid w:val="00E61A6A"/>
    <w:rsid w:val="00E61BD3"/>
    <w:rsid w:val="00E6394B"/>
    <w:rsid w:val="00E70F26"/>
    <w:rsid w:val="00E7118F"/>
    <w:rsid w:val="00E73EF1"/>
    <w:rsid w:val="00E749E1"/>
    <w:rsid w:val="00E77F8B"/>
    <w:rsid w:val="00E83A24"/>
    <w:rsid w:val="00E87DBF"/>
    <w:rsid w:val="00E92A68"/>
    <w:rsid w:val="00E93BBF"/>
    <w:rsid w:val="00E95E30"/>
    <w:rsid w:val="00EA0DB5"/>
    <w:rsid w:val="00EA5552"/>
    <w:rsid w:val="00EB197A"/>
    <w:rsid w:val="00EB6BD4"/>
    <w:rsid w:val="00EC10CA"/>
    <w:rsid w:val="00ED02FE"/>
    <w:rsid w:val="00ED3B98"/>
    <w:rsid w:val="00ED53A6"/>
    <w:rsid w:val="00EE078E"/>
    <w:rsid w:val="00EE1112"/>
    <w:rsid w:val="00EE4347"/>
    <w:rsid w:val="00EF14E0"/>
    <w:rsid w:val="00EF65E1"/>
    <w:rsid w:val="00EF7597"/>
    <w:rsid w:val="00F03995"/>
    <w:rsid w:val="00F10DF1"/>
    <w:rsid w:val="00F21287"/>
    <w:rsid w:val="00F27052"/>
    <w:rsid w:val="00F31EEF"/>
    <w:rsid w:val="00F4457D"/>
    <w:rsid w:val="00F540D3"/>
    <w:rsid w:val="00F566B5"/>
    <w:rsid w:val="00F809B1"/>
    <w:rsid w:val="00F8146E"/>
    <w:rsid w:val="00FA0268"/>
    <w:rsid w:val="00FA0EF3"/>
    <w:rsid w:val="00FA6683"/>
    <w:rsid w:val="00FB3F1B"/>
    <w:rsid w:val="00FB6699"/>
    <w:rsid w:val="00FB6F47"/>
    <w:rsid w:val="00FC2584"/>
    <w:rsid w:val="00FC3A1E"/>
    <w:rsid w:val="00FD1A30"/>
    <w:rsid w:val="00FD6380"/>
    <w:rsid w:val="00FF54E6"/>
    <w:rsid w:val="00FF6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49B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A4649B"/>
    <w:pPr>
      <w:keepNext/>
      <w:widowControl/>
      <w:tabs>
        <w:tab w:val="center" w:pos="4680"/>
      </w:tabs>
      <w:outlineLvl w:val="0"/>
    </w:pPr>
    <w:rPr>
      <w:rFonts w:ascii="Times" w:hAnsi="Times" w:cs="Times"/>
      <w:b/>
      <w:bCs/>
      <w:smallCaps/>
      <w:sz w:val="30"/>
      <w:szCs w:val="30"/>
    </w:rPr>
  </w:style>
  <w:style w:type="paragraph" w:styleId="Heading4">
    <w:name w:val="heading 4"/>
    <w:basedOn w:val="Normal"/>
    <w:next w:val="Normal"/>
    <w:link w:val="Heading4Char"/>
    <w:qFormat/>
    <w:rsid w:val="002A170E"/>
    <w:pPr>
      <w:keepNext/>
      <w:autoSpaceDE/>
      <w:autoSpaceDN/>
      <w:adjustRightInd/>
      <w:spacing w:before="240" w:after="60"/>
      <w:outlineLvl w:val="3"/>
    </w:pPr>
    <w:rPr>
      <w:rFonts w:ascii="Courier New" w:hAnsi="Courier New"/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4649B"/>
  </w:style>
  <w:style w:type="paragraph" w:styleId="Footer">
    <w:name w:val="footer"/>
    <w:basedOn w:val="Normal"/>
    <w:rsid w:val="00A464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649B"/>
  </w:style>
  <w:style w:type="paragraph" w:styleId="Header">
    <w:name w:val="header"/>
    <w:basedOn w:val="Normal"/>
    <w:link w:val="HeaderChar"/>
    <w:uiPriority w:val="99"/>
    <w:rsid w:val="00A4649B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5119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119BA"/>
    <w:rPr>
      <w:rFonts w:ascii="Courier" w:hAnsi="Courier"/>
      <w:lang w:val="en-US" w:eastAsia="en-US" w:bidi="ar-SA"/>
    </w:rPr>
  </w:style>
  <w:style w:type="table" w:styleId="TableGrid">
    <w:name w:val="Table Grid"/>
    <w:basedOn w:val="TableNormal"/>
    <w:rsid w:val="007E1914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1337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2944C3"/>
    <w:rPr>
      <w:sz w:val="16"/>
      <w:szCs w:val="16"/>
    </w:rPr>
  </w:style>
  <w:style w:type="paragraph" w:styleId="CommentText">
    <w:name w:val="annotation text"/>
    <w:basedOn w:val="Normal"/>
    <w:semiHidden/>
    <w:rsid w:val="002944C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944C3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791677"/>
    <w:rPr>
      <w:rFonts w:ascii="Courier" w:hAnsi="Courier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A170E"/>
    <w:rPr>
      <w:rFonts w:ascii="Courier New" w:hAnsi="Courier New"/>
      <w:b/>
      <w:snapToGrid w:val="0"/>
      <w:sz w:val="24"/>
    </w:rPr>
  </w:style>
  <w:style w:type="character" w:styleId="Hyperlink">
    <w:name w:val="Hyperlink"/>
    <w:basedOn w:val="DefaultParagraphFont"/>
    <w:uiPriority w:val="99"/>
    <w:unhideWhenUsed/>
    <w:rsid w:val="002C73A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73A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wyorkfed.org/markets/pridealers_curre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1749</Words>
  <Characters>9914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GOVERNORS OF THE FEDERAL RESERVE SYSTEM</vt:lpstr>
    </vt:vector>
  </TitlesOfParts>
  <Company>Division of  Research and Statistics</Company>
  <LinksUpToDate>false</LinksUpToDate>
  <CharactersWithSpaces>11640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GOVERNORS OF THE FEDERAL RESERVE SYSTEM</dc:title>
  <dc:subject/>
  <dc:creator>Nicole S. Padar</dc:creator>
  <cp:keywords/>
  <dc:description/>
  <cp:lastModifiedBy>Cindy Ayouch</cp:lastModifiedBy>
  <cp:revision>2</cp:revision>
  <cp:lastPrinted>2010-04-08T13:48:00Z</cp:lastPrinted>
  <dcterms:created xsi:type="dcterms:W3CDTF">2010-04-08T13:52:00Z</dcterms:created>
  <dcterms:modified xsi:type="dcterms:W3CDTF">2010-04-08T13:52:00Z</dcterms:modified>
</cp:coreProperties>
</file>