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D7" w:rsidRDefault="00620D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w:t>
      </w:r>
      <w:r w:rsidR="006A6DD7">
        <w:rPr>
          <w:rFonts w:ascii="Helvetica" w:hAnsi="Helvetica"/>
          <w:b/>
          <w:sz w:val="28"/>
        </w:rPr>
        <w:t>upporting Statement for Paperwork Reduction Act Submissions</w:t>
      </w:r>
    </w:p>
    <w:p w:rsidR="006A6DD7" w:rsidRDefault="006A6DD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6A6DD7" w:rsidRDefault="006A6DD7">
      <w:pPr>
        <w:pStyle w:val="Heading1"/>
      </w:pPr>
      <w:r>
        <w:t>Request for Occupied Conveyance</w:t>
      </w:r>
    </w:p>
    <w:p w:rsidR="006A6DD7" w:rsidRDefault="006A6DD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2502-0268</w:t>
      </w:r>
    </w:p>
    <w:p w:rsidR="006A6DD7" w:rsidRDefault="006A6DD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Cs/>
          <w:sz w:val="24"/>
        </w:rPr>
      </w:pPr>
      <w:r>
        <w:rPr>
          <w:rFonts w:ascii="Helvetica" w:hAnsi="Helvetica"/>
          <w:bCs/>
          <w:sz w:val="24"/>
        </w:rPr>
        <w:t>(Form HUD-9539)</w:t>
      </w:r>
    </w:p>
    <w:p w:rsidR="006A6DD7" w:rsidRDefault="006A6DD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rPr>
          <w:rFonts w:ascii="Helvetica" w:hAnsi="Helvetica"/>
          <w:b/>
          <w:sz w:val="24"/>
        </w:rPr>
      </w:pPr>
    </w:p>
    <w:p w:rsidR="006A6DD7" w:rsidRDefault="006A6DD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rPr>
          <w:rFonts w:ascii="Helvetica" w:hAnsi="Helvetica"/>
          <w:b/>
          <w:color w:val="000000"/>
          <w:sz w:val="24"/>
        </w:rPr>
      </w:pPr>
      <w:r>
        <w:rPr>
          <w:rFonts w:ascii="Helvetica" w:hAnsi="Helvetica"/>
          <w:b/>
          <w:sz w:val="24"/>
        </w:rPr>
        <w:t xml:space="preserve">A. </w:t>
      </w:r>
      <w:r>
        <w:rPr>
          <w:rFonts w:ascii="Helvetica" w:hAnsi="Helvetica"/>
          <w:b/>
          <w:sz w:val="24"/>
        </w:rPr>
        <w:tab/>
        <w:t>Justi</w:t>
      </w:r>
      <w:r>
        <w:rPr>
          <w:rFonts w:ascii="Helvetica" w:hAnsi="Helvetica"/>
          <w:b/>
          <w:color w:val="000000"/>
          <w:sz w:val="24"/>
        </w:rPr>
        <w:t>fication</w:t>
      </w:r>
    </w:p>
    <w:p w:rsidR="006A6DD7" w:rsidRDefault="006A6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ind w:right="-29"/>
        <w:rPr>
          <w:color w:val="000000"/>
          <w:sz w:val="22"/>
        </w:rPr>
      </w:pPr>
    </w:p>
    <w:p w:rsidR="006A6DD7" w:rsidRDefault="006A6DD7">
      <w:pPr>
        <w:pStyle w:val="BodyText"/>
        <w:numPr>
          <w:ilvl w:val="0"/>
          <w:numId w:val="15"/>
        </w:numPr>
        <w:tabs>
          <w:tab w:val="left" w:pos="11520"/>
        </w:tabs>
        <w:ind w:right="-29"/>
        <w:rPr>
          <w:sz w:val="22"/>
        </w:rPr>
      </w:pPr>
      <w:r>
        <w:rPr>
          <w:sz w:val="22"/>
        </w:rPr>
        <w:t xml:space="preserve">Regulations at 24 CFR 203.670-681 outline the circumstances under which HUD will accept conveyance of title to property acquired by mortgagee/loan servicers.  HUD will accept conveyance of occupied property if an individual residing in the property suffers from an illness or injury that would be aggravated by moving, if state or local law prohibits eviction, or if it is in the Secretary’s best interest to accept the property, the property is habitable, and the occupants meet eligibility criteria.  Collection of occupants’ Social Security Numbers is authorized by 42 USC 3543.  </w:t>
      </w:r>
    </w:p>
    <w:p w:rsidR="006A6DD7" w:rsidRDefault="006A6DD7">
      <w:pPr>
        <w:tabs>
          <w:tab w:val="left" w:pos="11520"/>
        </w:tabs>
        <w:ind w:right="-29"/>
        <w:rPr>
          <w:sz w:val="22"/>
        </w:rPr>
      </w:pPr>
    </w:p>
    <w:p w:rsidR="006A6DD7" w:rsidRDefault="006A6DD7">
      <w:pPr>
        <w:numPr>
          <w:ilvl w:val="0"/>
          <w:numId w:val="15"/>
        </w:numPr>
        <w:tabs>
          <w:tab w:val="left" w:pos="11520"/>
        </w:tabs>
        <w:ind w:right="-29"/>
        <w:rPr>
          <w:sz w:val="22"/>
        </w:rPr>
      </w:pPr>
      <w:r>
        <w:rPr>
          <w:sz w:val="22"/>
        </w:rPr>
        <w:t>At least 60 days but not more that 90 days before the date on which the mortgagee/loan servicer expects to acquire title to the property; the mortgagee/loan servicer shall notify the mortgagor and each head of household who is occupying a unit of its potential acquisition by HUD.  A sample notification letter is attached.  In its first notice to the occupant, the mortgagee/loan servicer informs the occupant of his/her rights and includes the conditions for continued occupancy; the Form HUD-9539, Request for Occupied Conveyance; a form to request verification of employment; and a statement outlining the nature of temporary occupancy.</w:t>
      </w:r>
    </w:p>
    <w:p w:rsidR="006A6DD7" w:rsidRDefault="006A6DD7">
      <w:pPr>
        <w:tabs>
          <w:tab w:val="left" w:pos="11520"/>
        </w:tabs>
        <w:ind w:left="360" w:right="-29"/>
        <w:rPr>
          <w:sz w:val="22"/>
        </w:rPr>
      </w:pPr>
    </w:p>
    <w:p w:rsidR="006A6DD7" w:rsidRDefault="006A6DD7">
      <w:pPr>
        <w:tabs>
          <w:tab w:val="left" w:pos="11520"/>
        </w:tabs>
        <w:ind w:left="360" w:right="-29"/>
        <w:rPr>
          <w:sz w:val="22"/>
        </w:rPr>
      </w:pPr>
      <w:r>
        <w:rPr>
          <w:sz w:val="22"/>
        </w:rPr>
        <w:t>If the occupant desires to remain in occupancy, the occupant must complete the subject form, HUD-9539 and submit it, along with a completed form to request verification of employment and any information relating to illness or injury, to the local HUD office within 20 days after the date of the mortgagee/loan servicer’s notice.  The information is necessary for HUD to determine if the occupant is financially able to pay the fair market rent; and/or whether a member of the immediate family residing in the residence suffers from a temporary, permanent, or long-term illness or injury which would be aggravated by the process of moving from the property.  The Department uses the information in making its determination as to whether to approve or disapprove the occupant’s request for occupied conveyance.  An occupant who is accepted must</w:t>
      </w:r>
      <w:r w:rsidR="006225CA">
        <w:rPr>
          <w:sz w:val="22"/>
        </w:rPr>
        <w:t xml:space="preserve"> execute a month-to-month lease</w:t>
      </w:r>
      <w:r w:rsidR="002E5402">
        <w:rPr>
          <w:sz w:val="22"/>
        </w:rPr>
        <w:t xml:space="preserve"> and </w:t>
      </w:r>
      <w:r>
        <w:rPr>
          <w:sz w:val="22"/>
        </w:rPr>
        <w:t>a copy of</w:t>
      </w:r>
      <w:r w:rsidR="006225CA">
        <w:rPr>
          <w:sz w:val="22"/>
        </w:rPr>
        <w:t xml:space="preserve"> the lease </w:t>
      </w:r>
      <w:r w:rsidR="002E5402">
        <w:rPr>
          <w:sz w:val="22"/>
        </w:rPr>
        <w:t>is mailed along with the HUD-9539 form</w:t>
      </w:r>
      <w:r w:rsidR="006225CA">
        <w:rPr>
          <w:sz w:val="22"/>
        </w:rPr>
        <w:t xml:space="preserve"> to HUD</w:t>
      </w:r>
      <w:r w:rsidR="002E5402">
        <w:rPr>
          <w:sz w:val="22"/>
        </w:rPr>
        <w:t xml:space="preserve">.  </w:t>
      </w:r>
      <w:r>
        <w:rPr>
          <w:sz w:val="22"/>
        </w:rPr>
        <w:t xml:space="preserve"> HUD may provide pertinent information to a local real estate broker who manages the property.  The information may also be used to collect past-due rents.  </w:t>
      </w:r>
    </w:p>
    <w:p w:rsidR="006A6DD7" w:rsidRDefault="006A6DD7">
      <w:pPr>
        <w:tabs>
          <w:tab w:val="left" w:pos="11520"/>
        </w:tabs>
        <w:ind w:right="-29"/>
        <w:rPr>
          <w:sz w:val="22"/>
        </w:rPr>
      </w:pPr>
    </w:p>
    <w:p w:rsidR="006A6DD7" w:rsidRDefault="006A6DD7" w:rsidP="00F17FD4">
      <w:pPr>
        <w:numPr>
          <w:ilvl w:val="0"/>
          <w:numId w:val="15"/>
        </w:numPr>
        <w:tabs>
          <w:tab w:val="left" w:pos="11520"/>
        </w:tabs>
        <w:ind w:right="-29"/>
        <w:rPr>
          <w:sz w:val="22"/>
        </w:rPr>
      </w:pPr>
      <w:r w:rsidRPr="00F17FD4">
        <w:rPr>
          <w:sz w:val="22"/>
        </w:rPr>
        <w:t xml:space="preserve">This information </w:t>
      </w:r>
      <w:r w:rsidR="00F17FD4" w:rsidRPr="00F17FD4">
        <w:rPr>
          <w:sz w:val="22"/>
        </w:rPr>
        <w:t>may be</w:t>
      </w:r>
      <w:r w:rsidRPr="00F17FD4">
        <w:rPr>
          <w:sz w:val="22"/>
        </w:rPr>
        <w:t xml:space="preserve"> collected electronically</w:t>
      </w:r>
      <w:r w:rsidR="00F17FD4" w:rsidRPr="00F17FD4">
        <w:rPr>
          <w:sz w:val="22"/>
        </w:rPr>
        <w:t xml:space="preserve"> or mailed</w:t>
      </w:r>
      <w:r w:rsidRPr="00F17FD4">
        <w:rPr>
          <w:sz w:val="22"/>
        </w:rPr>
        <w:t xml:space="preserve">.  Mortgagee/loan servicers are required to provide a notice of acquisition to mortgagors and to any occupant of the property.  Mortgagee/loan servicers must also provide any occupant a copy of the form HUD-9539 for possible submission to HUD to request occupied conveyance.  HUD </w:t>
      </w:r>
      <w:r w:rsidR="004814C4" w:rsidRPr="00F17FD4">
        <w:rPr>
          <w:sz w:val="22"/>
        </w:rPr>
        <w:t xml:space="preserve">will </w:t>
      </w:r>
      <w:r w:rsidRPr="00F17FD4">
        <w:rPr>
          <w:sz w:val="22"/>
        </w:rPr>
        <w:t xml:space="preserve">accept this information electronically from individuals requesting occupied conveyance, </w:t>
      </w:r>
      <w:r w:rsidR="004814C4" w:rsidRPr="00F17FD4">
        <w:rPr>
          <w:sz w:val="22"/>
        </w:rPr>
        <w:t xml:space="preserve">through </w:t>
      </w:r>
      <w:r w:rsidR="00F17FD4" w:rsidRPr="00F17FD4">
        <w:rPr>
          <w:sz w:val="22"/>
        </w:rPr>
        <w:t xml:space="preserve">the </w:t>
      </w:r>
      <w:r w:rsidR="00F17FD4">
        <w:rPr>
          <w:sz w:val="22"/>
        </w:rPr>
        <w:t xml:space="preserve">appropriate </w:t>
      </w:r>
      <w:r w:rsidR="004814C4" w:rsidRPr="00F17FD4">
        <w:rPr>
          <w:sz w:val="22"/>
        </w:rPr>
        <w:t xml:space="preserve">email </w:t>
      </w:r>
      <w:r w:rsidR="00F17FD4" w:rsidRPr="00F17FD4">
        <w:rPr>
          <w:sz w:val="22"/>
        </w:rPr>
        <w:t>a</w:t>
      </w:r>
      <w:r w:rsidR="00F17FD4">
        <w:rPr>
          <w:sz w:val="22"/>
        </w:rPr>
        <w:t>ddress</w:t>
      </w:r>
      <w:r w:rsidR="00F17FD4" w:rsidRPr="00F17FD4">
        <w:rPr>
          <w:sz w:val="22"/>
        </w:rPr>
        <w:t xml:space="preserve"> located on the form.  </w:t>
      </w:r>
    </w:p>
    <w:p w:rsidR="00F17FD4" w:rsidRPr="00F17FD4" w:rsidRDefault="00F17FD4" w:rsidP="00F17FD4">
      <w:pPr>
        <w:tabs>
          <w:tab w:val="left" w:pos="11520"/>
        </w:tabs>
        <w:ind w:left="360" w:right="-29"/>
        <w:rPr>
          <w:sz w:val="22"/>
        </w:rPr>
      </w:pPr>
    </w:p>
    <w:p w:rsidR="006A6DD7" w:rsidRDefault="006A6DD7">
      <w:pPr>
        <w:numPr>
          <w:ilvl w:val="0"/>
          <w:numId w:val="15"/>
        </w:numPr>
        <w:tabs>
          <w:tab w:val="left" w:pos="11520"/>
        </w:tabs>
        <w:ind w:right="-29"/>
        <w:rPr>
          <w:sz w:val="22"/>
        </w:rPr>
      </w:pPr>
      <w:r>
        <w:rPr>
          <w:sz w:val="22"/>
        </w:rPr>
        <w:t>The Single Family Property Disposition Sales Program/Real Estate Owned (REO) is the only program office at HUD that permits occupants to request continued occupancy of a single-family property (1 to 4 units) after HUD acquires title.  Therefore, the information collection is unique to this program.</w:t>
      </w:r>
    </w:p>
    <w:p w:rsidR="006A6DD7" w:rsidRDefault="006A6DD7">
      <w:pPr>
        <w:tabs>
          <w:tab w:val="left" w:pos="11520"/>
        </w:tabs>
        <w:ind w:right="-29"/>
        <w:rPr>
          <w:sz w:val="22"/>
        </w:rPr>
      </w:pPr>
    </w:p>
    <w:p w:rsidR="006A6DD7" w:rsidRDefault="006A6DD7">
      <w:pPr>
        <w:numPr>
          <w:ilvl w:val="0"/>
          <w:numId w:val="15"/>
        </w:numPr>
        <w:tabs>
          <w:tab w:val="left" w:pos="11520"/>
        </w:tabs>
        <w:ind w:right="-29"/>
        <w:rPr>
          <w:sz w:val="22"/>
        </w:rPr>
      </w:pPr>
      <w:r>
        <w:rPr>
          <w:sz w:val="22"/>
        </w:rPr>
        <w:t>The information being collected does not involve small businesses or other small entities.</w:t>
      </w:r>
    </w:p>
    <w:p w:rsidR="006A6DD7" w:rsidRDefault="006A6DD7">
      <w:pPr>
        <w:tabs>
          <w:tab w:val="left" w:pos="11520"/>
        </w:tabs>
        <w:ind w:right="-29"/>
        <w:rPr>
          <w:sz w:val="22"/>
        </w:rPr>
      </w:pPr>
    </w:p>
    <w:p w:rsidR="006A6DD7" w:rsidRDefault="006A6DD7">
      <w:pPr>
        <w:numPr>
          <w:ilvl w:val="0"/>
          <w:numId w:val="15"/>
        </w:numPr>
        <w:tabs>
          <w:tab w:val="left" w:pos="11520"/>
        </w:tabs>
        <w:ind w:right="-29"/>
        <w:rPr>
          <w:sz w:val="22"/>
        </w:rPr>
      </w:pPr>
      <w:r>
        <w:rPr>
          <w:sz w:val="22"/>
        </w:rPr>
        <w:t>If the information were not collected, the Department would not be in a position to determine whether the occupant desires and deserves to remain living in the property when HUD becomes the owner.</w:t>
      </w:r>
    </w:p>
    <w:p w:rsidR="006A6DD7" w:rsidRDefault="006A6DD7">
      <w:pPr>
        <w:tabs>
          <w:tab w:val="left" w:pos="11520"/>
        </w:tabs>
        <w:ind w:right="-29"/>
        <w:rPr>
          <w:sz w:val="22"/>
        </w:rPr>
      </w:pPr>
    </w:p>
    <w:p w:rsidR="006A6DD7" w:rsidRDefault="006A6DD7">
      <w:pPr>
        <w:numPr>
          <w:ilvl w:val="0"/>
          <w:numId w:val="15"/>
        </w:numPr>
        <w:tabs>
          <w:tab w:val="left" w:pos="11520"/>
        </w:tabs>
        <w:ind w:right="-29"/>
        <w:rPr>
          <w:sz w:val="22"/>
        </w:rPr>
      </w:pPr>
      <w:r>
        <w:rPr>
          <w:sz w:val="22"/>
        </w:rPr>
        <w:t xml:space="preserve">At least 60 days but not more that 90 days before the date on which the mortgagee/loan servicer expects to acquire title to the property; the mortgagee/loan servicer shall notify the mortgagor and each head of household who is occupying a unit of its potential acquisition by HUD.  </w:t>
      </w:r>
    </w:p>
    <w:p w:rsidR="006A6DD7" w:rsidRDefault="006A6DD7">
      <w:pPr>
        <w:tabs>
          <w:tab w:val="left" w:pos="11520"/>
        </w:tabs>
        <w:ind w:left="360" w:right="-29"/>
        <w:rPr>
          <w:sz w:val="22"/>
        </w:rPr>
      </w:pPr>
    </w:p>
    <w:p w:rsidR="006A6DD7" w:rsidRDefault="006A6DD7">
      <w:pPr>
        <w:tabs>
          <w:tab w:val="left" w:pos="11520"/>
        </w:tabs>
        <w:ind w:left="360" w:right="-29"/>
        <w:rPr>
          <w:sz w:val="22"/>
        </w:rPr>
      </w:pPr>
      <w:r>
        <w:rPr>
          <w:sz w:val="22"/>
        </w:rPr>
        <w:t xml:space="preserve">Respondents are required to complete and submit the HUD-9539 to the local HUD office within 20 days of the date of the mortgagee/loan servicer’s notice to the occupant, so that HUD has adequate time to review the occupant’s request and determine whether the conditions for continued occupancy have been met prior to the foreclosure.  This requirement is outlined in the regulation, 24 CFR 203.674, Eligibility for continued occupancy. </w:t>
      </w:r>
    </w:p>
    <w:p w:rsidR="006A6DD7" w:rsidRDefault="006A6DD7">
      <w:pPr>
        <w:tabs>
          <w:tab w:val="left" w:pos="11520"/>
        </w:tabs>
        <w:ind w:right="-29"/>
        <w:rPr>
          <w:sz w:val="22"/>
        </w:rPr>
      </w:pPr>
    </w:p>
    <w:p w:rsidR="006A6DD7" w:rsidRPr="0057668F" w:rsidRDefault="006A6DD7">
      <w:pPr>
        <w:numPr>
          <w:ilvl w:val="0"/>
          <w:numId w:val="15"/>
        </w:numPr>
        <w:tabs>
          <w:tab w:val="left" w:pos="11520"/>
        </w:tabs>
        <w:ind w:right="-29"/>
        <w:rPr>
          <w:b/>
          <w:bCs/>
          <w:sz w:val="22"/>
        </w:rPr>
      </w:pPr>
      <w:r>
        <w:rPr>
          <w:sz w:val="22"/>
        </w:rPr>
        <w:t xml:space="preserve">The agency notice soliciting comments on the information collection for OMB #2502-0268 was published in the </w:t>
      </w:r>
      <w:r>
        <w:rPr>
          <w:i/>
          <w:iCs/>
          <w:sz w:val="22"/>
        </w:rPr>
        <w:t>Federal Register</w:t>
      </w:r>
      <w:r>
        <w:rPr>
          <w:sz w:val="22"/>
        </w:rPr>
        <w:t xml:space="preserve"> on </w:t>
      </w:r>
      <w:r w:rsidR="0057668F">
        <w:rPr>
          <w:sz w:val="22"/>
        </w:rPr>
        <w:t>July 7, 2009 (Vol. 74 Number 128, pages 32178-32179</w:t>
      </w:r>
      <w:r>
        <w:rPr>
          <w:sz w:val="22"/>
        </w:rPr>
        <w:t xml:space="preserve">.  </w:t>
      </w:r>
      <w:r w:rsidR="002E5402">
        <w:rPr>
          <w:sz w:val="22"/>
        </w:rPr>
        <w:t xml:space="preserve">No </w:t>
      </w:r>
      <w:r>
        <w:rPr>
          <w:sz w:val="22"/>
        </w:rPr>
        <w:t xml:space="preserve">comments were received.  </w:t>
      </w:r>
    </w:p>
    <w:p w:rsidR="0057668F" w:rsidRDefault="0057668F" w:rsidP="0057668F">
      <w:pPr>
        <w:tabs>
          <w:tab w:val="left" w:pos="11520"/>
        </w:tabs>
        <w:ind w:left="360" w:right="-29"/>
        <w:rPr>
          <w:b/>
          <w:bCs/>
          <w:sz w:val="22"/>
        </w:rPr>
      </w:pPr>
    </w:p>
    <w:p w:rsidR="006A6DD7" w:rsidRDefault="006A6DD7">
      <w:pPr>
        <w:numPr>
          <w:ilvl w:val="0"/>
          <w:numId w:val="15"/>
        </w:numPr>
        <w:tabs>
          <w:tab w:val="left" w:pos="11520"/>
        </w:tabs>
        <w:ind w:right="-29"/>
        <w:rPr>
          <w:sz w:val="22"/>
        </w:rPr>
      </w:pPr>
      <w:r>
        <w:rPr>
          <w:sz w:val="22"/>
        </w:rPr>
        <w:t>There will be no payments or gifts given to respondents.</w:t>
      </w:r>
    </w:p>
    <w:p w:rsidR="006A6DD7" w:rsidRDefault="006A6DD7">
      <w:pPr>
        <w:tabs>
          <w:tab w:val="left" w:pos="11520"/>
        </w:tabs>
        <w:ind w:right="-29"/>
        <w:rPr>
          <w:sz w:val="22"/>
        </w:rPr>
      </w:pPr>
    </w:p>
    <w:p w:rsidR="006A6DD7" w:rsidRDefault="006A6DD7">
      <w:pPr>
        <w:numPr>
          <w:ilvl w:val="0"/>
          <w:numId w:val="15"/>
        </w:numPr>
        <w:tabs>
          <w:tab w:val="left" w:pos="11520"/>
        </w:tabs>
        <w:ind w:right="-29"/>
        <w:rPr>
          <w:sz w:val="22"/>
        </w:rPr>
      </w:pPr>
      <w:r>
        <w:rPr>
          <w:sz w:val="22"/>
        </w:rPr>
        <w:t>Form HUD-9539 comes under the Privacy Act of 1974 (P.L. 93-579).  The information collection takes into consideration the need to assure data confidentiality and provides the Privacy Act Statement on the form.</w:t>
      </w:r>
    </w:p>
    <w:p w:rsidR="006A6DD7" w:rsidRDefault="006A6DD7">
      <w:pPr>
        <w:tabs>
          <w:tab w:val="left" w:pos="11520"/>
        </w:tabs>
        <w:ind w:right="-29"/>
        <w:rPr>
          <w:sz w:val="22"/>
        </w:rPr>
      </w:pPr>
    </w:p>
    <w:p w:rsidR="006A6DD7" w:rsidRDefault="006A6DD7">
      <w:pPr>
        <w:numPr>
          <w:ilvl w:val="0"/>
          <w:numId w:val="15"/>
        </w:numPr>
        <w:tabs>
          <w:tab w:val="left" w:pos="11520"/>
        </w:tabs>
        <w:ind w:right="-29"/>
        <w:rPr>
          <w:sz w:val="22"/>
        </w:rPr>
      </w:pPr>
      <w:r>
        <w:rPr>
          <w:sz w:val="22"/>
        </w:rPr>
        <w:t>There are no questions of a sensitive nature.</w:t>
      </w:r>
    </w:p>
    <w:p w:rsidR="006A6DD7" w:rsidRDefault="006A6DD7">
      <w:pPr>
        <w:tabs>
          <w:tab w:val="left" w:pos="11520"/>
        </w:tabs>
        <w:ind w:right="-29"/>
        <w:rPr>
          <w:sz w:val="22"/>
        </w:rPr>
      </w:pPr>
    </w:p>
    <w:p w:rsidR="006A6DD7" w:rsidRDefault="006A6DD7">
      <w:pPr>
        <w:numPr>
          <w:ilvl w:val="0"/>
          <w:numId w:val="15"/>
        </w:numPr>
        <w:tabs>
          <w:tab w:val="left" w:pos="11520"/>
        </w:tabs>
        <w:ind w:right="-29"/>
        <w:rPr>
          <w:sz w:val="22"/>
        </w:rPr>
      </w:pPr>
      <w:r>
        <w:rPr>
          <w:sz w:val="22"/>
        </w:rPr>
        <w:t>Estimates of Burden and Respondents Costs:</w:t>
      </w:r>
    </w:p>
    <w:p w:rsidR="006A6DD7" w:rsidRDefault="006A6DD7">
      <w:pPr>
        <w:tabs>
          <w:tab w:val="left" w:pos="11520"/>
        </w:tabs>
        <w:ind w:right="-29"/>
        <w:rPr>
          <w:sz w:val="22"/>
        </w:rPr>
      </w:pPr>
    </w:p>
    <w:p w:rsidR="006A6DD7" w:rsidRDefault="006A6DD7">
      <w:pPr>
        <w:numPr>
          <w:ilvl w:val="0"/>
          <w:numId w:val="16"/>
        </w:numPr>
        <w:tabs>
          <w:tab w:val="left" w:pos="11520"/>
        </w:tabs>
        <w:ind w:right="-29"/>
        <w:rPr>
          <w:sz w:val="22"/>
        </w:rPr>
      </w:pPr>
      <w:r>
        <w:rPr>
          <w:sz w:val="22"/>
        </w:rPr>
        <w:t xml:space="preserve">Mortgagee/loan servicer Burden:  HUD anticipates acquiring approximately </w:t>
      </w:r>
      <w:r w:rsidR="00804899">
        <w:rPr>
          <w:sz w:val="22"/>
        </w:rPr>
        <w:t>16,000</w:t>
      </w:r>
      <w:r>
        <w:rPr>
          <w:sz w:val="22"/>
        </w:rPr>
        <w:t xml:space="preserve">foreclosed properties per year for the next three years.  We estimate that </w:t>
      </w:r>
      <w:r w:rsidR="00804899">
        <w:rPr>
          <w:sz w:val="22"/>
        </w:rPr>
        <w:t>180</w:t>
      </w:r>
      <w:r>
        <w:rPr>
          <w:sz w:val="22"/>
        </w:rPr>
        <w:t xml:space="preserve"> mortgagee/loan servicers will send out notices to the mortgagors (and any tenants) of those </w:t>
      </w:r>
      <w:r w:rsidR="00804899">
        <w:rPr>
          <w:sz w:val="22"/>
        </w:rPr>
        <w:t>16,000</w:t>
      </w:r>
      <w:r>
        <w:rPr>
          <w:sz w:val="22"/>
        </w:rPr>
        <w:t>properties</w:t>
      </w:r>
    </w:p>
    <w:p w:rsidR="006A6DD7" w:rsidRDefault="006A6DD7">
      <w:pPr>
        <w:tabs>
          <w:tab w:val="left" w:pos="11520"/>
        </w:tabs>
        <w:ind w:right="-29"/>
        <w:rPr>
          <w:sz w:val="22"/>
        </w:rPr>
      </w:pPr>
    </w:p>
    <w:p w:rsidR="006A6DD7" w:rsidRDefault="006A6DD7">
      <w:pPr>
        <w:numPr>
          <w:ilvl w:val="0"/>
          <w:numId w:val="16"/>
        </w:numPr>
        <w:tabs>
          <w:tab w:val="left" w:pos="360"/>
          <w:tab w:val="left" w:pos="11520"/>
        </w:tabs>
        <w:ind w:right="-29"/>
        <w:rPr>
          <w:color w:val="000000"/>
          <w:sz w:val="22"/>
        </w:rPr>
      </w:pPr>
      <w:r>
        <w:rPr>
          <w:sz w:val="22"/>
        </w:rPr>
        <w:t>Occupant burden is also calculated from past experience/statistics.  HUD estimates that</w:t>
      </w:r>
      <w:r w:rsidR="00804899">
        <w:rPr>
          <w:sz w:val="22"/>
        </w:rPr>
        <w:t>20</w:t>
      </w:r>
      <w:proofErr w:type="gramStart"/>
      <w:r w:rsidR="00804899">
        <w:rPr>
          <w:sz w:val="22"/>
        </w:rPr>
        <w:t>%</w:t>
      </w:r>
      <w:r>
        <w:rPr>
          <w:sz w:val="22"/>
        </w:rPr>
        <w:t xml:space="preserve">  of</w:t>
      </w:r>
      <w:proofErr w:type="gramEnd"/>
      <w:r>
        <w:rPr>
          <w:sz w:val="22"/>
        </w:rPr>
        <w:t xml:space="preserve"> the occupants of the</w:t>
      </w:r>
      <w:r w:rsidR="00804899">
        <w:rPr>
          <w:sz w:val="22"/>
        </w:rPr>
        <w:t>16,000</w:t>
      </w:r>
      <w:r>
        <w:rPr>
          <w:sz w:val="22"/>
        </w:rPr>
        <w:t xml:space="preserve"> acquisition properties will submit a request for occupied conveyance to the local HUD offices.  This represents </w:t>
      </w:r>
      <w:r w:rsidR="00804899">
        <w:rPr>
          <w:sz w:val="22"/>
        </w:rPr>
        <w:t>3,200</w:t>
      </w:r>
      <w:r>
        <w:rPr>
          <w:sz w:val="22"/>
        </w:rPr>
        <w:t xml:space="preserve">occupants.  </w:t>
      </w:r>
    </w:p>
    <w:p w:rsidR="006A6DD7" w:rsidRDefault="006A6DD7">
      <w:pPr>
        <w:tabs>
          <w:tab w:val="left" w:pos="360"/>
          <w:tab w:val="left" w:pos="11520"/>
        </w:tabs>
        <w:ind w:left="360" w:right="-29"/>
        <w:rPr>
          <w:color w:val="000000"/>
          <w:sz w:val="22"/>
        </w:rPr>
      </w:pPr>
    </w:p>
    <w:tbl>
      <w:tblPr>
        <w:tblW w:w="107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350"/>
        <w:gridCol w:w="1530"/>
        <w:gridCol w:w="1170"/>
        <w:gridCol w:w="1350"/>
        <w:gridCol w:w="1310"/>
        <w:gridCol w:w="1088"/>
        <w:gridCol w:w="1022"/>
      </w:tblGrid>
      <w:tr w:rsidR="006A6DD7">
        <w:tblPrEx>
          <w:tblCellMar>
            <w:top w:w="0" w:type="dxa"/>
            <w:bottom w:w="0" w:type="dxa"/>
          </w:tblCellMar>
        </w:tblPrEx>
        <w:tc>
          <w:tcPr>
            <w:tcW w:w="1890" w:type="dxa"/>
          </w:tcPr>
          <w:p w:rsidR="006A6DD7" w:rsidRDefault="006A6DD7">
            <w:pPr>
              <w:tabs>
                <w:tab w:val="left" w:pos="11520"/>
              </w:tabs>
              <w:ind w:right="-29"/>
              <w:jc w:val="center"/>
              <w:rPr>
                <w:rFonts w:ascii="Arial" w:hAnsi="Arial" w:cs="Arial"/>
                <w:color w:val="000000"/>
                <w:sz w:val="18"/>
              </w:rPr>
            </w:pPr>
          </w:p>
        </w:tc>
        <w:tc>
          <w:tcPr>
            <w:tcW w:w="1350" w:type="dxa"/>
          </w:tcPr>
          <w:p w:rsidR="006A6DD7" w:rsidRDefault="006A6DD7">
            <w:pPr>
              <w:tabs>
                <w:tab w:val="left" w:pos="11520"/>
              </w:tabs>
              <w:ind w:right="-29"/>
              <w:jc w:val="center"/>
              <w:rPr>
                <w:rFonts w:ascii="Arial" w:hAnsi="Arial" w:cs="Arial"/>
                <w:color w:val="000000"/>
                <w:sz w:val="18"/>
              </w:rPr>
            </w:pPr>
            <w:r>
              <w:rPr>
                <w:rFonts w:ascii="Arial" w:hAnsi="Arial" w:cs="Arial"/>
                <w:color w:val="000000"/>
                <w:sz w:val="18"/>
              </w:rPr>
              <w:t>Number of Respondents</w:t>
            </w:r>
          </w:p>
        </w:tc>
        <w:tc>
          <w:tcPr>
            <w:tcW w:w="1530" w:type="dxa"/>
          </w:tcPr>
          <w:p w:rsidR="006A6DD7" w:rsidRDefault="006A6DD7">
            <w:pPr>
              <w:tabs>
                <w:tab w:val="left" w:pos="11520"/>
              </w:tabs>
              <w:ind w:right="-29"/>
              <w:jc w:val="center"/>
              <w:rPr>
                <w:rFonts w:ascii="Arial" w:hAnsi="Arial" w:cs="Arial"/>
                <w:color w:val="000000"/>
                <w:sz w:val="18"/>
              </w:rPr>
            </w:pPr>
            <w:r>
              <w:rPr>
                <w:rFonts w:ascii="Arial" w:hAnsi="Arial" w:cs="Arial"/>
                <w:color w:val="000000"/>
                <w:sz w:val="18"/>
              </w:rPr>
              <w:t>Frequency of Response (</w:t>
            </w:r>
            <w:proofErr w:type="spellStart"/>
            <w:r>
              <w:rPr>
                <w:rFonts w:ascii="Arial" w:hAnsi="Arial" w:cs="Arial"/>
                <w:color w:val="000000"/>
                <w:sz w:val="18"/>
              </w:rPr>
              <w:t>avg</w:t>
            </w:r>
            <w:proofErr w:type="spellEnd"/>
            <w:r>
              <w:rPr>
                <w:rFonts w:ascii="Arial" w:hAnsi="Arial" w:cs="Arial"/>
                <w:color w:val="000000"/>
                <w:sz w:val="18"/>
              </w:rPr>
              <w:t>)</w:t>
            </w:r>
          </w:p>
        </w:tc>
        <w:tc>
          <w:tcPr>
            <w:tcW w:w="1170" w:type="dxa"/>
          </w:tcPr>
          <w:p w:rsidR="006A6DD7" w:rsidRDefault="006A6DD7">
            <w:pPr>
              <w:tabs>
                <w:tab w:val="left" w:pos="11520"/>
              </w:tabs>
              <w:ind w:right="-29"/>
              <w:jc w:val="center"/>
              <w:rPr>
                <w:rFonts w:ascii="Arial" w:hAnsi="Arial" w:cs="Arial"/>
                <w:color w:val="000000"/>
                <w:sz w:val="18"/>
              </w:rPr>
            </w:pPr>
            <w:r>
              <w:rPr>
                <w:rFonts w:ascii="Arial" w:hAnsi="Arial" w:cs="Arial"/>
                <w:color w:val="000000"/>
                <w:sz w:val="18"/>
              </w:rPr>
              <w:t>Responses Per Annum</w:t>
            </w:r>
          </w:p>
        </w:tc>
        <w:tc>
          <w:tcPr>
            <w:tcW w:w="1350" w:type="dxa"/>
          </w:tcPr>
          <w:p w:rsidR="006A6DD7" w:rsidRDefault="006A6DD7">
            <w:pPr>
              <w:tabs>
                <w:tab w:val="left" w:pos="11520"/>
              </w:tabs>
              <w:ind w:right="-29"/>
              <w:jc w:val="center"/>
              <w:rPr>
                <w:rFonts w:ascii="Arial" w:hAnsi="Arial" w:cs="Arial"/>
                <w:color w:val="000000"/>
                <w:sz w:val="18"/>
              </w:rPr>
            </w:pPr>
            <w:r>
              <w:rPr>
                <w:rFonts w:ascii="Arial" w:hAnsi="Arial" w:cs="Arial"/>
                <w:color w:val="000000"/>
                <w:sz w:val="18"/>
              </w:rPr>
              <w:t>Burden Hour Per Response</w:t>
            </w:r>
          </w:p>
        </w:tc>
        <w:tc>
          <w:tcPr>
            <w:tcW w:w="1310" w:type="dxa"/>
          </w:tcPr>
          <w:p w:rsidR="006A6DD7" w:rsidRDefault="006A6DD7">
            <w:pPr>
              <w:tabs>
                <w:tab w:val="left" w:pos="11520"/>
              </w:tabs>
              <w:ind w:right="-29"/>
              <w:jc w:val="center"/>
              <w:rPr>
                <w:rFonts w:ascii="Arial" w:hAnsi="Arial" w:cs="Arial"/>
                <w:color w:val="000000"/>
                <w:sz w:val="18"/>
              </w:rPr>
            </w:pPr>
            <w:r>
              <w:rPr>
                <w:rFonts w:ascii="Arial" w:hAnsi="Arial" w:cs="Arial"/>
                <w:color w:val="000000"/>
                <w:sz w:val="18"/>
              </w:rPr>
              <w:t>Annual Burden Hours</w:t>
            </w:r>
          </w:p>
        </w:tc>
        <w:tc>
          <w:tcPr>
            <w:tcW w:w="1088" w:type="dxa"/>
          </w:tcPr>
          <w:p w:rsidR="006A6DD7" w:rsidRDefault="006A6DD7">
            <w:pPr>
              <w:tabs>
                <w:tab w:val="left" w:pos="11520"/>
              </w:tabs>
              <w:ind w:right="-29"/>
              <w:jc w:val="center"/>
              <w:rPr>
                <w:rFonts w:ascii="Arial" w:hAnsi="Arial" w:cs="Arial"/>
                <w:color w:val="000000"/>
                <w:sz w:val="18"/>
              </w:rPr>
            </w:pPr>
            <w:r>
              <w:rPr>
                <w:rFonts w:ascii="Arial" w:hAnsi="Arial" w:cs="Arial"/>
                <w:color w:val="000000"/>
                <w:sz w:val="18"/>
              </w:rPr>
              <w:t>Hourly Cost</w:t>
            </w:r>
          </w:p>
        </w:tc>
        <w:tc>
          <w:tcPr>
            <w:tcW w:w="1022" w:type="dxa"/>
          </w:tcPr>
          <w:p w:rsidR="006A6DD7" w:rsidRDefault="006A6DD7">
            <w:pPr>
              <w:tabs>
                <w:tab w:val="left" w:pos="11520"/>
              </w:tabs>
              <w:ind w:right="-29"/>
              <w:jc w:val="center"/>
              <w:rPr>
                <w:rFonts w:ascii="Arial" w:hAnsi="Arial" w:cs="Arial"/>
                <w:color w:val="000000"/>
                <w:sz w:val="18"/>
              </w:rPr>
            </w:pPr>
            <w:r>
              <w:rPr>
                <w:rFonts w:ascii="Arial" w:hAnsi="Arial" w:cs="Arial"/>
                <w:color w:val="000000"/>
                <w:sz w:val="18"/>
              </w:rPr>
              <w:t>Annual Cost</w:t>
            </w:r>
          </w:p>
        </w:tc>
      </w:tr>
      <w:tr w:rsidR="006A6DD7">
        <w:tblPrEx>
          <w:tblCellMar>
            <w:top w:w="0" w:type="dxa"/>
            <w:bottom w:w="0" w:type="dxa"/>
          </w:tblCellMar>
        </w:tblPrEx>
        <w:tc>
          <w:tcPr>
            <w:tcW w:w="1890" w:type="dxa"/>
            <w:vAlign w:val="center"/>
          </w:tcPr>
          <w:p w:rsidR="006A6DD7" w:rsidRDefault="006A6DD7">
            <w:pPr>
              <w:tabs>
                <w:tab w:val="left" w:pos="11520"/>
              </w:tabs>
              <w:spacing w:before="60"/>
              <w:ind w:right="-29"/>
              <w:rPr>
                <w:rFonts w:ascii="Arial" w:hAnsi="Arial" w:cs="Arial"/>
                <w:color w:val="000000"/>
                <w:sz w:val="18"/>
              </w:rPr>
            </w:pPr>
            <w:r>
              <w:rPr>
                <w:rFonts w:ascii="Arial" w:hAnsi="Arial" w:cs="Arial"/>
                <w:color w:val="000000"/>
                <w:sz w:val="18"/>
              </w:rPr>
              <w:t>Notice of acquisition and HUD-9539</w:t>
            </w:r>
          </w:p>
        </w:tc>
        <w:tc>
          <w:tcPr>
            <w:tcW w:w="1350" w:type="dxa"/>
            <w:vAlign w:val="center"/>
          </w:tcPr>
          <w:p w:rsidR="006A6DD7" w:rsidRDefault="00804899">
            <w:pPr>
              <w:tabs>
                <w:tab w:val="left" w:pos="11520"/>
              </w:tabs>
              <w:spacing w:before="60"/>
              <w:ind w:right="252"/>
              <w:jc w:val="right"/>
              <w:rPr>
                <w:rFonts w:ascii="Arial" w:hAnsi="Arial" w:cs="Arial"/>
                <w:color w:val="000000"/>
              </w:rPr>
            </w:pPr>
            <w:r>
              <w:rPr>
                <w:rFonts w:ascii="Arial" w:hAnsi="Arial" w:cs="Arial"/>
                <w:color w:val="000000"/>
              </w:rPr>
              <w:t>180</w:t>
            </w:r>
          </w:p>
        </w:tc>
        <w:tc>
          <w:tcPr>
            <w:tcW w:w="1530" w:type="dxa"/>
            <w:vAlign w:val="center"/>
          </w:tcPr>
          <w:p w:rsidR="006A6DD7" w:rsidRDefault="00987E4F">
            <w:pPr>
              <w:tabs>
                <w:tab w:val="left" w:pos="11520"/>
              </w:tabs>
              <w:spacing w:before="60"/>
              <w:ind w:right="252"/>
              <w:jc w:val="right"/>
              <w:rPr>
                <w:rFonts w:ascii="Arial" w:hAnsi="Arial" w:cs="Arial"/>
                <w:color w:val="000000"/>
              </w:rPr>
            </w:pPr>
            <w:r>
              <w:rPr>
                <w:rFonts w:ascii="Arial" w:hAnsi="Arial" w:cs="Arial"/>
                <w:color w:val="000000"/>
              </w:rPr>
              <w:t>varies</w:t>
            </w:r>
          </w:p>
        </w:tc>
        <w:tc>
          <w:tcPr>
            <w:tcW w:w="1170" w:type="dxa"/>
            <w:vAlign w:val="center"/>
          </w:tcPr>
          <w:p w:rsidR="006A6DD7" w:rsidRDefault="00804899">
            <w:pPr>
              <w:tabs>
                <w:tab w:val="left" w:pos="11520"/>
              </w:tabs>
              <w:spacing w:before="60"/>
              <w:ind w:right="162"/>
              <w:jc w:val="right"/>
              <w:rPr>
                <w:rFonts w:ascii="Arial" w:hAnsi="Arial" w:cs="Arial"/>
                <w:color w:val="000000"/>
              </w:rPr>
            </w:pPr>
            <w:r>
              <w:rPr>
                <w:rFonts w:ascii="Arial" w:hAnsi="Arial" w:cs="Arial"/>
                <w:color w:val="000000"/>
              </w:rPr>
              <w:t>16,000</w:t>
            </w:r>
          </w:p>
        </w:tc>
        <w:tc>
          <w:tcPr>
            <w:tcW w:w="1350" w:type="dxa"/>
            <w:vAlign w:val="center"/>
          </w:tcPr>
          <w:p w:rsidR="006A6DD7" w:rsidRDefault="006A6DD7">
            <w:pPr>
              <w:tabs>
                <w:tab w:val="left" w:pos="11520"/>
              </w:tabs>
              <w:spacing w:before="60"/>
              <w:ind w:right="252"/>
              <w:jc w:val="right"/>
              <w:rPr>
                <w:rFonts w:ascii="Arial" w:hAnsi="Arial" w:cs="Arial"/>
                <w:color w:val="000000"/>
              </w:rPr>
            </w:pPr>
            <w:r>
              <w:rPr>
                <w:rFonts w:ascii="Arial" w:hAnsi="Arial" w:cs="Arial"/>
                <w:color w:val="000000"/>
              </w:rPr>
              <w:t>.25</w:t>
            </w:r>
          </w:p>
        </w:tc>
        <w:tc>
          <w:tcPr>
            <w:tcW w:w="1310" w:type="dxa"/>
            <w:vAlign w:val="center"/>
          </w:tcPr>
          <w:p w:rsidR="006A6DD7" w:rsidRDefault="00804899">
            <w:pPr>
              <w:tabs>
                <w:tab w:val="left" w:pos="11520"/>
              </w:tabs>
              <w:spacing w:before="60"/>
              <w:ind w:right="122"/>
              <w:jc w:val="right"/>
              <w:rPr>
                <w:rFonts w:ascii="Arial" w:hAnsi="Arial" w:cs="Arial"/>
                <w:color w:val="000000"/>
              </w:rPr>
            </w:pPr>
            <w:r>
              <w:rPr>
                <w:rFonts w:ascii="Arial" w:hAnsi="Arial" w:cs="Arial"/>
                <w:color w:val="000000"/>
              </w:rPr>
              <w:t>4,000</w:t>
            </w:r>
          </w:p>
        </w:tc>
        <w:tc>
          <w:tcPr>
            <w:tcW w:w="1088" w:type="dxa"/>
            <w:vAlign w:val="center"/>
          </w:tcPr>
          <w:p w:rsidR="006A6DD7" w:rsidRDefault="00CE2161">
            <w:pPr>
              <w:tabs>
                <w:tab w:val="left" w:pos="742"/>
                <w:tab w:val="left" w:pos="11520"/>
              </w:tabs>
              <w:spacing w:before="60"/>
              <w:ind w:right="40"/>
              <w:jc w:val="right"/>
              <w:rPr>
                <w:rFonts w:ascii="Arial" w:hAnsi="Arial" w:cs="Arial"/>
                <w:color w:val="000000"/>
              </w:rPr>
            </w:pPr>
            <w:r>
              <w:rPr>
                <w:rFonts w:ascii="Arial" w:hAnsi="Arial" w:cs="Arial"/>
                <w:color w:val="000000"/>
              </w:rPr>
              <w:t>$19.62</w:t>
            </w:r>
          </w:p>
        </w:tc>
        <w:tc>
          <w:tcPr>
            <w:tcW w:w="1022" w:type="dxa"/>
            <w:vAlign w:val="center"/>
          </w:tcPr>
          <w:p w:rsidR="006A6DD7" w:rsidRDefault="00CE2161" w:rsidP="002E5402">
            <w:pPr>
              <w:tabs>
                <w:tab w:val="left" w:pos="11520"/>
              </w:tabs>
              <w:spacing w:before="60"/>
              <w:ind w:right="-29"/>
              <w:jc w:val="right"/>
              <w:rPr>
                <w:rFonts w:ascii="Arial" w:hAnsi="Arial" w:cs="Arial"/>
                <w:color w:val="000000"/>
              </w:rPr>
            </w:pPr>
            <w:r>
              <w:rPr>
                <w:rFonts w:ascii="Arial" w:hAnsi="Arial" w:cs="Arial"/>
                <w:color w:val="000000"/>
              </w:rPr>
              <w:t>$78,480</w:t>
            </w:r>
          </w:p>
        </w:tc>
      </w:tr>
      <w:tr w:rsidR="006A6DD7">
        <w:tblPrEx>
          <w:tblCellMar>
            <w:top w:w="0" w:type="dxa"/>
            <w:bottom w:w="0" w:type="dxa"/>
          </w:tblCellMar>
        </w:tblPrEx>
        <w:tc>
          <w:tcPr>
            <w:tcW w:w="1890" w:type="dxa"/>
            <w:vAlign w:val="center"/>
          </w:tcPr>
          <w:p w:rsidR="006A6DD7" w:rsidRDefault="006A6DD7">
            <w:pPr>
              <w:tabs>
                <w:tab w:val="left" w:pos="11520"/>
              </w:tabs>
              <w:spacing w:before="60"/>
              <w:ind w:right="-29"/>
              <w:rPr>
                <w:rFonts w:ascii="Arial" w:hAnsi="Arial" w:cs="Arial"/>
                <w:color w:val="000000"/>
                <w:sz w:val="18"/>
              </w:rPr>
            </w:pPr>
            <w:r>
              <w:rPr>
                <w:rFonts w:ascii="Arial" w:hAnsi="Arial" w:cs="Arial"/>
                <w:color w:val="000000"/>
                <w:sz w:val="18"/>
              </w:rPr>
              <w:t>Letter to HUD and HUD-9539</w:t>
            </w:r>
          </w:p>
        </w:tc>
        <w:tc>
          <w:tcPr>
            <w:tcW w:w="1350" w:type="dxa"/>
            <w:vAlign w:val="center"/>
          </w:tcPr>
          <w:p w:rsidR="006A6DD7" w:rsidRDefault="00804899">
            <w:pPr>
              <w:tabs>
                <w:tab w:val="left" w:pos="11520"/>
              </w:tabs>
              <w:spacing w:before="60"/>
              <w:ind w:right="252"/>
              <w:jc w:val="right"/>
              <w:rPr>
                <w:rFonts w:ascii="Arial" w:hAnsi="Arial" w:cs="Arial"/>
                <w:color w:val="000000"/>
              </w:rPr>
            </w:pPr>
            <w:r>
              <w:rPr>
                <w:rFonts w:ascii="Arial" w:hAnsi="Arial" w:cs="Arial"/>
                <w:color w:val="000000"/>
              </w:rPr>
              <w:t>3,200</w:t>
            </w:r>
          </w:p>
        </w:tc>
        <w:tc>
          <w:tcPr>
            <w:tcW w:w="1530" w:type="dxa"/>
            <w:vAlign w:val="center"/>
          </w:tcPr>
          <w:p w:rsidR="006A6DD7" w:rsidRDefault="00987E4F">
            <w:pPr>
              <w:tabs>
                <w:tab w:val="left" w:pos="11520"/>
              </w:tabs>
              <w:spacing w:before="60"/>
              <w:ind w:right="252"/>
              <w:jc w:val="right"/>
              <w:rPr>
                <w:rFonts w:ascii="Arial" w:hAnsi="Arial" w:cs="Arial"/>
                <w:color w:val="000000"/>
              </w:rPr>
            </w:pPr>
            <w:r>
              <w:rPr>
                <w:rFonts w:ascii="Arial" w:hAnsi="Arial" w:cs="Arial"/>
                <w:color w:val="000000"/>
              </w:rPr>
              <w:t>1.0</w:t>
            </w:r>
          </w:p>
        </w:tc>
        <w:tc>
          <w:tcPr>
            <w:tcW w:w="1170" w:type="dxa"/>
            <w:vAlign w:val="center"/>
          </w:tcPr>
          <w:p w:rsidR="006A6DD7" w:rsidRDefault="00804899">
            <w:pPr>
              <w:tabs>
                <w:tab w:val="left" w:pos="11520"/>
              </w:tabs>
              <w:spacing w:before="60"/>
              <w:ind w:right="162"/>
              <w:jc w:val="right"/>
              <w:rPr>
                <w:rFonts w:ascii="Arial" w:hAnsi="Arial" w:cs="Arial"/>
                <w:color w:val="000000"/>
              </w:rPr>
            </w:pPr>
            <w:r>
              <w:rPr>
                <w:rFonts w:ascii="Arial" w:hAnsi="Arial" w:cs="Arial"/>
                <w:color w:val="000000"/>
              </w:rPr>
              <w:t>3,200</w:t>
            </w:r>
          </w:p>
        </w:tc>
        <w:tc>
          <w:tcPr>
            <w:tcW w:w="1350" w:type="dxa"/>
            <w:vAlign w:val="center"/>
          </w:tcPr>
          <w:p w:rsidR="006A6DD7" w:rsidRDefault="006A6DD7">
            <w:pPr>
              <w:tabs>
                <w:tab w:val="left" w:pos="11520"/>
              </w:tabs>
              <w:spacing w:before="60"/>
              <w:ind w:right="252"/>
              <w:jc w:val="right"/>
              <w:rPr>
                <w:rFonts w:ascii="Arial" w:hAnsi="Arial" w:cs="Arial"/>
                <w:color w:val="000000"/>
              </w:rPr>
            </w:pPr>
            <w:r>
              <w:rPr>
                <w:rFonts w:ascii="Arial" w:hAnsi="Arial" w:cs="Arial"/>
                <w:color w:val="000000"/>
              </w:rPr>
              <w:t>.50</w:t>
            </w:r>
          </w:p>
        </w:tc>
        <w:tc>
          <w:tcPr>
            <w:tcW w:w="1310" w:type="dxa"/>
            <w:vAlign w:val="center"/>
          </w:tcPr>
          <w:p w:rsidR="006A6DD7" w:rsidRPr="003736B1" w:rsidRDefault="003736B1">
            <w:pPr>
              <w:tabs>
                <w:tab w:val="left" w:pos="11520"/>
              </w:tabs>
              <w:spacing w:before="60"/>
              <w:ind w:right="122"/>
              <w:jc w:val="right"/>
              <w:rPr>
                <w:rFonts w:ascii="Arial" w:hAnsi="Arial" w:cs="Arial"/>
                <w:color w:val="FF0000"/>
              </w:rPr>
            </w:pPr>
            <w:r w:rsidRPr="003736B1">
              <w:rPr>
                <w:rFonts w:ascii="Arial" w:hAnsi="Arial" w:cs="Arial"/>
                <w:color w:val="FF0000"/>
              </w:rPr>
              <w:t>1</w:t>
            </w:r>
            <w:r w:rsidR="007C2535">
              <w:rPr>
                <w:rFonts w:ascii="Arial" w:hAnsi="Arial" w:cs="Arial"/>
                <w:color w:val="FF0000"/>
              </w:rPr>
              <w:t>,</w:t>
            </w:r>
            <w:r w:rsidRPr="003736B1">
              <w:rPr>
                <w:rFonts w:ascii="Arial" w:hAnsi="Arial" w:cs="Arial"/>
                <w:color w:val="FF0000"/>
              </w:rPr>
              <w:t>600</w:t>
            </w:r>
          </w:p>
        </w:tc>
        <w:tc>
          <w:tcPr>
            <w:tcW w:w="1088" w:type="dxa"/>
            <w:vAlign w:val="center"/>
          </w:tcPr>
          <w:p w:rsidR="006A6DD7" w:rsidRDefault="00CE2161" w:rsidP="002E5402">
            <w:pPr>
              <w:tabs>
                <w:tab w:val="left" w:pos="742"/>
                <w:tab w:val="left" w:pos="11520"/>
              </w:tabs>
              <w:spacing w:before="60"/>
              <w:ind w:right="40"/>
              <w:jc w:val="right"/>
              <w:rPr>
                <w:rFonts w:ascii="Arial" w:hAnsi="Arial" w:cs="Arial"/>
                <w:color w:val="000000"/>
              </w:rPr>
            </w:pPr>
            <w:r>
              <w:rPr>
                <w:rFonts w:ascii="Arial" w:hAnsi="Arial" w:cs="Arial"/>
                <w:color w:val="000000"/>
              </w:rPr>
              <w:t>$9.81</w:t>
            </w:r>
          </w:p>
        </w:tc>
        <w:tc>
          <w:tcPr>
            <w:tcW w:w="1022" w:type="dxa"/>
            <w:vAlign w:val="center"/>
          </w:tcPr>
          <w:p w:rsidR="006A6DD7" w:rsidRPr="003736B1" w:rsidRDefault="003736B1">
            <w:pPr>
              <w:tabs>
                <w:tab w:val="left" w:pos="11520"/>
              </w:tabs>
              <w:spacing w:before="60"/>
              <w:ind w:right="-29"/>
              <w:jc w:val="right"/>
              <w:rPr>
                <w:rFonts w:ascii="Arial" w:hAnsi="Arial" w:cs="Arial"/>
                <w:color w:val="FF0000"/>
              </w:rPr>
            </w:pPr>
            <w:r w:rsidRPr="003736B1">
              <w:rPr>
                <w:rFonts w:ascii="Arial" w:hAnsi="Arial" w:cs="Arial"/>
                <w:color w:val="FF0000"/>
              </w:rPr>
              <w:t>$15,696</w:t>
            </w:r>
          </w:p>
        </w:tc>
      </w:tr>
      <w:tr w:rsidR="006A6DD7" w:rsidTr="006225CA">
        <w:tblPrEx>
          <w:tblCellMar>
            <w:top w:w="0" w:type="dxa"/>
            <w:bottom w:w="0" w:type="dxa"/>
          </w:tblCellMar>
        </w:tblPrEx>
        <w:tc>
          <w:tcPr>
            <w:tcW w:w="1890" w:type="dxa"/>
          </w:tcPr>
          <w:p w:rsidR="006A6DD7" w:rsidRDefault="006A6DD7">
            <w:pPr>
              <w:tabs>
                <w:tab w:val="left" w:pos="11520"/>
              </w:tabs>
              <w:spacing w:before="60"/>
              <w:ind w:right="-29"/>
              <w:rPr>
                <w:rFonts w:ascii="Arial" w:hAnsi="Arial" w:cs="Arial"/>
                <w:b/>
                <w:bCs/>
                <w:color w:val="000000"/>
              </w:rPr>
            </w:pPr>
            <w:r>
              <w:rPr>
                <w:rFonts w:ascii="Arial" w:hAnsi="Arial" w:cs="Arial"/>
                <w:b/>
                <w:bCs/>
                <w:color w:val="000000"/>
              </w:rPr>
              <w:t xml:space="preserve">   Totals</w:t>
            </w:r>
          </w:p>
        </w:tc>
        <w:tc>
          <w:tcPr>
            <w:tcW w:w="1350" w:type="dxa"/>
            <w:vAlign w:val="center"/>
          </w:tcPr>
          <w:p w:rsidR="006A6DD7" w:rsidRDefault="00804899">
            <w:pPr>
              <w:tabs>
                <w:tab w:val="left" w:pos="11520"/>
              </w:tabs>
              <w:spacing w:before="60"/>
              <w:ind w:right="252"/>
              <w:jc w:val="right"/>
              <w:rPr>
                <w:rFonts w:ascii="Arial" w:hAnsi="Arial" w:cs="Arial"/>
                <w:b/>
                <w:bCs/>
                <w:color w:val="000000"/>
              </w:rPr>
            </w:pPr>
            <w:r>
              <w:rPr>
                <w:rFonts w:ascii="Arial" w:hAnsi="Arial" w:cs="Arial"/>
                <w:b/>
                <w:bCs/>
                <w:color w:val="000000"/>
              </w:rPr>
              <w:t>3,380</w:t>
            </w:r>
            <w:r w:rsidR="006A6DD7">
              <w:rPr>
                <w:rFonts w:ascii="Arial" w:hAnsi="Arial" w:cs="Arial"/>
                <w:b/>
                <w:bCs/>
                <w:color w:val="000000"/>
              </w:rPr>
              <w:t xml:space="preserve"> </w:t>
            </w:r>
          </w:p>
        </w:tc>
        <w:tc>
          <w:tcPr>
            <w:tcW w:w="1530" w:type="dxa"/>
            <w:shd w:val="clear" w:color="auto" w:fill="D9D9D9"/>
            <w:vAlign w:val="center"/>
          </w:tcPr>
          <w:p w:rsidR="006A6DD7" w:rsidRDefault="006A6DD7">
            <w:pPr>
              <w:tabs>
                <w:tab w:val="left" w:pos="11520"/>
              </w:tabs>
              <w:spacing w:before="60"/>
              <w:ind w:right="-29"/>
              <w:jc w:val="right"/>
              <w:rPr>
                <w:rFonts w:ascii="Arial" w:hAnsi="Arial" w:cs="Arial"/>
                <w:b/>
                <w:bCs/>
                <w:color w:val="000000"/>
              </w:rPr>
            </w:pPr>
          </w:p>
        </w:tc>
        <w:tc>
          <w:tcPr>
            <w:tcW w:w="1170" w:type="dxa"/>
            <w:vAlign w:val="center"/>
          </w:tcPr>
          <w:p w:rsidR="006A6DD7" w:rsidRDefault="00804899">
            <w:pPr>
              <w:tabs>
                <w:tab w:val="left" w:pos="11520"/>
              </w:tabs>
              <w:spacing w:before="60"/>
              <w:ind w:right="162"/>
              <w:jc w:val="right"/>
              <w:rPr>
                <w:rFonts w:ascii="Arial" w:hAnsi="Arial" w:cs="Arial"/>
                <w:b/>
                <w:bCs/>
                <w:color w:val="000000"/>
              </w:rPr>
            </w:pPr>
            <w:r>
              <w:rPr>
                <w:rFonts w:ascii="Arial" w:hAnsi="Arial" w:cs="Arial"/>
                <w:b/>
                <w:bCs/>
                <w:color w:val="000000"/>
              </w:rPr>
              <w:t>19,200</w:t>
            </w:r>
          </w:p>
        </w:tc>
        <w:tc>
          <w:tcPr>
            <w:tcW w:w="1350" w:type="dxa"/>
            <w:shd w:val="clear" w:color="auto" w:fill="D9D9D9"/>
            <w:vAlign w:val="center"/>
          </w:tcPr>
          <w:p w:rsidR="006A6DD7" w:rsidRDefault="006A6DD7">
            <w:pPr>
              <w:tabs>
                <w:tab w:val="left" w:pos="11520"/>
              </w:tabs>
              <w:spacing w:before="60"/>
              <w:ind w:right="-29"/>
              <w:jc w:val="right"/>
              <w:rPr>
                <w:rFonts w:ascii="Arial" w:hAnsi="Arial" w:cs="Arial"/>
                <w:b/>
                <w:bCs/>
                <w:color w:val="000000"/>
              </w:rPr>
            </w:pPr>
          </w:p>
        </w:tc>
        <w:tc>
          <w:tcPr>
            <w:tcW w:w="1310" w:type="dxa"/>
            <w:vAlign w:val="center"/>
          </w:tcPr>
          <w:p w:rsidR="006A6DD7" w:rsidRPr="003736B1" w:rsidRDefault="003736B1">
            <w:pPr>
              <w:tabs>
                <w:tab w:val="left" w:pos="11520"/>
              </w:tabs>
              <w:spacing w:before="60"/>
              <w:ind w:right="122"/>
              <w:jc w:val="right"/>
              <w:rPr>
                <w:rFonts w:ascii="Arial" w:hAnsi="Arial" w:cs="Arial"/>
                <w:b/>
                <w:bCs/>
                <w:color w:val="FF0000"/>
              </w:rPr>
            </w:pPr>
            <w:r w:rsidRPr="003736B1">
              <w:rPr>
                <w:rFonts w:ascii="Arial" w:hAnsi="Arial" w:cs="Arial"/>
                <w:b/>
                <w:bCs/>
                <w:color w:val="FF0000"/>
              </w:rPr>
              <w:t>5</w:t>
            </w:r>
            <w:r w:rsidR="007C2535">
              <w:rPr>
                <w:rFonts w:ascii="Arial" w:hAnsi="Arial" w:cs="Arial"/>
                <w:b/>
                <w:bCs/>
                <w:color w:val="FF0000"/>
              </w:rPr>
              <w:t>,</w:t>
            </w:r>
            <w:r w:rsidRPr="003736B1">
              <w:rPr>
                <w:rFonts w:ascii="Arial" w:hAnsi="Arial" w:cs="Arial"/>
                <w:b/>
                <w:bCs/>
                <w:color w:val="FF0000"/>
              </w:rPr>
              <w:t>600</w:t>
            </w:r>
          </w:p>
        </w:tc>
        <w:tc>
          <w:tcPr>
            <w:tcW w:w="1088" w:type="dxa"/>
            <w:shd w:val="clear" w:color="auto" w:fill="D9D9D9"/>
            <w:vAlign w:val="center"/>
          </w:tcPr>
          <w:p w:rsidR="006A6DD7" w:rsidRDefault="006A6DD7">
            <w:pPr>
              <w:tabs>
                <w:tab w:val="left" w:pos="11520"/>
              </w:tabs>
              <w:spacing w:before="60"/>
              <w:ind w:right="-29"/>
              <w:jc w:val="right"/>
              <w:rPr>
                <w:rFonts w:ascii="Arial" w:hAnsi="Arial" w:cs="Arial"/>
                <w:b/>
                <w:bCs/>
                <w:color w:val="000000"/>
              </w:rPr>
            </w:pPr>
          </w:p>
        </w:tc>
        <w:tc>
          <w:tcPr>
            <w:tcW w:w="1022" w:type="dxa"/>
            <w:vAlign w:val="center"/>
          </w:tcPr>
          <w:p w:rsidR="006A6DD7" w:rsidRPr="001F1C46" w:rsidRDefault="00CE2161">
            <w:pPr>
              <w:tabs>
                <w:tab w:val="left" w:pos="11520"/>
              </w:tabs>
              <w:spacing w:before="60"/>
              <w:ind w:right="-29"/>
              <w:jc w:val="right"/>
              <w:rPr>
                <w:rFonts w:ascii="Arial" w:hAnsi="Arial" w:cs="Arial"/>
                <w:b/>
                <w:bCs/>
                <w:color w:val="FF0000"/>
              </w:rPr>
            </w:pPr>
            <w:r w:rsidRPr="001F1C46">
              <w:rPr>
                <w:rFonts w:ascii="Arial" w:hAnsi="Arial" w:cs="Arial"/>
                <w:b/>
                <w:bCs/>
                <w:color w:val="FF0000"/>
              </w:rPr>
              <w:t>$</w:t>
            </w:r>
            <w:r w:rsidR="001F1C46" w:rsidRPr="001F1C46">
              <w:rPr>
                <w:rFonts w:ascii="Arial" w:hAnsi="Arial" w:cs="Arial"/>
                <w:b/>
                <w:bCs/>
                <w:color w:val="FF0000"/>
              </w:rPr>
              <w:t>94,176</w:t>
            </w:r>
          </w:p>
        </w:tc>
      </w:tr>
    </w:tbl>
    <w:p w:rsidR="006A6DD7" w:rsidRDefault="006A6DD7">
      <w:pPr>
        <w:pStyle w:val="BlockText"/>
        <w:tabs>
          <w:tab w:val="left" w:pos="11520"/>
        </w:tabs>
        <w:ind w:left="360" w:right="-29" w:firstLine="0"/>
        <w:rPr>
          <w:sz w:val="20"/>
        </w:rPr>
      </w:pPr>
      <w:r>
        <w:rPr>
          <w:sz w:val="20"/>
        </w:rPr>
        <w:t>Hourly rate for mortgagee/servicer is based on an estimate of servicer personnel annual salary of $</w:t>
      </w:r>
      <w:r w:rsidR="00541355">
        <w:rPr>
          <w:sz w:val="20"/>
        </w:rPr>
        <w:t>40,949</w:t>
      </w:r>
      <w:r>
        <w:rPr>
          <w:sz w:val="20"/>
        </w:rPr>
        <w:t>.</w:t>
      </w:r>
    </w:p>
    <w:p w:rsidR="006A6DD7" w:rsidRDefault="006A6DD7">
      <w:pPr>
        <w:pStyle w:val="BlockText"/>
        <w:tabs>
          <w:tab w:val="left" w:pos="11520"/>
        </w:tabs>
        <w:ind w:left="360" w:right="-29" w:firstLine="0"/>
        <w:rPr>
          <w:sz w:val="20"/>
        </w:rPr>
      </w:pPr>
      <w:r>
        <w:rPr>
          <w:sz w:val="20"/>
        </w:rPr>
        <w:t>Hourly rate for occupants is based on minimum wage plus $</w:t>
      </w:r>
      <w:r w:rsidR="00541355">
        <w:rPr>
          <w:sz w:val="20"/>
        </w:rPr>
        <w:t>2.56</w:t>
      </w:r>
      <w:r>
        <w:rPr>
          <w:sz w:val="20"/>
        </w:rPr>
        <w:t xml:space="preserve"> for mailing.</w:t>
      </w:r>
    </w:p>
    <w:p w:rsidR="00BB4AE5" w:rsidRDefault="00BB4AE5">
      <w:pPr>
        <w:pStyle w:val="BlockText"/>
        <w:tabs>
          <w:tab w:val="left" w:pos="11520"/>
        </w:tabs>
        <w:ind w:left="360" w:right="-29" w:firstLine="0"/>
        <w:rPr>
          <w:sz w:val="20"/>
        </w:rPr>
      </w:pPr>
    </w:p>
    <w:p w:rsidR="00BB4AE5" w:rsidRPr="00987E4F" w:rsidRDefault="00BB4AE5">
      <w:pPr>
        <w:pStyle w:val="BlockText"/>
        <w:tabs>
          <w:tab w:val="left" w:pos="11520"/>
        </w:tabs>
        <w:ind w:left="360" w:right="-29" w:firstLine="0"/>
        <w:rPr>
          <w:sz w:val="22"/>
          <w:szCs w:val="22"/>
        </w:rPr>
      </w:pPr>
      <w:r w:rsidRPr="00987E4F">
        <w:rPr>
          <w:sz w:val="22"/>
          <w:szCs w:val="22"/>
        </w:rPr>
        <w:t>Names and addresses of Mortgagee/Loan Se</w:t>
      </w:r>
      <w:r w:rsidR="00804899" w:rsidRPr="00987E4F">
        <w:rPr>
          <w:sz w:val="22"/>
          <w:szCs w:val="22"/>
        </w:rPr>
        <w:t>r</w:t>
      </w:r>
      <w:r w:rsidR="00987E4F" w:rsidRPr="00987E4F">
        <w:rPr>
          <w:sz w:val="22"/>
          <w:szCs w:val="22"/>
        </w:rPr>
        <w:t>vicers c</w:t>
      </w:r>
      <w:r w:rsidRPr="00987E4F">
        <w:rPr>
          <w:sz w:val="22"/>
          <w:szCs w:val="22"/>
        </w:rPr>
        <w:t>ontacted:</w:t>
      </w:r>
    </w:p>
    <w:p w:rsidR="00BB4AE5" w:rsidRPr="00987E4F" w:rsidRDefault="00BB4AE5">
      <w:pPr>
        <w:pStyle w:val="BlockText"/>
        <w:tabs>
          <w:tab w:val="left" w:pos="11520"/>
        </w:tabs>
        <w:ind w:left="360" w:right="-29" w:firstLine="0"/>
        <w:rPr>
          <w:sz w:val="22"/>
          <w:szCs w:val="22"/>
        </w:rPr>
      </w:pPr>
    </w:p>
    <w:p w:rsidR="00BB4AE5" w:rsidRPr="00987E4F" w:rsidRDefault="00BF7745">
      <w:pPr>
        <w:pStyle w:val="BlockText"/>
        <w:tabs>
          <w:tab w:val="left" w:pos="11520"/>
        </w:tabs>
        <w:ind w:left="360" w:right="-29" w:firstLine="0"/>
        <w:rPr>
          <w:sz w:val="22"/>
          <w:szCs w:val="22"/>
        </w:rPr>
      </w:pPr>
      <w:r w:rsidRPr="00987E4F">
        <w:rPr>
          <w:sz w:val="22"/>
          <w:szCs w:val="22"/>
        </w:rPr>
        <w:t xml:space="preserve">Cynthia </w:t>
      </w:r>
      <w:proofErr w:type="spellStart"/>
      <w:r w:rsidRPr="00987E4F">
        <w:rPr>
          <w:sz w:val="22"/>
          <w:szCs w:val="22"/>
        </w:rPr>
        <w:t>Maestas</w:t>
      </w:r>
      <w:proofErr w:type="spellEnd"/>
    </w:p>
    <w:p w:rsidR="00BF7745" w:rsidRPr="00987E4F" w:rsidRDefault="00BF7745">
      <w:pPr>
        <w:pStyle w:val="BlockText"/>
        <w:tabs>
          <w:tab w:val="left" w:pos="11520"/>
        </w:tabs>
        <w:ind w:left="360" w:right="-29" w:firstLine="0"/>
        <w:rPr>
          <w:sz w:val="22"/>
          <w:szCs w:val="22"/>
        </w:rPr>
      </w:pPr>
      <w:r w:rsidRPr="00987E4F">
        <w:rPr>
          <w:sz w:val="22"/>
          <w:szCs w:val="22"/>
        </w:rPr>
        <w:t>9 Barnes Street</w:t>
      </w:r>
    </w:p>
    <w:p w:rsidR="00BF7745" w:rsidRPr="00987E4F" w:rsidRDefault="00BF7745">
      <w:pPr>
        <w:pStyle w:val="BlockText"/>
        <w:tabs>
          <w:tab w:val="left" w:pos="11520"/>
        </w:tabs>
        <w:ind w:left="360" w:right="-29" w:firstLine="0"/>
        <w:rPr>
          <w:sz w:val="22"/>
          <w:szCs w:val="22"/>
        </w:rPr>
      </w:pPr>
      <w:r w:rsidRPr="00987E4F">
        <w:rPr>
          <w:sz w:val="22"/>
          <w:szCs w:val="22"/>
        </w:rPr>
        <w:t>West Warwick, Rhode Island 02893</w:t>
      </w:r>
    </w:p>
    <w:p w:rsidR="00BF7745" w:rsidRPr="00987E4F" w:rsidRDefault="00BF7745">
      <w:pPr>
        <w:pStyle w:val="BlockText"/>
        <w:tabs>
          <w:tab w:val="left" w:pos="11520"/>
        </w:tabs>
        <w:ind w:left="360" w:right="-29" w:firstLine="0"/>
        <w:rPr>
          <w:sz w:val="22"/>
          <w:szCs w:val="22"/>
        </w:rPr>
      </w:pPr>
    </w:p>
    <w:p w:rsidR="00BF7745" w:rsidRPr="00987E4F" w:rsidRDefault="00BF7745">
      <w:pPr>
        <w:pStyle w:val="BlockText"/>
        <w:tabs>
          <w:tab w:val="left" w:pos="11520"/>
        </w:tabs>
        <w:ind w:left="360" w:right="-29" w:firstLine="0"/>
        <w:rPr>
          <w:sz w:val="22"/>
          <w:szCs w:val="22"/>
        </w:rPr>
      </w:pPr>
      <w:r w:rsidRPr="00987E4F">
        <w:rPr>
          <w:sz w:val="22"/>
          <w:szCs w:val="22"/>
        </w:rPr>
        <w:t>James Davis</w:t>
      </w:r>
    </w:p>
    <w:p w:rsidR="00BF7745" w:rsidRPr="00987E4F" w:rsidRDefault="00BF7745">
      <w:pPr>
        <w:pStyle w:val="BlockText"/>
        <w:tabs>
          <w:tab w:val="left" w:pos="11520"/>
        </w:tabs>
        <w:ind w:left="360" w:right="-29" w:firstLine="0"/>
        <w:rPr>
          <w:sz w:val="22"/>
          <w:szCs w:val="22"/>
        </w:rPr>
      </w:pPr>
      <w:r w:rsidRPr="00987E4F">
        <w:rPr>
          <w:sz w:val="22"/>
          <w:szCs w:val="22"/>
        </w:rPr>
        <w:t>5 Ironwood Way</w:t>
      </w:r>
    </w:p>
    <w:p w:rsidR="00BF7745" w:rsidRPr="00987E4F" w:rsidRDefault="00BF7745">
      <w:pPr>
        <w:pStyle w:val="BlockText"/>
        <w:tabs>
          <w:tab w:val="left" w:pos="11520"/>
        </w:tabs>
        <w:ind w:left="360" w:right="-29" w:firstLine="0"/>
        <w:rPr>
          <w:sz w:val="22"/>
          <w:szCs w:val="22"/>
        </w:rPr>
      </w:pPr>
      <w:r w:rsidRPr="00987E4F">
        <w:rPr>
          <w:sz w:val="22"/>
          <w:szCs w:val="22"/>
        </w:rPr>
        <w:t>Columbia, South Carolina 29209</w:t>
      </w:r>
    </w:p>
    <w:p w:rsidR="00BF7745" w:rsidRPr="00987E4F" w:rsidRDefault="00BF7745">
      <w:pPr>
        <w:pStyle w:val="BlockText"/>
        <w:tabs>
          <w:tab w:val="left" w:pos="11520"/>
        </w:tabs>
        <w:ind w:left="360" w:right="-29" w:firstLine="0"/>
        <w:rPr>
          <w:sz w:val="22"/>
          <w:szCs w:val="22"/>
        </w:rPr>
      </w:pPr>
    </w:p>
    <w:p w:rsidR="00BF7745" w:rsidRPr="00987E4F" w:rsidRDefault="00BF7745">
      <w:pPr>
        <w:pStyle w:val="BlockText"/>
        <w:tabs>
          <w:tab w:val="left" w:pos="11520"/>
        </w:tabs>
        <w:ind w:left="360" w:right="-29" w:firstLine="0"/>
        <w:rPr>
          <w:sz w:val="22"/>
          <w:szCs w:val="22"/>
        </w:rPr>
      </w:pPr>
      <w:r w:rsidRPr="00987E4F">
        <w:rPr>
          <w:sz w:val="22"/>
          <w:szCs w:val="22"/>
        </w:rPr>
        <w:t>LaTonya Howard</w:t>
      </w:r>
    </w:p>
    <w:p w:rsidR="00BF7745" w:rsidRPr="00987E4F" w:rsidRDefault="00BF7745">
      <w:pPr>
        <w:pStyle w:val="BlockText"/>
        <w:tabs>
          <w:tab w:val="left" w:pos="11520"/>
        </w:tabs>
        <w:ind w:left="360" w:right="-29" w:firstLine="0"/>
        <w:rPr>
          <w:sz w:val="22"/>
          <w:szCs w:val="22"/>
        </w:rPr>
      </w:pPr>
      <w:r w:rsidRPr="00987E4F">
        <w:rPr>
          <w:sz w:val="22"/>
          <w:szCs w:val="22"/>
        </w:rPr>
        <w:t>18915 Littlefield Street</w:t>
      </w:r>
    </w:p>
    <w:p w:rsidR="00BF7745" w:rsidRPr="00987E4F" w:rsidRDefault="00BF7745">
      <w:pPr>
        <w:pStyle w:val="BlockText"/>
        <w:tabs>
          <w:tab w:val="left" w:pos="11520"/>
        </w:tabs>
        <w:ind w:left="360" w:right="-29" w:firstLine="0"/>
        <w:rPr>
          <w:sz w:val="22"/>
          <w:szCs w:val="22"/>
        </w:rPr>
      </w:pPr>
      <w:r w:rsidRPr="00987E4F">
        <w:rPr>
          <w:sz w:val="22"/>
          <w:szCs w:val="22"/>
        </w:rPr>
        <w:t>Detroit, Michigan  48235</w:t>
      </w:r>
    </w:p>
    <w:p w:rsidR="006A6DD7" w:rsidRDefault="006A6DD7">
      <w:pPr>
        <w:pStyle w:val="BlockText"/>
        <w:tabs>
          <w:tab w:val="left" w:pos="11520"/>
        </w:tabs>
        <w:ind w:left="360" w:right="-29" w:firstLine="0"/>
        <w:rPr>
          <w:sz w:val="20"/>
        </w:rPr>
      </w:pPr>
    </w:p>
    <w:p w:rsidR="006A6DD7" w:rsidRDefault="006A6DD7">
      <w:pPr>
        <w:pStyle w:val="BlockText"/>
        <w:numPr>
          <w:ilvl w:val="0"/>
          <w:numId w:val="15"/>
        </w:numPr>
        <w:tabs>
          <w:tab w:val="left" w:pos="11520"/>
        </w:tabs>
        <w:ind w:right="-29"/>
        <w:rPr>
          <w:sz w:val="22"/>
        </w:rPr>
      </w:pPr>
      <w:r>
        <w:rPr>
          <w:sz w:val="22"/>
        </w:rPr>
        <w:t>There are no additional costs to the respondents.</w:t>
      </w:r>
    </w:p>
    <w:p w:rsidR="006A6DD7" w:rsidRDefault="006A6DD7">
      <w:pPr>
        <w:pStyle w:val="BlockText"/>
        <w:tabs>
          <w:tab w:val="left" w:pos="11520"/>
        </w:tabs>
        <w:ind w:left="360" w:right="-29" w:hanging="360"/>
        <w:rPr>
          <w:sz w:val="22"/>
        </w:rPr>
      </w:pPr>
    </w:p>
    <w:p w:rsidR="006A6DD7" w:rsidRDefault="006A6DD7">
      <w:pPr>
        <w:pStyle w:val="BlockText"/>
        <w:numPr>
          <w:ilvl w:val="0"/>
          <w:numId w:val="15"/>
        </w:numPr>
        <w:tabs>
          <w:tab w:val="left" w:pos="11520"/>
        </w:tabs>
        <w:ind w:right="-29"/>
        <w:rPr>
          <w:sz w:val="22"/>
        </w:rPr>
      </w:pPr>
      <w:r>
        <w:rPr>
          <w:sz w:val="22"/>
        </w:rPr>
        <w:t>Estimated annualized cost to the Federal Government:</w:t>
      </w:r>
    </w:p>
    <w:p w:rsidR="006A6DD7" w:rsidRDefault="006A6DD7">
      <w:pPr>
        <w:pStyle w:val="BlockText"/>
        <w:tabs>
          <w:tab w:val="left" w:pos="11520"/>
        </w:tabs>
        <w:ind w:left="360" w:right="-29" w:hanging="360"/>
        <w:rPr>
          <w:sz w:val="22"/>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890"/>
        <w:gridCol w:w="1800"/>
        <w:gridCol w:w="1530"/>
        <w:gridCol w:w="990"/>
        <w:gridCol w:w="1170"/>
      </w:tblGrid>
      <w:tr w:rsidR="006A6DD7">
        <w:tblPrEx>
          <w:tblCellMar>
            <w:top w:w="0" w:type="dxa"/>
            <w:bottom w:w="0" w:type="dxa"/>
          </w:tblCellMar>
        </w:tblPrEx>
        <w:tc>
          <w:tcPr>
            <w:tcW w:w="3060" w:type="dxa"/>
          </w:tcPr>
          <w:p w:rsidR="006A6DD7" w:rsidRDefault="006A6DD7">
            <w:pPr>
              <w:tabs>
                <w:tab w:val="left" w:pos="11520"/>
              </w:tabs>
              <w:ind w:right="-29"/>
              <w:jc w:val="center"/>
              <w:rPr>
                <w:rFonts w:ascii="Arial" w:hAnsi="Arial" w:cs="Arial"/>
                <w:color w:val="000000"/>
                <w:sz w:val="18"/>
              </w:rPr>
            </w:pPr>
          </w:p>
        </w:tc>
        <w:tc>
          <w:tcPr>
            <w:tcW w:w="1890" w:type="dxa"/>
          </w:tcPr>
          <w:p w:rsidR="006A6DD7" w:rsidRDefault="006A6DD7">
            <w:pPr>
              <w:tabs>
                <w:tab w:val="left" w:pos="11520"/>
              </w:tabs>
              <w:ind w:right="-29"/>
              <w:jc w:val="center"/>
              <w:rPr>
                <w:rFonts w:ascii="Arial" w:hAnsi="Arial" w:cs="Arial"/>
                <w:color w:val="000000"/>
                <w:sz w:val="18"/>
              </w:rPr>
            </w:pPr>
            <w:r>
              <w:rPr>
                <w:rFonts w:ascii="Arial" w:hAnsi="Arial" w:cs="Arial"/>
                <w:color w:val="000000"/>
                <w:sz w:val="18"/>
              </w:rPr>
              <w:t>Responses Per Annum</w:t>
            </w:r>
          </w:p>
        </w:tc>
        <w:tc>
          <w:tcPr>
            <w:tcW w:w="1800" w:type="dxa"/>
          </w:tcPr>
          <w:p w:rsidR="006A6DD7" w:rsidRDefault="006A6DD7">
            <w:pPr>
              <w:tabs>
                <w:tab w:val="left" w:pos="11520"/>
              </w:tabs>
              <w:ind w:right="-29"/>
              <w:jc w:val="center"/>
              <w:rPr>
                <w:rFonts w:ascii="Arial" w:hAnsi="Arial" w:cs="Arial"/>
                <w:color w:val="000000"/>
                <w:sz w:val="18"/>
              </w:rPr>
            </w:pPr>
            <w:r>
              <w:rPr>
                <w:rFonts w:ascii="Arial" w:hAnsi="Arial" w:cs="Arial"/>
                <w:color w:val="000000"/>
                <w:sz w:val="18"/>
              </w:rPr>
              <w:t>Burden Hour Per Response</w:t>
            </w:r>
          </w:p>
        </w:tc>
        <w:tc>
          <w:tcPr>
            <w:tcW w:w="1530" w:type="dxa"/>
          </w:tcPr>
          <w:p w:rsidR="006A6DD7" w:rsidRDefault="006A6DD7">
            <w:pPr>
              <w:tabs>
                <w:tab w:val="left" w:pos="11520"/>
              </w:tabs>
              <w:ind w:right="-29"/>
              <w:jc w:val="center"/>
              <w:rPr>
                <w:rFonts w:ascii="Arial" w:hAnsi="Arial" w:cs="Arial"/>
                <w:color w:val="000000"/>
                <w:sz w:val="18"/>
              </w:rPr>
            </w:pPr>
            <w:r>
              <w:rPr>
                <w:rFonts w:ascii="Arial" w:hAnsi="Arial" w:cs="Arial"/>
                <w:color w:val="000000"/>
                <w:sz w:val="18"/>
              </w:rPr>
              <w:t>Annual Burden Hours</w:t>
            </w:r>
          </w:p>
        </w:tc>
        <w:tc>
          <w:tcPr>
            <w:tcW w:w="990" w:type="dxa"/>
          </w:tcPr>
          <w:p w:rsidR="006A6DD7" w:rsidRDefault="006A6DD7">
            <w:pPr>
              <w:tabs>
                <w:tab w:val="left" w:pos="11520"/>
              </w:tabs>
              <w:ind w:right="-29"/>
              <w:jc w:val="center"/>
              <w:rPr>
                <w:rFonts w:ascii="Arial" w:hAnsi="Arial" w:cs="Arial"/>
                <w:color w:val="000000"/>
                <w:sz w:val="18"/>
              </w:rPr>
            </w:pPr>
            <w:r>
              <w:rPr>
                <w:rFonts w:ascii="Arial" w:hAnsi="Arial" w:cs="Arial"/>
                <w:color w:val="000000"/>
                <w:sz w:val="18"/>
              </w:rPr>
              <w:t>Hourly Cost</w:t>
            </w:r>
          </w:p>
        </w:tc>
        <w:tc>
          <w:tcPr>
            <w:tcW w:w="1170" w:type="dxa"/>
          </w:tcPr>
          <w:p w:rsidR="006A6DD7" w:rsidRDefault="006A6DD7">
            <w:pPr>
              <w:tabs>
                <w:tab w:val="left" w:pos="11520"/>
              </w:tabs>
              <w:ind w:right="-29"/>
              <w:jc w:val="center"/>
              <w:rPr>
                <w:rFonts w:ascii="Arial" w:hAnsi="Arial" w:cs="Arial"/>
                <w:color w:val="000000"/>
                <w:sz w:val="18"/>
              </w:rPr>
            </w:pPr>
            <w:r>
              <w:rPr>
                <w:rFonts w:ascii="Arial" w:hAnsi="Arial" w:cs="Arial"/>
                <w:color w:val="000000"/>
                <w:sz w:val="18"/>
              </w:rPr>
              <w:t>Annual Cost</w:t>
            </w:r>
          </w:p>
        </w:tc>
      </w:tr>
      <w:tr w:rsidR="006A6DD7">
        <w:tblPrEx>
          <w:tblCellMar>
            <w:top w:w="0" w:type="dxa"/>
            <w:bottom w:w="0" w:type="dxa"/>
          </w:tblCellMar>
        </w:tblPrEx>
        <w:tc>
          <w:tcPr>
            <w:tcW w:w="3060" w:type="dxa"/>
            <w:vAlign w:val="center"/>
          </w:tcPr>
          <w:p w:rsidR="006A6DD7" w:rsidRDefault="006A6DD7">
            <w:pPr>
              <w:tabs>
                <w:tab w:val="left" w:pos="11520"/>
              </w:tabs>
              <w:spacing w:before="60"/>
              <w:ind w:right="-29"/>
              <w:rPr>
                <w:rFonts w:ascii="Arial" w:hAnsi="Arial" w:cs="Arial"/>
                <w:color w:val="000000"/>
                <w:sz w:val="18"/>
              </w:rPr>
            </w:pPr>
            <w:r>
              <w:rPr>
                <w:rFonts w:ascii="Arial" w:hAnsi="Arial" w:cs="Arial"/>
                <w:color w:val="000000"/>
                <w:sz w:val="18"/>
              </w:rPr>
              <w:t>Letter to HUD and HUD-9539</w:t>
            </w:r>
          </w:p>
        </w:tc>
        <w:tc>
          <w:tcPr>
            <w:tcW w:w="1890" w:type="dxa"/>
            <w:vAlign w:val="center"/>
          </w:tcPr>
          <w:p w:rsidR="006A6DD7" w:rsidRPr="003736B1" w:rsidRDefault="003736B1">
            <w:pPr>
              <w:tabs>
                <w:tab w:val="left" w:pos="11520"/>
              </w:tabs>
              <w:spacing w:before="60"/>
              <w:ind w:right="162"/>
              <w:jc w:val="right"/>
              <w:rPr>
                <w:rFonts w:ascii="Arial" w:hAnsi="Arial" w:cs="Arial"/>
                <w:color w:val="FF0000"/>
              </w:rPr>
            </w:pPr>
            <w:r w:rsidRPr="003736B1">
              <w:rPr>
                <w:rFonts w:ascii="Arial" w:hAnsi="Arial" w:cs="Arial"/>
                <w:color w:val="FF0000"/>
              </w:rPr>
              <w:t>3380</w:t>
            </w:r>
          </w:p>
        </w:tc>
        <w:tc>
          <w:tcPr>
            <w:tcW w:w="1800" w:type="dxa"/>
            <w:vAlign w:val="center"/>
          </w:tcPr>
          <w:p w:rsidR="006A6DD7" w:rsidRDefault="006A6DD7">
            <w:pPr>
              <w:tabs>
                <w:tab w:val="left" w:pos="11520"/>
              </w:tabs>
              <w:spacing w:before="60"/>
              <w:ind w:right="252"/>
              <w:jc w:val="right"/>
              <w:rPr>
                <w:rFonts w:ascii="Arial" w:hAnsi="Arial" w:cs="Arial"/>
                <w:color w:val="000000"/>
              </w:rPr>
            </w:pPr>
            <w:r>
              <w:rPr>
                <w:rFonts w:ascii="Arial" w:hAnsi="Arial" w:cs="Arial"/>
                <w:color w:val="000000"/>
              </w:rPr>
              <w:t>.25</w:t>
            </w:r>
          </w:p>
        </w:tc>
        <w:tc>
          <w:tcPr>
            <w:tcW w:w="1530" w:type="dxa"/>
            <w:vAlign w:val="center"/>
          </w:tcPr>
          <w:p w:rsidR="006A6DD7" w:rsidRPr="003736B1" w:rsidRDefault="003736B1">
            <w:pPr>
              <w:tabs>
                <w:tab w:val="left" w:pos="11520"/>
              </w:tabs>
              <w:spacing w:before="60"/>
              <w:ind w:right="122"/>
              <w:jc w:val="right"/>
              <w:rPr>
                <w:rFonts w:ascii="Arial" w:hAnsi="Arial" w:cs="Arial"/>
                <w:color w:val="FF0000"/>
              </w:rPr>
            </w:pPr>
            <w:r w:rsidRPr="003736B1">
              <w:rPr>
                <w:rFonts w:ascii="Arial" w:hAnsi="Arial" w:cs="Arial"/>
                <w:color w:val="FF0000"/>
              </w:rPr>
              <w:t>845</w:t>
            </w:r>
          </w:p>
        </w:tc>
        <w:tc>
          <w:tcPr>
            <w:tcW w:w="990" w:type="dxa"/>
            <w:vAlign w:val="center"/>
          </w:tcPr>
          <w:p w:rsidR="006A6DD7" w:rsidRDefault="00987E4F" w:rsidP="002E5402">
            <w:pPr>
              <w:tabs>
                <w:tab w:val="left" w:pos="742"/>
                <w:tab w:val="left" w:pos="11520"/>
              </w:tabs>
              <w:spacing w:before="60"/>
              <w:ind w:right="40"/>
              <w:jc w:val="right"/>
              <w:rPr>
                <w:rFonts w:ascii="Arial" w:hAnsi="Arial" w:cs="Arial"/>
                <w:color w:val="000000"/>
              </w:rPr>
            </w:pPr>
            <w:r>
              <w:rPr>
                <w:rFonts w:ascii="Arial" w:hAnsi="Arial" w:cs="Arial"/>
                <w:color w:val="000000"/>
              </w:rPr>
              <w:t>$</w:t>
            </w:r>
            <w:r w:rsidR="00541355">
              <w:rPr>
                <w:rFonts w:ascii="Arial" w:hAnsi="Arial" w:cs="Arial"/>
                <w:color w:val="000000"/>
              </w:rPr>
              <w:t>19.62</w:t>
            </w:r>
          </w:p>
        </w:tc>
        <w:tc>
          <w:tcPr>
            <w:tcW w:w="1170" w:type="dxa"/>
            <w:vAlign w:val="center"/>
          </w:tcPr>
          <w:p w:rsidR="006A6DD7" w:rsidRPr="003736B1" w:rsidRDefault="006A6DD7" w:rsidP="003736B1">
            <w:pPr>
              <w:tabs>
                <w:tab w:val="left" w:pos="11520"/>
              </w:tabs>
              <w:spacing w:before="60"/>
              <w:ind w:right="-29"/>
              <w:jc w:val="right"/>
              <w:rPr>
                <w:rFonts w:ascii="Arial" w:hAnsi="Arial" w:cs="Arial"/>
                <w:color w:val="FF0000"/>
              </w:rPr>
            </w:pPr>
            <w:r w:rsidRPr="003736B1">
              <w:rPr>
                <w:rFonts w:ascii="Arial" w:hAnsi="Arial" w:cs="Arial"/>
                <w:color w:val="FF0000"/>
              </w:rPr>
              <w:t>$</w:t>
            </w:r>
            <w:r w:rsidR="003736B1" w:rsidRPr="003736B1">
              <w:rPr>
                <w:rFonts w:ascii="Arial" w:hAnsi="Arial" w:cs="Arial"/>
                <w:color w:val="FF0000"/>
              </w:rPr>
              <w:t>16,579</w:t>
            </w:r>
          </w:p>
        </w:tc>
      </w:tr>
    </w:tbl>
    <w:p w:rsidR="006A6DD7" w:rsidRDefault="006A6DD7">
      <w:pPr>
        <w:pStyle w:val="BlockText"/>
        <w:tabs>
          <w:tab w:val="left" w:pos="11520"/>
        </w:tabs>
        <w:ind w:left="720" w:right="-29" w:hanging="360"/>
        <w:rPr>
          <w:sz w:val="20"/>
        </w:rPr>
      </w:pPr>
      <w:r>
        <w:rPr>
          <w:sz w:val="20"/>
        </w:rPr>
        <w:t>The hourly rate is based upon the annual sala</w:t>
      </w:r>
      <w:r w:rsidR="00987E4F">
        <w:rPr>
          <w:sz w:val="20"/>
        </w:rPr>
        <w:t xml:space="preserve">ry of a Realty Specialty, GS-9, </w:t>
      </w:r>
      <w:proofErr w:type="gramStart"/>
      <w:r>
        <w:rPr>
          <w:sz w:val="20"/>
        </w:rPr>
        <w:t>Step</w:t>
      </w:r>
      <w:proofErr w:type="gramEnd"/>
      <w:r>
        <w:rPr>
          <w:sz w:val="20"/>
        </w:rPr>
        <w:t xml:space="preserve"> 1.</w:t>
      </w:r>
    </w:p>
    <w:p w:rsidR="006A6DD7" w:rsidRDefault="00BF7745">
      <w:pPr>
        <w:pStyle w:val="BlockText"/>
        <w:tabs>
          <w:tab w:val="left" w:pos="11520"/>
        </w:tabs>
        <w:ind w:left="0" w:right="-29" w:firstLine="0"/>
        <w:rPr>
          <w:sz w:val="22"/>
        </w:rPr>
      </w:pPr>
      <w:r>
        <w:rPr>
          <w:sz w:val="22"/>
        </w:rPr>
        <w:br w:type="page"/>
      </w:r>
    </w:p>
    <w:p w:rsidR="002522ED" w:rsidRDefault="003736B1">
      <w:pPr>
        <w:pStyle w:val="BlockText"/>
        <w:numPr>
          <w:ilvl w:val="0"/>
          <w:numId w:val="15"/>
        </w:numPr>
        <w:tabs>
          <w:tab w:val="left" w:pos="11520"/>
        </w:tabs>
        <w:ind w:right="-29"/>
        <w:rPr>
          <w:sz w:val="22"/>
        </w:rPr>
      </w:pPr>
      <w:r>
        <w:rPr>
          <w:sz w:val="22"/>
        </w:rPr>
        <w:t xml:space="preserve">This is a </w:t>
      </w:r>
      <w:r w:rsidRPr="003736B1">
        <w:rPr>
          <w:color w:val="FF0000"/>
          <w:sz w:val="22"/>
        </w:rPr>
        <w:t>revision</w:t>
      </w:r>
      <w:r w:rsidR="006A6DD7">
        <w:rPr>
          <w:sz w:val="22"/>
        </w:rPr>
        <w:t xml:space="preserve"> of a currently approved collection. </w:t>
      </w:r>
      <w:r w:rsidR="002522ED">
        <w:rPr>
          <w:sz w:val="22"/>
        </w:rPr>
        <w:t>There has been a significant decrease in the number of respondents, as HUD’s Management and Marketing (M&amp;M) contractors</w:t>
      </w:r>
      <w:r w:rsidR="00151A75">
        <w:rPr>
          <w:sz w:val="22"/>
        </w:rPr>
        <w:t>,</w:t>
      </w:r>
      <w:r w:rsidR="002522ED">
        <w:rPr>
          <w:sz w:val="22"/>
        </w:rPr>
        <w:t xml:space="preserve"> and the loan servicers have very clearly </w:t>
      </w:r>
    </w:p>
    <w:p w:rsidR="00151A75" w:rsidRDefault="002522ED" w:rsidP="00987E4F">
      <w:pPr>
        <w:pStyle w:val="BlockText"/>
        <w:tabs>
          <w:tab w:val="left" w:pos="11520"/>
        </w:tabs>
        <w:ind w:left="360" w:right="-29" w:firstLine="0"/>
        <w:rPr>
          <w:sz w:val="22"/>
        </w:rPr>
      </w:pPr>
      <w:proofErr w:type="gramStart"/>
      <w:r>
        <w:rPr>
          <w:sz w:val="22"/>
        </w:rPr>
        <w:t>conveyed</w:t>
      </w:r>
      <w:proofErr w:type="gramEnd"/>
      <w:r>
        <w:rPr>
          <w:sz w:val="22"/>
        </w:rPr>
        <w:t xml:space="preserve"> to mortgagors, the difficult and extensive financial criteria </w:t>
      </w:r>
      <w:r w:rsidR="00151A75">
        <w:rPr>
          <w:sz w:val="22"/>
        </w:rPr>
        <w:t xml:space="preserve">process </w:t>
      </w:r>
      <w:r>
        <w:rPr>
          <w:sz w:val="22"/>
        </w:rPr>
        <w:t>necessary for approval</w:t>
      </w:r>
      <w:r w:rsidR="00151A75">
        <w:rPr>
          <w:sz w:val="22"/>
        </w:rPr>
        <w:t xml:space="preserve"> of HUD 9539-</w:t>
      </w:r>
    </w:p>
    <w:p w:rsidR="00151A75" w:rsidRDefault="00151A75" w:rsidP="00987E4F">
      <w:pPr>
        <w:pStyle w:val="BlockText"/>
        <w:tabs>
          <w:tab w:val="left" w:pos="11520"/>
        </w:tabs>
        <w:ind w:left="360" w:right="-29" w:firstLine="0"/>
        <w:rPr>
          <w:sz w:val="22"/>
        </w:rPr>
      </w:pPr>
      <w:r>
        <w:rPr>
          <w:sz w:val="22"/>
        </w:rPr>
        <w:t>Request for Occupied Conveyance. Consequently, an appreciable decrease in respondents has occurred.</w:t>
      </w:r>
    </w:p>
    <w:p w:rsidR="006A6DD7" w:rsidRDefault="006A6DD7" w:rsidP="00151A75">
      <w:pPr>
        <w:pStyle w:val="BlockText"/>
        <w:tabs>
          <w:tab w:val="left" w:pos="11520"/>
        </w:tabs>
        <w:ind w:left="360" w:right="-29" w:firstLine="0"/>
        <w:rPr>
          <w:sz w:val="22"/>
        </w:rPr>
      </w:pPr>
      <w:r>
        <w:rPr>
          <w:sz w:val="22"/>
        </w:rPr>
        <w:t xml:space="preserve"> </w:t>
      </w:r>
    </w:p>
    <w:p w:rsidR="006A6DD7" w:rsidRDefault="006A6DD7">
      <w:pPr>
        <w:pStyle w:val="BodyText"/>
        <w:ind w:right="-29"/>
        <w:rPr>
          <w:sz w:val="22"/>
        </w:rPr>
      </w:pPr>
    </w:p>
    <w:p w:rsidR="006A6DD7" w:rsidRDefault="006A6DD7">
      <w:pPr>
        <w:pStyle w:val="BlockText"/>
        <w:numPr>
          <w:ilvl w:val="0"/>
          <w:numId w:val="15"/>
        </w:numPr>
        <w:tabs>
          <w:tab w:val="left" w:pos="11520"/>
        </w:tabs>
        <w:ind w:right="-29"/>
        <w:rPr>
          <w:sz w:val="22"/>
        </w:rPr>
      </w:pPr>
      <w:r>
        <w:rPr>
          <w:sz w:val="22"/>
        </w:rPr>
        <w:t>This collection of information does not include results that will be published.</w:t>
      </w:r>
    </w:p>
    <w:p w:rsidR="006A6DD7" w:rsidRDefault="006A6DD7">
      <w:pPr>
        <w:pStyle w:val="BlockText"/>
        <w:tabs>
          <w:tab w:val="left" w:pos="11520"/>
        </w:tabs>
        <w:ind w:left="0" w:right="-29" w:firstLine="0"/>
        <w:rPr>
          <w:sz w:val="22"/>
        </w:rPr>
      </w:pPr>
    </w:p>
    <w:p w:rsidR="006A6DD7" w:rsidRDefault="006A6DD7">
      <w:pPr>
        <w:pStyle w:val="BlockText"/>
        <w:numPr>
          <w:ilvl w:val="0"/>
          <w:numId w:val="15"/>
        </w:numPr>
        <w:tabs>
          <w:tab w:val="left" w:pos="11520"/>
        </w:tabs>
        <w:ind w:right="-29"/>
        <w:rPr>
          <w:sz w:val="22"/>
        </w:rPr>
      </w:pPr>
      <w:r>
        <w:rPr>
          <w:sz w:val="22"/>
        </w:rPr>
        <w:t>HUD is not seeking approval to avoid displaying the expiration date of the OMB approval.</w:t>
      </w:r>
    </w:p>
    <w:p w:rsidR="006A6DD7" w:rsidRDefault="006A6DD7">
      <w:pPr>
        <w:pStyle w:val="BlockText"/>
        <w:tabs>
          <w:tab w:val="left" w:pos="11520"/>
        </w:tabs>
        <w:ind w:left="0" w:right="-29" w:firstLine="0"/>
        <w:rPr>
          <w:sz w:val="22"/>
        </w:rPr>
      </w:pPr>
    </w:p>
    <w:p w:rsidR="006A6DD7" w:rsidRDefault="006A6DD7">
      <w:pPr>
        <w:pStyle w:val="BlockText"/>
        <w:numPr>
          <w:ilvl w:val="0"/>
          <w:numId w:val="15"/>
        </w:numPr>
        <w:tabs>
          <w:tab w:val="left" w:pos="11520"/>
        </w:tabs>
        <w:ind w:right="-29"/>
        <w:rPr>
          <w:sz w:val="22"/>
        </w:rPr>
      </w:pPr>
      <w:r>
        <w:rPr>
          <w:sz w:val="22"/>
        </w:rPr>
        <w:t>There are no exceptions to the certification statement.</w:t>
      </w:r>
    </w:p>
    <w:p w:rsidR="006A6DD7" w:rsidRDefault="006A6DD7">
      <w:pPr>
        <w:tabs>
          <w:tab w:val="left" w:pos="360"/>
          <w:tab w:val="left" w:pos="720"/>
          <w:tab w:val="left" w:pos="11520"/>
        </w:tabs>
        <w:ind w:right="-29"/>
        <w:rPr>
          <w:color w:val="000000"/>
          <w:sz w:val="22"/>
        </w:rPr>
      </w:pPr>
    </w:p>
    <w:p w:rsidR="006A6DD7" w:rsidRDefault="006A6DD7">
      <w:pPr>
        <w:tabs>
          <w:tab w:val="left" w:pos="360"/>
          <w:tab w:val="left" w:pos="720"/>
          <w:tab w:val="left" w:pos="11520"/>
        </w:tabs>
        <w:ind w:right="-29"/>
        <w:rPr>
          <w:color w:val="000000"/>
          <w:sz w:val="22"/>
        </w:rPr>
      </w:pPr>
    </w:p>
    <w:p w:rsidR="006A6DD7" w:rsidRDefault="006A6DD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ind w:right="-29"/>
        <w:rPr>
          <w:color w:val="000000"/>
          <w:sz w:val="22"/>
        </w:rPr>
      </w:pPr>
      <w:r>
        <w:rPr>
          <w:b/>
          <w:color w:val="000000"/>
          <w:sz w:val="22"/>
        </w:rPr>
        <w:t xml:space="preserve">B. </w:t>
      </w:r>
      <w:r>
        <w:rPr>
          <w:b/>
          <w:color w:val="000000"/>
          <w:sz w:val="22"/>
        </w:rPr>
        <w:tab/>
        <w:t>Collections of Information Employing Statistical Methods</w:t>
      </w:r>
    </w:p>
    <w:p w:rsidR="006A6DD7" w:rsidRDefault="006A6DD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ind w:left="720" w:right="-29"/>
        <w:rPr>
          <w:color w:val="000000"/>
          <w:sz w:val="22"/>
        </w:rPr>
      </w:pPr>
    </w:p>
    <w:p w:rsidR="006A6DD7" w:rsidRDefault="006A6DD7" w:rsidP="00E803DB">
      <w:pPr>
        <w:keepLines/>
        <w:tabs>
          <w:tab w:val="left" w:pos="360"/>
          <w:tab w:val="left" w:pos="720"/>
          <w:tab w:val="left" w:pos="11520"/>
        </w:tabs>
        <w:ind w:left="360" w:right="-29"/>
        <w:rPr>
          <w:color w:val="000000"/>
          <w:sz w:val="22"/>
        </w:rPr>
      </w:pPr>
      <w:r>
        <w:rPr>
          <w:color w:val="000000"/>
          <w:sz w:val="22"/>
        </w:rPr>
        <w:t>This collection of information does not employ statistical methods.</w:t>
      </w:r>
    </w:p>
    <w:sectPr w:rsidR="006A6DD7">
      <w:footerReference w:type="default" r:id="rId7"/>
      <w:pgSz w:w="12240" w:h="15840"/>
      <w:pgMar w:top="475" w:right="864" w:bottom="475" w:left="605" w:header="475" w:footer="475" w:gutter="0"/>
      <w:cols w:space="480" w:equalWidth="0">
        <w:col w:w="10656"/>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090" w:rsidRDefault="00963090">
      <w:r>
        <w:separator/>
      </w:r>
    </w:p>
  </w:endnote>
  <w:endnote w:type="continuationSeparator" w:id="0">
    <w:p w:rsidR="00963090" w:rsidRDefault="00963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E5" w:rsidRDefault="00BB4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0D59">
      <w:rPr>
        <w:rStyle w:val="PageNumber"/>
        <w:noProof/>
      </w:rPr>
      <w:t>2</w:t>
    </w:r>
    <w:r>
      <w:rPr>
        <w:rStyle w:val="PageNumber"/>
      </w:rPr>
      <w:fldChar w:fldCharType="end"/>
    </w:r>
  </w:p>
  <w:p w:rsidR="00BB4AE5" w:rsidRDefault="00BB4AE5">
    <w:pPr>
      <w:pStyle w:val="Footer"/>
      <w:pBdr>
        <w:top w:val="single" w:sz="6" w:space="1" w:color="auto"/>
      </w:pBdr>
      <w:tabs>
        <w:tab w:val="clear" w:pos="4320"/>
        <w:tab w:val="clear" w:pos="8640"/>
        <w:tab w:val="right" w:pos="10920"/>
      </w:tabs>
      <w:ind w:left="-120" w:right="-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090" w:rsidRDefault="00963090">
      <w:r>
        <w:separator/>
      </w:r>
    </w:p>
  </w:footnote>
  <w:footnote w:type="continuationSeparator" w:id="0">
    <w:p w:rsidR="00963090" w:rsidRDefault="009630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CC20FC9"/>
    <w:multiLevelType w:val="hybridMultilevel"/>
    <w:tmpl w:val="9924A540"/>
    <w:lvl w:ilvl="0" w:tplc="450C4246">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719510C"/>
    <w:multiLevelType w:val="hybridMultilevel"/>
    <w:tmpl w:val="F4A2B6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D70A19"/>
    <w:multiLevelType w:val="hybridMultilevel"/>
    <w:tmpl w:val="269EBF7A"/>
    <w:lvl w:ilvl="0" w:tplc="450C4246">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703CFB"/>
    <w:multiLevelType w:val="hybridMultilevel"/>
    <w:tmpl w:val="68D4233A"/>
    <w:lvl w:ilvl="0" w:tplc="450C4246">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8119D7"/>
    <w:multiLevelType w:val="hybridMultilevel"/>
    <w:tmpl w:val="1F043F1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47CF7"/>
    <w:multiLevelType w:val="hybridMultilevel"/>
    <w:tmpl w:val="336E8A0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A105F5"/>
    <w:multiLevelType w:val="hybridMultilevel"/>
    <w:tmpl w:val="F252EF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E34FF2"/>
    <w:multiLevelType w:val="hybridMultilevel"/>
    <w:tmpl w:val="17EAD9CE"/>
    <w:lvl w:ilvl="0" w:tplc="0409000F">
      <w:start w:val="8"/>
      <w:numFmt w:val="decimal"/>
      <w:lvlText w:val="%1."/>
      <w:lvlJc w:val="left"/>
      <w:pPr>
        <w:tabs>
          <w:tab w:val="num" w:pos="720"/>
        </w:tabs>
        <w:ind w:left="720" w:hanging="360"/>
      </w:pPr>
      <w:rPr>
        <w:rFonts w:hint="default"/>
      </w:rPr>
    </w:lvl>
    <w:lvl w:ilvl="1" w:tplc="6C603950">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8903A3"/>
    <w:multiLevelType w:val="hybridMultilevel"/>
    <w:tmpl w:val="1D7A2F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933981"/>
    <w:multiLevelType w:val="hybridMultilevel"/>
    <w:tmpl w:val="950C9422"/>
    <w:lvl w:ilvl="0" w:tplc="FA1E1452">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2DF3DF3"/>
    <w:multiLevelType w:val="hybridMultilevel"/>
    <w:tmpl w:val="C8B8CE48"/>
    <w:lvl w:ilvl="0" w:tplc="450C4246">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8"/>
  </w:num>
  <w:num w:numId="3">
    <w:abstractNumId w:val="1"/>
  </w:num>
  <w:num w:numId="4">
    <w:abstractNumId w:val="17"/>
  </w:num>
  <w:num w:numId="5">
    <w:abstractNumId w:val="16"/>
  </w:num>
  <w:num w:numId="6">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11"/>
  </w:num>
  <w:num w:numId="11">
    <w:abstractNumId w:val="7"/>
  </w:num>
  <w:num w:numId="12">
    <w:abstractNumId w:val="10"/>
  </w:num>
  <w:num w:numId="13">
    <w:abstractNumId w:val="9"/>
  </w:num>
  <w:num w:numId="14">
    <w:abstractNumId w:val="8"/>
  </w:num>
  <w:num w:numId="15">
    <w:abstractNumId w:val="2"/>
  </w:num>
  <w:num w:numId="16">
    <w:abstractNumId w:val="14"/>
  </w:num>
  <w:num w:numId="17">
    <w:abstractNumId w:val="4"/>
  </w:num>
  <w:num w:numId="18">
    <w:abstractNumId w:val="15"/>
  </w:num>
  <w:num w:numId="19">
    <w:abstractNumId w:val="5"/>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36505"/>
    <w:rsid w:val="00085334"/>
    <w:rsid w:val="00151A75"/>
    <w:rsid w:val="001F1C46"/>
    <w:rsid w:val="00236505"/>
    <w:rsid w:val="002522ED"/>
    <w:rsid w:val="002E5402"/>
    <w:rsid w:val="00367358"/>
    <w:rsid w:val="003736B1"/>
    <w:rsid w:val="00464835"/>
    <w:rsid w:val="004814C4"/>
    <w:rsid w:val="005075B9"/>
    <w:rsid w:val="00541355"/>
    <w:rsid w:val="0057668F"/>
    <w:rsid w:val="00583F59"/>
    <w:rsid w:val="005941D9"/>
    <w:rsid w:val="005B4020"/>
    <w:rsid w:val="00620D59"/>
    <w:rsid w:val="006225CA"/>
    <w:rsid w:val="00676D13"/>
    <w:rsid w:val="006A0FCB"/>
    <w:rsid w:val="006A6DD7"/>
    <w:rsid w:val="006F1BCE"/>
    <w:rsid w:val="00710F57"/>
    <w:rsid w:val="007A222A"/>
    <w:rsid w:val="007A7B24"/>
    <w:rsid w:val="007C2535"/>
    <w:rsid w:val="00804899"/>
    <w:rsid w:val="00963090"/>
    <w:rsid w:val="00986EE3"/>
    <w:rsid w:val="00987E4F"/>
    <w:rsid w:val="00BB4AE5"/>
    <w:rsid w:val="00BF7745"/>
    <w:rsid w:val="00C959BF"/>
    <w:rsid w:val="00CB0D02"/>
    <w:rsid w:val="00CE2161"/>
    <w:rsid w:val="00DA1651"/>
    <w:rsid w:val="00DA30C4"/>
    <w:rsid w:val="00DB1020"/>
    <w:rsid w:val="00DB3A46"/>
    <w:rsid w:val="00E803DB"/>
    <w:rsid w:val="00EE54BA"/>
    <w:rsid w:val="00F17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rFonts w:ascii="Helvetica" w:hAnsi="Helvetica"/>
      <w:b/>
      <w:sz w:val="28"/>
    </w:rPr>
  </w:style>
  <w:style w:type="paragraph" w:styleId="BodyText">
    <w:name w:val="Body Text"/>
    <w:basedOn w:val="Normal"/>
    <w:semiHidden/>
    <w:pPr>
      <w:overflowPunct/>
      <w:autoSpaceDE/>
      <w:autoSpaceDN/>
      <w:adjustRightInd/>
      <w:ind w:right="-540"/>
      <w:textAlignment w:val="auto"/>
    </w:pPr>
    <w:rPr>
      <w:sz w:val="24"/>
      <w:szCs w:val="24"/>
    </w:rPr>
  </w:style>
  <w:style w:type="paragraph" w:styleId="BlockText">
    <w:name w:val="Block Text"/>
    <w:basedOn w:val="Normal"/>
    <w:semiHidden/>
    <w:pPr>
      <w:overflowPunct/>
      <w:autoSpaceDE/>
      <w:autoSpaceDN/>
      <w:adjustRightInd/>
      <w:ind w:left="1800" w:right="-540" w:hanging="720"/>
      <w:textAlignment w:val="auto"/>
    </w:pPr>
    <w:rPr>
      <w:sz w:val="24"/>
      <w:szCs w:val="24"/>
    </w:rPr>
  </w:style>
  <w:style w:type="paragraph" w:styleId="BodyText2">
    <w:name w:val="Body Text 2"/>
    <w:basedOn w:val="Normal"/>
    <w:semiHidden/>
    <w:pPr>
      <w:overflowPunct/>
      <w:textAlignment w:val="auto"/>
    </w:pPr>
    <w:rPr>
      <w:rFonts w:ascii="Arial" w:hAnsi="Arial" w:cs="Arial"/>
      <w:sz w:val="18"/>
      <w:szCs w:val="14"/>
    </w:rPr>
  </w:style>
  <w:style w:type="paragraph" w:styleId="DocumentMap">
    <w:name w:val="Document Map"/>
    <w:basedOn w:val="Normal"/>
    <w:semiHidden/>
    <w:pPr>
      <w:shd w:val="clear" w:color="auto" w:fill="000080"/>
    </w:pPr>
    <w:rPr>
      <w:rFonts w:ascii="Tahoma" w:hAnsi="Tahoma" w:cs="Tahoma"/>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alloonText">
    <w:name w:val="Balloon Text"/>
    <w:basedOn w:val="Normal"/>
    <w:link w:val="BalloonTextChar"/>
    <w:uiPriority w:val="99"/>
    <w:semiHidden/>
    <w:unhideWhenUsed/>
    <w:rsid w:val="002E5402"/>
    <w:rPr>
      <w:rFonts w:ascii="Tahoma" w:hAnsi="Tahoma" w:cs="Tahoma"/>
      <w:sz w:val="16"/>
      <w:szCs w:val="16"/>
    </w:rPr>
  </w:style>
  <w:style w:type="character" w:customStyle="1" w:styleId="BalloonTextChar">
    <w:name w:val="Balloon Text Char"/>
    <w:basedOn w:val="DefaultParagraphFont"/>
    <w:link w:val="BalloonText"/>
    <w:uiPriority w:val="99"/>
    <w:semiHidden/>
    <w:rsid w:val="002E54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ISPM\REPORTS\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Template>
  <TotalTime>1</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Preferred User</cp:lastModifiedBy>
  <cp:revision>2</cp:revision>
  <cp:lastPrinted>2010-03-11T15:59:00Z</cp:lastPrinted>
  <dcterms:created xsi:type="dcterms:W3CDTF">2010-03-11T16:06:00Z</dcterms:created>
  <dcterms:modified xsi:type="dcterms:W3CDTF">2010-03-11T16:06:00Z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-672007366</vt:i4>
  </property>
  <property fmtid="{D5CDD505-2E9C-101B-9397-08002B2CF9AE}" pid="3" name="_NewReviewCycle">
    <vt:lpwstr/>
  </property>
  <property fmtid="{D5CDD505-2E9C-101B-9397-08002B2CF9AE}" pid="4" name="_EmailSubject">
    <vt:lpwstr>ICR Reference Number:  200912-2502-002:  Request for Occupied Conveyance</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-212517389</vt:i4>
  </property>
  <property fmtid="{D5CDD505-2E9C-101B-9397-08002B2CF9AE}" pid="8" name="_ReviewingToolsShownOnce">
    <vt:lpwstr/>
  </property>
</Properties>
</file>