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EDC" w:rsidRDefault="008C7EDC" w:rsidP="004837EF">
      <w:pPr>
        <w:autoSpaceDE w:val="0"/>
        <w:autoSpaceDN w:val="0"/>
        <w:adjustRightInd w:val="0"/>
        <w:spacing w:line="240" w:lineRule="atLeast"/>
        <w:ind w:left="4320"/>
        <w:rPr>
          <w:b/>
          <w:bCs/>
          <w:color w:val="000000"/>
        </w:rPr>
      </w:pPr>
    </w:p>
    <w:p w:rsidR="008C7EDC" w:rsidRDefault="008C7EDC" w:rsidP="0020095D">
      <w:pPr>
        <w:autoSpaceDE w:val="0"/>
        <w:autoSpaceDN w:val="0"/>
        <w:adjustRightInd w:val="0"/>
        <w:spacing w:line="240" w:lineRule="atLeast"/>
        <w:ind w:left="4320"/>
        <w:jc w:val="right"/>
        <w:rPr>
          <w:b/>
          <w:bCs/>
          <w:color w:val="000000"/>
        </w:rPr>
      </w:pPr>
      <w:r>
        <w:rPr>
          <w:b/>
          <w:bCs/>
          <w:color w:val="000000"/>
        </w:rPr>
        <w:t>EECBG PROGRAM NOTICE 10</w:t>
      </w:r>
      <w:r w:rsidR="0020095D">
        <w:rPr>
          <w:b/>
          <w:bCs/>
          <w:color w:val="000000"/>
        </w:rPr>
        <w:t>-07</w:t>
      </w:r>
    </w:p>
    <w:p w:rsidR="008C7EDC" w:rsidRPr="00CD3711" w:rsidRDefault="008C7EDC" w:rsidP="00A462DC">
      <w:pPr>
        <w:autoSpaceDE w:val="0"/>
        <w:autoSpaceDN w:val="0"/>
        <w:adjustRightInd w:val="0"/>
        <w:spacing w:line="240" w:lineRule="atLeast"/>
        <w:ind w:left="4320"/>
        <w:jc w:val="right"/>
        <w:rPr>
          <w:b/>
          <w:bCs/>
          <w:color w:val="000000"/>
        </w:rPr>
      </w:pPr>
      <w:r>
        <w:rPr>
          <w:b/>
          <w:bCs/>
          <w:color w:val="000000"/>
        </w:rPr>
        <w:t>EFFECTIVE DATE:</w:t>
      </w:r>
      <w:r w:rsidR="0020095D">
        <w:rPr>
          <w:b/>
          <w:bCs/>
          <w:color w:val="000000"/>
        </w:rPr>
        <w:t xml:space="preserve"> </w:t>
      </w:r>
      <w:r w:rsidR="0020095D" w:rsidRPr="0020095D">
        <w:rPr>
          <w:b/>
          <w:bCs/>
          <w:color w:val="000000"/>
          <w:highlight w:val="yellow"/>
        </w:rPr>
        <w:t>TBD</w:t>
      </w:r>
      <w:r w:rsidR="005E54C2">
        <w:rPr>
          <w:noProof/>
        </w:rPr>
        <w:drawing>
          <wp:anchor distT="0" distB="0" distL="114300" distR="114300" simplePos="0" relativeHeight="251659264" behindDoc="1" locked="0" layoutInCell="1" allowOverlap="1">
            <wp:simplePos x="0" y="0"/>
            <wp:positionH relativeFrom="column">
              <wp:posOffset>1497330</wp:posOffset>
            </wp:positionH>
            <wp:positionV relativeFrom="paragraph">
              <wp:posOffset>-1508760</wp:posOffset>
            </wp:positionV>
            <wp:extent cx="2061210" cy="13716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l="55000" b="-7527"/>
                    <a:stretch>
                      <a:fillRect/>
                    </a:stretch>
                  </pic:blipFill>
                  <pic:spPr bwMode="auto">
                    <a:xfrm>
                      <a:off x="0" y="0"/>
                      <a:ext cx="2061210" cy="1371600"/>
                    </a:xfrm>
                    <a:prstGeom prst="rect">
                      <a:avLst/>
                    </a:prstGeom>
                    <a:solidFill>
                      <a:srgbClr val="FFFFFF">
                        <a:alpha val="50195"/>
                      </a:srgbClr>
                    </a:solidFill>
                  </pic:spPr>
                </pic:pic>
              </a:graphicData>
            </a:graphic>
          </wp:anchor>
        </w:drawing>
      </w:r>
      <w:r w:rsidR="005E54C2">
        <w:rPr>
          <w:noProof/>
        </w:rPr>
        <w:drawing>
          <wp:anchor distT="0" distB="0" distL="114300" distR="114300" simplePos="0" relativeHeight="251658240" behindDoc="1" locked="0" layoutInCell="1" allowOverlap="1">
            <wp:simplePos x="0" y="0"/>
            <wp:positionH relativeFrom="column">
              <wp:posOffset>-746760</wp:posOffset>
            </wp:positionH>
            <wp:positionV relativeFrom="paragraph">
              <wp:posOffset>-1470660</wp:posOffset>
            </wp:positionV>
            <wp:extent cx="1485900" cy="14554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7500" r="72499" b="-7491"/>
                    <a:stretch>
                      <a:fillRect/>
                    </a:stretch>
                  </pic:blipFill>
                  <pic:spPr bwMode="auto">
                    <a:xfrm>
                      <a:off x="0" y="0"/>
                      <a:ext cx="1485900" cy="1455420"/>
                    </a:xfrm>
                    <a:prstGeom prst="rect">
                      <a:avLst/>
                    </a:prstGeom>
                    <a:noFill/>
                  </pic:spPr>
                </pic:pic>
              </a:graphicData>
            </a:graphic>
          </wp:anchor>
        </w:drawing>
      </w:r>
      <w:r w:rsidR="005E54C2">
        <w:rPr>
          <w:noProof/>
        </w:rPr>
        <w:drawing>
          <wp:anchor distT="0" distB="0" distL="114300" distR="114300" simplePos="0" relativeHeight="251657216" behindDoc="1" locked="0" layoutInCell="1" allowOverlap="1">
            <wp:simplePos x="0" y="0"/>
            <wp:positionH relativeFrom="column">
              <wp:posOffset>1497330</wp:posOffset>
            </wp:positionH>
            <wp:positionV relativeFrom="paragraph">
              <wp:posOffset>-1508760</wp:posOffset>
            </wp:positionV>
            <wp:extent cx="2061210" cy="1371600"/>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55000" b="-7527"/>
                    <a:stretch>
                      <a:fillRect/>
                    </a:stretch>
                  </pic:blipFill>
                  <pic:spPr bwMode="auto">
                    <a:xfrm>
                      <a:off x="0" y="0"/>
                      <a:ext cx="2061210" cy="1371600"/>
                    </a:xfrm>
                    <a:prstGeom prst="rect">
                      <a:avLst/>
                    </a:prstGeom>
                    <a:solidFill>
                      <a:srgbClr val="FFFFFF">
                        <a:alpha val="50195"/>
                      </a:srgbClr>
                    </a:solidFill>
                  </pic:spPr>
                </pic:pic>
              </a:graphicData>
            </a:graphic>
          </wp:anchor>
        </w:drawing>
      </w:r>
      <w:r w:rsidR="005E54C2">
        <w:rPr>
          <w:noProof/>
        </w:rPr>
        <w:drawing>
          <wp:anchor distT="0" distB="0" distL="114300" distR="114300" simplePos="0" relativeHeight="251656192" behindDoc="1" locked="0" layoutInCell="1" allowOverlap="1">
            <wp:simplePos x="0" y="0"/>
            <wp:positionH relativeFrom="column">
              <wp:posOffset>-746760</wp:posOffset>
            </wp:positionH>
            <wp:positionV relativeFrom="paragraph">
              <wp:posOffset>-1470660</wp:posOffset>
            </wp:positionV>
            <wp:extent cx="1485900" cy="145542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7500" r="72499" b="-7491"/>
                    <a:stretch>
                      <a:fillRect/>
                    </a:stretch>
                  </pic:blipFill>
                  <pic:spPr bwMode="auto">
                    <a:xfrm>
                      <a:off x="0" y="0"/>
                      <a:ext cx="1485900" cy="1455420"/>
                    </a:xfrm>
                    <a:prstGeom prst="rect">
                      <a:avLst/>
                    </a:prstGeom>
                    <a:noFill/>
                  </pic:spPr>
                </pic:pic>
              </a:graphicData>
            </a:graphic>
          </wp:anchor>
        </w:drawing>
      </w:r>
      <w:r>
        <w:rPr>
          <w:b/>
          <w:bCs/>
          <w:color w:val="000000"/>
        </w:rPr>
        <w:t xml:space="preserve">          </w:t>
      </w:r>
    </w:p>
    <w:p w:rsidR="008C7EDC" w:rsidRDefault="008C7EDC" w:rsidP="00165BDA">
      <w:pPr>
        <w:autoSpaceDE w:val="0"/>
        <w:autoSpaceDN w:val="0"/>
        <w:adjustRightInd w:val="0"/>
        <w:spacing w:line="240" w:lineRule="atLeast"/>
        <w:rPr>
          <w:b/>
          <w:bCs/>
          <w:color w:val="000000"/>
        </w:rPr>
      </w:pPr>
      <w:r w:rsidRPr="00CD3711">
        <w:rPr>
          <w:color w:val="000000"/>
          <w:sz w:val="20"/>
          <w:szCs w:val="20"/>
        </w:rPr>
        <w:t xml:space="preserve">                                           </w:t>
      </w:r>
    </w:p>
    <w:p w:rsidR="008C7EDC" w:rsidRDefault="008C7EDC" w:rsidP="00E058E0">
      <w:pPr>
        <w:autoSpaceDE w:val="0"/>
        <w:autoSpaceDN w:val="0"/>
        <w:adjustRightInd w:val="0"/>
      </w:pPr>
      <w:r w:rsidRPr="00CD3711">
        <w:rPr>
          <w:b/>
          <w:bCs/>
          <w:color w:val="000000"/>
        </w:rPr>
        <w:t>SUBJECT</w:t>
      </w:r>
      <w:r>
        <w:rPr>
          <w:b/>
          <w:bCs/>
          <w:color w:val="000000"/>
        </w:rPr>
        <w:t xml:space="preserve">:  DOE RECOVERY ACT REPORTING REQUIREMENTS FOR THE </w:t>
      </w:r>
    </w:p>
    <w:p w:rsidR="008C7EDC" w:rsidRDefault="008C7EDC" w:rsidP="007A77C9">
      <w:pPr>
        <w:autoSpaceDE w:val="0"/>
        <w:autoSpaceDN w:val="0"/>
        <w:adjustRightInd w:val="0"/>
        <w:ind w:left="1260"/>
        <w:rPr>
          <w:b/>
        </w:rPr>
      </w:pPr>
      <w:r>
        <w:rPr>
          <w:b/>
        </w:rPr>
        <w:t>ENERGY EFFICIENCY AND CONSERVATION BLOCK GRANT (EECBG) PROGRAM</w:t>
      </w:r>
    </w:p>
    <w:p w:rsidR="008C7EDC" w:rsidRPr="007A77C9" w:rsidRDefault="008C7EDC" w:rsidP="007A77C9">
      <w:pPr>
        <w:autoSpaceDE w:val="0"/>
        <w:autoSpaceDN w:val="0"/>
        <w:adjustRightInd w:val="0"/>
        <w:ind w:left="1260"/>
        <w:rPr>
          <w:b/>
        </w:rPr>
      </w:pPr>
    </w:p>
    <w:p w:rsidR="008C7EDC" w:rsidRPr="00A557A6" w:rsidRDefault="008C7EDC" w:rsidP="00A557A6">
      <w:pPr>
        <w:autoSpaceDE w:val="0"/>
        <w:autoSpaceDN w:val="0"/>
        <w:adjustRightInd w:val="0"/>
        <w:rPr>
          <w:iCs/>
          <w:highlight w:val="yellow"/>
        </w:rPr>
      </w:pPr>
      <w:r>
        <w:rPr>
          <w:b/>
          <w:bCs/>
        </w:rPr>
        <w:t xml:space="preserve">REFERENCES: </w:t>
      </w:r>
    </w:p>
    <w:p w:rsidR="008C7EDC" w:rsidRPr="00411638" w:rsidRDefault="008C7EDC" w:rsidP="00165BDA">
      <w:pPr>
        <w:autoSpaceDE w:val="0"/>
        <w:autoSpaceDN w:val="0"/>
        <w:adjustRightInd w:val="0"/>
        <w:rPr>
          <w:iCs/>
        </w:rPr>
      </w:pPr>
      <w:r>
        <w:rPr>
          <w:bCs/>
        </w:rPr>
        <w:t>(1)</w:t>
      </w:r>
      <w:r>
        <w:rPr>
          <w:bCs/>
        </w:rPr>
        <w:tab/>
        <w:t xml:space="preserve">OMB Memorandum M-09-21 </w:t>
      </w:r>
      <w:r>
        <w:rPr>
          <w:i/>
          <w:iCs/>
        </w:rPr>
        <w:t>Implementing Guidance for the Reports on the Use of Funds Pursuant to the American Recovery and Reinvestment Act of 2009</w:t>
      </w:r>
      <w:r>
        <w:rPr>
          <w:iCs/>
        </w:rPr>
        <w:t>, June 22, 2009</w:t>
      </w:r>
      <w:r w:rsidR="005D5A36">
        <w:rPr>
          <w:iCs/>
        </w:rPr>
        <w:t xml:space="preserve"> (Reference 1)</w:t>
      </w:r>
    </w:p>
    <w:p w:rsidR="008C7EDC" w:rsidRDefault="008C7EDC" w:rsidP="00165BDA">
      <w:pPr>
        <w:autoSpaceDE w:val="0"/>
        <w:autoSpaceDN w:val="0"/>
        <w:adjustRightInd w:val="0"/>
        <w:rPr>
          <w:bCs/>
        </w:rPr>
      </w:pPr>
    </w:p>
    <w:p w:rsidR="008C7EDC" w:rsidRDefault="008C7EDC" w:rsidP="00165BDA">
      <w:pPr>
        <w:autoSpaceDE w:val="0"/>
        <w:autoSpaceDN w:val="0"/>
        <w:adjustRightInd w:val="0"/>
      </w:pPr>
      <w:r>
        <w:rPr>
          <w:bCs/>
        </w:rPr>
        <w:t>(2)</w:t>
      </w:r>
      <w:r>
        <w:rPr>
          <w:bCs/>
        </w:rPr>
        <w:tab/>
        <w:t xml:space="preserve">OMB Memorandum M-10-08 </w:t>
      </w:r>
      <w:r>
        <w:rPr>
          <w:i/>
          <w:szCs w:val="23"/>
        </w:rPr>
        <w:t>Updated Guidance on the American Recovery and Reinvestment Act – Data Quality, Non-Reporting Recipients, and Reporting of Job Estimates</w:t>
      </w:r>
      <w:r>
        <w:rPr>
          <w:iCs/>
        </w:rPr>
        <w:t>, December 18, 2009</w:t>
      </w:r>
      <w:r w:rsidR="005D5A36">
        <w:rPr>
          <w:iCs/>
        </w:rPr>
        <w:t xml:space="preserve"> (Reference 2)</w:t>
      </w:r>
      <w:r>
        <w:rPr>
          <w:iCs/>
        </w:rPr>
        <w:t>.</w:t>
      </w:r>
    </w:p>
    <w:p w:rsidR="008C7EDC" w:rsidRDefault="008C7EDC" w:rsidP="00E058E0">
      <w:pPr>
        <w:autoSpaceDE w:val="0"/>
        <w:autoSpaceDN w:val="0"/>
        <w:adjustRightInd w:val="0"/>
      </w:pPr>
      <w:r>
        <w:tab/>
      </w:r>
      <w:r>
        <w:tab/>
      </w:r>
    </w:p>
    <w:p w:rsidR="008C7EDC" w:rsidRDefault="008C7EDC" w:rsidP="007A5FDF">
      <w:pPr>
        <w:autoSpaceDE w:val="0"/>
        <w:autoSpaceDN w:val="0"/>
        <w:adjustRightInd w:val="0"/>
      </w:pPr>
      <w:r>
        <w:rPr>
          <w:b/>
          <w:bCs/>
        </w:rPr>
        <w:t xml:space="preserve">1.0 </w:t>
      </w:r>
      <w:r w:rsidRPr="00701B62">
        <w:rPr>
          <w:b/>
          <w:bCs/>
        </w:rPr>
        <w:t>PURPOSE</w:t>
      </w:r>
      <w:r>
        <w:rPr>
          <w:b/>
          <w:bCs/>
        </w:rPr>
        <w:t xml:space="preserve">: </w:t>
      </w:r>
      <w:r w:rsidRPr="00FF7AAE">
        <w:rPr>
          <w:bCs/>
        </w:rPr>
        <w:t xml:space="preserve">Provides guidance to </w:t>
      </w:r>
      <w:r w:rsidR="00685649">
        <w:rPr>
          <w:bCs/>
        </w:rPr>
        <w:t>recipients</w:t>
      </w:r>
      <w:r w:rsidR="005D5A36">
        <w:rPr>
          <w:bCs/>
        </w:rPr>
        <w:t xml:space="preserve"> </w:t>
      </w:r>
      <w:r>
        <w:rPr>
          <w:bCs/>
        </w:rPr>
        <w:t>of</w:t>
      </w:r>
      <w:r w:rsidRPr="00FF7AAE">
        <w:rPr>
          <w:bCs/>
        </w:rPr>
        <w:t xml:space="preserve"> the Energy Efficiency and Conservation Block Grant </w:t>
      </w:r>
      <w:r>
        <w:rPr>
          <w:bCs/>
        </w:rPr>
        <w:t xml:space="preserve">(EECBG) </w:t>
      </w:r>
      <w:r w:rsidRPr="00FF7AAE">
        <w:rPr>
          <w:bCs/>
        </w:rPr>
        <w:t xml:space="preserve">Program on </w:t>
      </w:r>
      <w:r w:rsidRPr="00FF7AAE">
        <w:rPr>
          <w:bCs/>
        </w:rPr>
        <w:lastRenderedPageBreak/>
        <w:t>the requirements of reporting</w:t>
      </w:r>
      <w:r>
        <w:rPr>
          <w:bCs/>
        </w:rPr>
        <w:t xml:space="preserve"> under the American Recovery and Reinvestment Act of 2009 (ARRA or Recovery Act; Pub. L. No. 111-5)</w:t>
      </w:r>
      <w:r w:rsidRPr="00FF7AAE">
        <w:rPr>
          <w:bCs/>
        </w:rPr>
        <w:t xml:space="preserve">.  </w:t>
      </w:r>
    </w:p>
    <w:p w:rsidR="008C7EDC" w:rsidRDefault="008C7EDC" w:rsidP="007A5FDF">
      <w:pPr>
        <w:autoSpaceDE w:val="0"/>
        <w:autoSpaceDN w:val="0"/>
        <w:adjustRightInd w:val="0"/>
      </w:pPr>
    </w:p>
    <w:p w:rsidR="008C7EDC" w:rsidRDefault="008C7EDC" w:rsidP="007A5FDF">
      <w:pPr>
        <w:pStyle w:val="BodyText"/>
        <w:spacing w:after="0"/>
        <w:rPr>
          <w:rFonts w:ascii="Times New Roman" w:hAnsi="Times New Roman"/>
        </w:rPr>
      </w:pPr>
      <w:r>
        <w:rPr>
          <w:rFonts w:ascii="Times New Roman" w:hAnsi="Times New Roman" w:cs="Times New Roman"/>
          <w:b/>
        </w:rPr>
        <w:t xml:space="preserve">2.0 SCOPE: </w:t>
      </w:r>
      <w:r>
        <w:rPr>
          <w:rFonts w:ascii="Times New Roman" w:hAnsi="Times New Roman"/>
          <w:iCs/>
        </w:rPr>
        <w:tab/>
      </w:r>
      <w:r w:rsidRPr="007A5FDF">
        <w:rPr>
          <w:rFonts w:ascii="Times New Roman" w:hAnsi="Times New Roman"/>
        </w:rPr>
        <w:t xml:space="preserve">The provisions of this guidance apply to </w:t>
      </w:r>
      <w:r>
        <w:rPr>
          <w:rFonts w:ascii="Times New Roman" w:hAnsi="Times New Roman"/>
        </w:rPr>
        <w:t xml:space="preserve">prime recipients </w:t>
      </w:r>
      <w:r w:rsidRPr="007A5FDF">
        <w:rPr>
          <w:rFonts w:ascii="Times New Roman" w:hAnsi="Times New Roman"/>
        </w:rPr>
        <w:t>(i.e</w:t>
      </w:r>
      <w:r w:rsidR="00685649">
        <w:rPr>
          <w:rFonts w:ascii="Times New Roman" w:hAnsi="Times New Roman"/>
        </w:rPr>
        <w:t>.</w:t>
      </w:r>
      <w:r w:rsidRPr="007A5FDF">
        <w:rPr>
          <w:rFonts w:ascii="Times New Roman" w:hAnsi="Times New Roman"/>
        </w:rPr>
        <w:t xml:space="preserve"> States,</w:t>
      </w:r>
      <w:r w:rsidR="005D5A36">
        <w:rPr>
          <w:rFonts w:ascii="Times New Roman" w:hAnsi="Times New Roman"/>
        </w:rPr>
        <w:t xml:space="preserve"> units of local government, and Indian tribes</w:t>
      </w:r>
      <w:r>
        <w:rPr>
          <w:rFonts w:ascii="Times New Roman" w:hAnsi="Times New Roman"/>
        </w:rPr>
        <w:t>) named in a Notification of Grant Award as the recipients of financial assista</w:t>
      </w:r>
      <w:r w:rsidRPr="007A5FDF">
        <w:rPr>
          <w:rFonts w:ascii="Times New Roman" w:hAnsi="Times New Roman"/>
        </w:rPr>
        <w:t xml:space="preserve">nce under the </w:t>
      </w:r>
      <w:r>
        <w:rPr>
          <w:rFonts w:ascii="Times New Roman" w:hAnsi="Times New Roman"/>
        </w:rPr>
        <w:t>Department of Energy (DOE)</w:t>
      </w:r>
      <w:r w:rsidR="00685649">
        <w:rPr>
          <w:rFonts w:ascii="Times New Roman" w:hAnsi="Times New Roman"/>
        </w:rPr>
        <w:t xml:space="preserve"> </w:t>
      </w:r>
      <w:r w:rsidRPr="007A5FDF">
        <w:rPr>
          <w:rFonts w:ascii="Times New Roman" w:hAnsi="Times New Roman"/>
        </w:rPr>
        <w:t>Energy Efficiency and Conservat</w:t>
      </w:r>
      <w:r>
        <w:rPr>
          <w:rFonts w:ascii="Times New Roman" w:hAnsi="Times New Roman"/>
        </w:rPr>
        <w:t xml:space="preserve">ion Block Grant (EECBG) Program and select sub-recipients as determined by the prime </w:t>
      </w:r>
      <w:r w:rsidR="002834B0">
        <w:rPr>
          <w:rFonts w:ascii="Times New Roman" w:hAnsi="Times New Roman"/>
        </w:rPr>
        <w:t>recipient.</w:t>
      </w:r>
      <w:r>
        <w:rPr>
          <w:rFonts w:ascii="Times New Roman" w:hAnsi="Times New Roman"/>
        </w:rPr>
        <w:t xml:space="preserve">  </w:t>
      </w:r>
      <w:r w:rsidRPr="006B022E">
        <w:rPr>
          <w:rFonts w:ascii="Times New Roman" w:hAnsi="Times New Roman"/>
          <w:b/>
          <w:u w:val="single"/>
        </w:rPr>
        <w:t>NOTE:</w:t>
      </w:r>
      <w:r>
        <w:rPr>
          <w:rFonts w:ascii="Times New Roman" w:hAnsi="Times New Roman"/>
        </w:rPr>
        <w:t xml:space="preserve"> This guidance applies solely to those performance metrics associated with Recovery Act-</w:t>
      </w:r>
      <w:r w:rsidRPr="006119D7">
        <w:rPr>
          <w:rFonts w:ascii="Times New Roman" w:hAnsi="Times New Roman"/>
        </w:rPr>
        <w:t xml:space="preserve">supported EECBG </w:t>
      </w:r>
      <w:r w:rsidR="005D5A36">
        <w:rPr>
          <w:rFonts w:ascii="Times New Roman" w:hAnsi="Times New Roman"/>
        </w:rPr>
        <w:t xml:space="preserve">Program </w:t>
      </w:r>
      <w:r>
        <w:rPr>
          <w:rFonts w:ascii="Times New Roman" w:hAnsi="Times New Roman"/>
        </w:rPr>
        <w:t xml:space="preserve">activities as </w:t>
      </w:r>
      <w:r w:rsidRPr="006119D7">
        <w:rPr>
          <w:rFonts w:ascii="Times New Roman" w:hAnsi="Times New Roman"/>
        </w:rPr>
        <w:t xml:space="preserve">reported to </w:t>
      </w:r>
      <w:r>
        <w:rPr>
          <w:rFonts w:ascii="Times New Roman" w:hAnsi="Times New Roman"/>
        </w:rPr>
        <w:t>DOE</w:t>
      </w:r>
      <w:r w:rsidRPr="006119D7">
        <w:rPr>
          <w:rFonts w:ascii="Times New Roman" w:hAnsi="Times New Roman"/>
        </w:rPr>
        <w:t xml:space="preserve"> via </w:t>
      </w:r>
      <w:r w:rsidR="005D5A36">
        <w:rPr>
          <w:rFonts w:ascii="Times New Roman" w:hAnsi="Times New Roman"/>
        </w:rPr>
        <w:t>t</w:t>
      </w:r>
      <w:r>
        <w:rPr>
          <w:rFonts w:ascii="Times New Roman" w:hAnsi="Times New Roman"/>
        </w:rPr>
        <w:t>he Performance and Accountability for Grants in Energy (</w:t>
      </w:r>
      <w:r w:rsidRPr="006119D7">
        <w:rPr>
          <w:rFonts w:ascii="Times New Roman" w:hAnsi="Times New Roman"/>
        </w:rPr>
        <w:t>PAGE</w:t>
      </w:r>
      <w:r w:rsidR="002834B0">
        <w:rPr>
          <w:rFonts w:ascii="Times New Roman" w:hAnsi="Times New Roman"/>
        </w:rPr>
        <w:t>)</w:t>
      </w:r>
      <w:r w:rsidR="005D5A36">
        <w:rPr>
          <w:rFonts w:ascii="Times New Roman" w:hAnsi="Times New Roman"/>
        </w:rPr>
        <w:t xml:space="preserve"> system</w:t>
      </w:r>
      <w:r w:rsidRPr="006119D7">
        <w:rPr>
          <w:rFonts w:ascii="Times New Roman" w:hAnsi="Times New Roman"/>
        </w:rPr>
        <w:t xml:space="preserve">. </w:t>
      </w:r>
      <w:r w:rsidR="00685649">
        <w:rPr>
          <w:rFonts w:ascii="Times New Roman" w:hAnsi="Times New Roman"/>
        </w:rPr>
        <w:t>This guidance is supplemental to the</w:t>
      </w:r>
      <w:r w:rsidR="005D5A36">
        <w:rPr>
          <w:rFonts w:ascii="Times New Roman" w:hAnsi="Times New Roman"/>
        </w:rPr>
        <w:t xml:space="preserve"> </w:t>
      </w:r>
      <w:r w:rsidRPr="006119D7">
        <w:rPr>
          <w:rFonts w:ascii="Times New Roman" w:hAnsi="Times New Roman"/>
        </w:rPr>
        <w:t xml:space="preserve">guidance issued by </w:t>
      </w:r>
      <w:r>
        <w:rPr>
          <w:rFonts w:ascii="Times New Roman" w:hAnsi="Times New Roman"/>
        </w:rPr>
        <w:t>t</w:t>
      </w:r>
      <w:r w:rsidRPr="006119D7">
        <w:rPr>
          <w:rFonts w:ascii="Times New Roman" w:hAnsi="Times New Roman"/>
        </w:rPr>
        <w:t>he Office of</w:t>
      </w:r>
      <w:r w:rsidR="00685649">
        <w:rPr>
          <w:rFonts w:ascii="Times New Roman" w:hAnsi="Times New Roman"/>
        </w:rPr>
        <w:t xml:space="preserve"> Management and Budget (OMB) in References 1 and 2. This guidance does not satisfy or replace </w:t>
      </w:r>
      <w:r w:rsidRPr="006119D7">
        <w:rPr>
          <w:rFonts w:ascii="Times New Roman" w:hAnsi="Times New Roman"/>
        </w:rPr>
        <w:t xml:space="preserve">the requirement to report to OMB in accordance with Section 1512 of the Recovery Act to </w:t>
      </w:r>
      <w:r w:rsidRPr="006119D7">
        <w:rPr>
          <w:rFonts w:ascii="Times New Roman" w:hAnsi="Times New Roman"/>
          <w:u w:val="single"/>
        </w:rPr>
        <w:t>FederalReporting.gov</w:t>
      </w:r>
      <w:r w:rsidRPr="006119D7">
        <w:rPr>
          <w:rFonts w:ascii="Times New Roman" w:hAnsi="Times New Roman"/>
        </w:rPr>
        <w:t>.</w:t>
      </w:r>
      <w:r>
        <w:rPr>
          <w:rFonts w:ascii="Times New Roman" w:hAnsi="Times New Roman"/>
        </w:rPr>
        <w:t xml:space="preserve">  </w:t>
      </w:r>
    </w:p>
    <w:p w:rsidR="00560DCC" w:rsidRDefault="00560DCC" w:rsidP="00560DCC">
      <w:pPr>
        <w:pStyle w:val="BodyText"/>
        <w:tabs>
          <w:tab w:val="clear" w:pos="4320"/>
          <w:tab w:val="clear" w:pos="8640"/>
          <w:tab w:val="left" w:pos="720"/>
        </w:tabs>
        <w:spacing w:after="0"/>
        <w:rPr>
          <w:rFonts w:ascii="Times New Roman" w:hAnsi="Times New Roman" w:cs="Times New Roman"/>
        </w:rPr>
      </w:pPr>
    </w:p>
    <w:p w:rsidR="0020095D" w:rsidRDefault="0020095D" w:rsidP="007A5FDF">
      <w:pPr>
        <w:pStyle w:val="BodyText"/>
        <w:tabs>
          <w:tab w:val="clear" w:pos="4320"/>
          <w:tab w:val="clear" w:pos="8640"/>
          <w:tab w:val="left" w:pos="720"/>
        </w:tabs>
        <w:spacing w:after="0"/>
        <w:rPr>
          <w:rFonts w:ascii="Times New Roman" w:hAnsi="Times New Roman" w:cs="Times New Roman"/>
        </w:rPr>
      </w:pPr>
      <w:r w:rsidRPr="0020095D">
        <w:rPr>
          <w:rFonts w:ascii="Times New Roman" w:hAnsi="Times New Roman" w:cs="Times New Roman"/>
        </w:rPr>
        <w:t xml:space="preserve">The monthly reporting requirements </w:t>
      </w:r>
      <w:r w:rsidR="00A302D5">
        <w:rPr>
          <w:rFonts w:ascii="Times New Roman" w:hAnsi="Times New Roman" w:cs="Times New Roman"/>
        </w:rPr>
        <w:t xml:space="preserve">for EECBG recipients with formula allocations &gt;$2M </w:t>
      </w:r>
      <w:r w:rsidRPr="0020095D">
        <w:rPr>
          <w:rFonts w:ascii="Times New Roman" w:hAnsi="Times New Roman" w:cs="Times New Roman"/>
        </w:rPr>
        <w:t>outlined by this guidance are authorized under a six-month emergency approval by OMB of an emergency Information Collection Request (ICR) that expires</w:t>
      </w:r>
      <w:r>
        <w:rPr>
          <w:rFonts w:ascii="Times New Roman" w:hAnsi="Times New Roman" w:cs="Times New Roman"/>
        </w:rPr>
        <w:t xml:space="preserve"> on </w:t>
      </w:r>
      <w:r w:rsidRPr="0020095D">
        <w:rPr>
          <w:rFonts w:ascii="Times New Roman" w:hAnsi="Times New Roman" w:cs="Times New Roman"/>
          <w:highlight w:val="yellow"/>
        </w:rPr>
        <w:t>TBD.</w:t>
      </w:r>
    </w:p>
    <w:p w:rsidR="000A3632" w:rsidRDefault="000A3632" w:rsidP="007A5FDF">
      <w:pPr>
        <w:pStyle w:val="BodyText"/>
        <w:tabs>
          <w:tab w:val="clear" w:pos="4320"/>
          <w:tab w:val="clear" w:pos="8640"/>
          <w:tab w:val="left" w:pos="720"/>
        </w:tabs>
        <w:spacing w:after="0"/>
        <w:rPr>
          <w:rFonts w:ascii="Times New Roman" w:hAnsi="Times New Roman" w:cs="Times New Roman"/>
        </w:rPr>
      </w:pPr>
    </w:p>
    <w:p w:rsidR="000A3632" w:rsidRPr="00B95CB4" w:rsidRDefault="000A3632" w:rsidP="000A3632">
      <w:pPr>
        <w:autoSpaceDE w:val="0"/>
        <w:autoSpaceDN w:val="0"/>
        <w:adjustRightInd w:val="0"/>
        <w:ind w:right="720"/>
      </w:pPr>
      <w:r w:rsidRPr="00B95CB4">
        <w:t>If DOE seeks renewal of this emergency</w:t>
      </w:r>
      <w:r>
        <w:t xml:space="preserve"> monthly collection</w:t>
      </w:r>
      <w:r w:rsidRPr="00B95CB4">
        <w:t xml:space="preserve"> it will engage OMB 4 months after approval date to begin a dialogue on burden impact and introducing a risk-tiered model where selected recipients could return to quarterly reporting. In most cases, monthly </w:t>
      </w:r>
      <w:r>
        <w:t>data</w:t>
      </w:r>
      <w:r w:rsidRPr="00B95CB4">
        <w:t xml:space="preserve"> will be used internally for managerial purposes only, but where DOE does intend to publicize monthly data, it will </w:t>
      </w:r>
      <w:r w:rsidRPr="00B95CB4">
        <w:lastRenderedPageBreak/>
        <w:t>clearly indicate it to be "preliminary/informal and subject to change".</w:t>
      </w:r>
      <w:r>
        <w:rPr>
          <w:rStyle w:val="FootnoteReference"/>
        </w:rPr>
        <w:footnoteReference w:id="1"/>
      </w:r>
    </w:p>
    <w:p w:rsidR="008C7EDC" w:rsidRDefault="008C7EDC" w:rsidP="007A5FDF">
      <w:pPr>
        <w:pStyle w:val="BodyText"/>
        <w:tabs>
          <w:tab w:val="clear" w:pos="4320"/>
          <w:tab w:val="clear" w:pos="8640"/>
          <w:tab w:val="left" w:pos="720"/>
        </w:tabs>
        <w:spacing w:after="0"/>
        <w:rPr>
          <w:b/>
        </w:rPr>
      </w:pPr>
    </w:p>
    <w:p w:rsidR="008C7EDC" w:rsidRDefault="008C7EDC" w:rsidP="007A5FDF">
      <w:pPr>
        <w:pStyle w:val="CM73"/>
      </w:pPr>
      <w:r>
        <w:rPr>
          <w:b/>
          <w:bCs/>
          <w:color w:val="000000"/>
          <w:sz w:val="23"/>
          <w:szCs w:val="23"/>
        </w:rPr>
        <w:t>3.0</w:t>
      </w:r>
      <w:r>
        <w:rPr>
          <w:color w:val="000000"/>
          <w:sz w:val="23"/>
          <w:szCs w:val="23"/>
        </w:rPr>
        <w:t xml:space="preserve"> </w:t>
      </w:r>
      <w:r>
        <w:rPr>
          <w:b/>
          <w:bCs/>
          <w:color w:val="000000"/>
          <w:sz w:val="23"/>
          <w:szCs w:val="23"/>
        </w:rPr>
        <w:t xml:space="preserve">LEGAL AUTHORITY: </w:t>
      </w:r>
      <w:r w:rsidRPr="00FF7AAE">
        <w:t xml:space="preserve">Title V, Subtitle E of the Energy </w:t>
      </w:r>
      <w:smartTag w:uri="urn:schemas-microsoft-com:office:smarttags" w:element="City">
        <w:smartTag w:uri="urn:schemas-microsoft-com:office:smarttags" w:element="place">
          <w:r w:rsidRPr="00FF7AAE">
            <w:t>Independence</w:t>
          </w:r>
        </w:smartTag>
      </w:smartTag>
      <w:r w:rsidRPr="00FF7AAE">
        <w:t xml:space="preserve"> and Security Act of 2007 (EISA</w:t>
      </w:r>
      <w:r>
        <w:t>; Pub. L. No. 110-140</w:t>
      </w:r>
      <w:r w:rsidRPr="00FF7AAE">
        <w:t xml:space="preserve">) </w:t>
      </w:r>
      <w:r>
        <w:t xml:space="preserve">establishes the EECBG Program under which DOE makes funds available to </w:t>
      </w:r>
      <w:r w:rsidR="005D5A36">
        <w:t>States, units of local government, and Indian tribes</w:t>
      </w:r>
      <w:r w:rsidRPr="00FF7AAE">
        <w:t xml:space="preserve"> to develop and implement projects to improve energy efficiency and reduce energy use and fossil fuel emissions in their communities. All </w:t>
      </w:r>
      <w:r w:rsidR="005D5A36">
        <w:t>EECBG</w:t>
      </w:r>
      <w:r w:rsidRPr="00FF7AAE">
        <w:t xml:space="preserve"> awards shall comply with applicable law including </w:t>
      </w:r>
      <w:r>
        <w:t xml:space="preserve">EISA, ARRA, and all </w:t>
      </w:r>
      <w:r w:rsidRPr="00FF7AAE">
        <w:t>other procedures applicable to this program.</w:t>
      </w:r>
    </w:p>
    <w:p w:rsidR="00A462DC" w:rsidRDefault="00A462DC" w:rsidP="007A5FDF">
      <w:pPr>
        <w:pStyle w:val="CM73"/>
        <w:rPr>
          <w:b/>
        </w:rPr>
      </w:pPr>
    </w:p>
    <w:p w:rsidR="008C7EDC" w:rsidRDefault="008C7EDC" w:rsidP="007A5FDF">
      <w:pPr>
        <w:pStyle w:val="CM73"/>
        <w:rPr>
          <w:b/>
        </w:rPr>
      </w:pPr>
      <w:r>
        <w:rPr>
          <w:b/>
        </w:rPr>
        <w:t>4.0 DEFINITIONS</w:t>
      </w:r>
    </w:p>
    <w:p w:rsidR="008C7EDC" w:rsidRPr="00610871" w:rsidRDefault="008C7EDC" w:rsidP="00610871">
      <w:pPr>
        <w:pStyle w:val="Default"/>
        <w:numPr>
          <w:ilvl w:val="0"/>
          <w:numId w:val="15"/>
        </w:numPr>
        <w:rPr>
          <w:rFonts w:ascii="Times New Roman" w:hAnsi="Times New Roman" w:cs="Times New Roman"/>
        </w:rPr>
      </w:pPr>
      <w:r w:rsidRPr="00610871">
        <w:rPr>
          <w:rFonts w:ascii="Times New Roman" w:hAnsi="Times New Roman" w:cs="Times New Roman"/>
          <w:iCs/>
          <w:u w:val="single"/>
        </w:rPr>
        <w:t>Non-Federal funds</w:t>
      </w:r>
      <w:r w:rsidR="00AD1DC6">
        <w:rPr>
          <w:rFonts w:ascii="Times New Roman" w:hAnsi="Times New Roman" w:cs="Times New Roman"/>
          <w:iCs/>
          <w:u w:val="single"/>
        </w:rPr>
        <w:t>:</w:t>
      </w:r>
      <w:r w:rsidR="00AD1DC6">
        <w:rPr>
          <w:rFonts w:ascii="Times New Roman" w:hAnsi="Times New Roman" w:cs="Times New Roman"/>
          <w:iCs/>
        </w:rPr>
        <w:t xml:space="preserve"> </w:t>
      </w:r>
      <w:r w:rsidRPr="00610871">
        <w:rPr>
          <w:rFonts w:ascii="Times New Roman" w:hAnsi="Times New Roman" w:cs="Times New Roman"/>
          <w:iCs/>
        </w:rPr>
        <w:t xml:space="preserve">Funds used in execution of a Recovery Act-supported project that do not come from </w:t>
      </w:r>
      <w:r>
        <w:rPr>
          <w:rFonts w:ascii="Times New Roman" w:hAnsi="Times New Roman" w:cs="Times New Roman"/>
          <w:iCs/>
        </w:rPr>
        <w:t>DOE</w:t>
      </w:r>
      <w:r w:rsidRPr="00610871">
        <w:rPr>
          <w:rFonts w:ascii="Times New Roman" w:hAnsi="Times New Roman" w:cs="Times New Roman"/>
          <w:iCs/>
        </w:rPr>
        <w:t xml:space="preserve"> or any other </w:t>
      </w:r>
      <w:r>
        <w:rPr>
          <w:rFonts w:ascii="Times New Roman" w:hAnsi="Times New Roman" w:cs="Times New Roman"/>
          <w:iCs/>
        </w:rPr>
        <w:t>F</w:t>
      </w:r>
      <w:r w:rsidRPr="00610871">
        <w:rPr>
          <w:rFonts w:ascii="Times New Roman" w:hAnsi="Times New Roman" w:cs="Times New Roman"/>
          <w:iCs/>
        </w:rPr>
        <w:t>ederal entity. These funds should be:</w:t>
      </w:r>
    </w:p>
    <w:p w:rsidR="008C7EDC" w:rsidRPr="00610871" w:rsidRDefault="008C7EDC" w:rsidP="00610871">
      <w:pPr>
        <w:pStyle w:val="Default"/>
        <w:numPr>
          <w:ilvl w:val="1"/>
          <w:numId w:val="15"/>
        </w:numPr>
        <w:rPr>
          <w:rFonts w:ascii="Times New Roman" w:hAnsi="Times New Roman" w:cs="Times New Roman"/>
        </w:rPr>
      </w:pPr>
      <w:r w:rsidRPr="00610871">
        <w:rPr>
          <w:rFonts w:ascii="Times New Roman" w:hAnsi="Times New Roman" w:cs="Times New Roman"/>
          <w:iCs/>
        </w:rPr>
        <w:t xml:space="preserve"> Cognizable and verifiably applied to the Recovery-Act project, not assumed or projected</w:t>
      </w:r>
      <w:r>
        <w:rPr>
          <w:rFonts w:ascii="Times New Roman" w:hAnsi="Times New Roman" w:cs="Times New Roman"/>
          <w:iCs/>
        </w:rPr>
        <w:t>; and</w:t>
      </w:r>
    </w:p>
    <w:p w:rsidR="008C7EDC" w:rsidRPr="00610871" w:rsidRDefault="008C7EDC" w:rsidP="00610871">
      <w:pPr>
        <w:pStyle w:val="Default"/>
        <w:numPr>
          <w:ilvl w:val="1"/>
          <w:numId w:val="15"/>
        </w:numPr>
        <w:rPr>
          <w:rFonts w:ascii="Times New Roman" w:hAnsi="Times New Roman" w:cs="Times New Roman"/>
        </w:rPr>
      </w:pPr>
      <w:r w:rsidRPr="00610871">
        <w:rPr>
          <w:rFonts w:ascii="Times New Roman" w:hAnsi="Times New Roman" w:cs="Times New Roman"/>
        </w:rPr>
        <w:t>Additional to Recovery Act funds (i.e.</w:t>
      </w:r>
      <w:r>
        <w:rPr>
          <w:rFonts w:ascii="Times New Roman" w:hAnsi="Times New Roman" w:cs="Times New Roman"/>
        </w:rPr>
        <w:t>,</w:t>
      </w:r>
      <w:r w:rsidRPr="00610871">
        <w:rPr>
          <w:rFonts w:ascii="Times New Roman" w:hAnsi="Times New Roman" w:cs="Times New Roman"/>
        </w:rPr>
        <w:t xml:space="preserve"> they would not have been applied to the project in the absence of Recovery Act funds)</w:t>
      </w:r>
      <w:r>
        <w:rPr>
          <w:rFonts w:ascii="Times New Roman" w:hAnsi="Times New Roman" w:cs="Times New Roman"/>
        </w:rPr>
        <w:t>.</w:t>
      </w:r>
    </w:p>
    <w:p w:rsidR="008C7EDC" w:rsidRPr="00610871" w:rsidRDefault="008C7EDC" w:rsidP="00610871">
      <w:pPr>
        <w:widowControl w:val="0"/>
        <w:tabs>
          <w:tab w:val="left" w:pos="220"/>
          <w:tab w:val="left" w:pos="720"/>
        </w:tabs>
        <w:autoSpaceDE w:val="0"/>
        <w:autoSpaceDN w:val="0"/>
        <w:adjustRightInd w:val="0"/>
        <w:ind w:left="720"/>
        <w:rPr>
          <w:bCs/>
          <w:u w:val="single"/>
        </w:rPr>
      </w:pPr>
    </w:p>
    <w:p w:rsidR="00B12888" w:rsidRDefault="00AD1DC6" w:rsidP="00B12888">
      <w:pPr>
        <w:pStyle w:val="ListParagraph"/>
        <w:widowControl w:val="0"/>
        <w:numPr>
          <w:ilvl w:val="0"/>
          <w:numId w:val="21"/>
        </w:numPr>
        <w:tabs>
          <w:tab w:val="left" w:pos="220"/>
          <w:tab w:val="left" w:pos="720"/>
        </w:tabs>
        <w:autoSpaceDE w:val="0"/>
        <w:autoSpaceDN w:val="0"/>
        <w:adjustRightInd w:val="0"/>
        <w:spacing w:after="0" w:line="240" w:lineRule="auto"/>
        <w:contextualSpacing w:val="0"/>
        <w:rPr>
          <w:rFonts w:ascii="Times New Roman" w:hAnsi="Times New Roman"/>
          <w:sz w:val="24"/>
          <w:szCs w:val="24"/>
        </w:rPr>
      </w:pPr>
      <w:r>
        <w:rPr>
          <w:rFonts w:ascii="Times New Roman" w:hAnsi="Times New Roman"/>
          <w:sz w:val="24"/>
          <w:szCs w:val="24"/>
          <w:u w:val="single"/>
        </w:rPr>
        <w:t>Obligation:</w:t>
      </w:r>
      <w:r>
        <w:rPr>
          <w:rFonts w:ascii="Times New Roman" w:hAnsi="Times New Roman"/>
          <w:sz w:val="24"/>
          <w:szCs w:val="24"/>
        </w:rPr>
        <w:t xml:space="preserve"> refers to the binding commitment of Recovery Act funds by the recipient to other entities for the execution of projects. This figure is inclusive of funds already spent (i.e. outlays) and commitments outstanding but not inv</w:t>
      </w:r>
      <w:r w:rsidR="00B12888">
        <w:rPr>
          <w:rFonts w:ascii="Times New Roman" w:hAnsi="Times New Roman"/>
          <w:sz w:val="24"/>
          <w:szCs w:val="24"/>
        </w:rPr>
        <w:t>oiced or otherwise liquidated. This figure should include any loans or grants disbursed by the recipient but not included by the recipient in outlays.</w:t>
      </w:r>
    </w:p>
    <w:p w:rsidR="00AD1DC6" w:rsidRPr="00AD1DC6" w:rsidRDefault="00AD1DC6" w:rsidP="00AD1DC6">
      <w:pPr>
        <w:pStyle w:val="ListParagraph"/>
        <w:widowControl w:val="0"/>
        <w:tabs>
          <w:tab w:val="left" w:pos="220"/>
          <w:tab w:val="left" w:pos="720"/>
        </w:tabs>
        <w:autoSpaceDE w:val="0"/>
        <w:autoSpaceDN w:val="0"/>
        <w:adjustRightInd w:val="0"/>
        <w:spacing w:after="0" w:line="240" w:lineRule="auto"/>
        <w:ind w:left="360"/>
        <w:rPr>
          <w:rFonts w:ascii="Times New Roman" w:hAnsi="Times New Roman"/>
          <w:sz w:val="24"/>
          <w:szCs w:val="24"/>
        </w:rPr>
      </w:pPr>
    </w:p>
    <w:p w:rsidR="008C7EDC" w:rsidRPr="00610871" w:rsidRDefault="008C7EDC" w:rsidP="00610871">
      <w:pPr>
        <w:pStyle w:val="ListParagraph"/>
        <w:widowControl w:val="0"/>
        <w:numPr>
          <w:ilvl w:val="0"/>
          <w:numId w:val="16"/>
        </w:numPr>
        <w:tabs>
          <w:tab w:val="left" w:pos="220"/>
          <w:tab w:val="left" w:pos="720"/>
        </w:tabs>
        <w:autoSpaceDE w:val="0"/>
        <w:autoSpaceDN w:val="0"/>
        <w:adjustRightInd w:val="0"/>
        <w:spacing w:after="0" w:line="240" w:lineRule="auto"/>
        <w:ind w:left="720"/>
        <w:rPr>
          <w:rFonts w:ascii="Times New Roman" w:hAnsi="Times New Roman"/>
          <w:sz w:val="24"/>
          <w:szCs w:val="24"/>
        </w:rPr>
      </w:pPr>
      <w:r w:rsidRPr="00610871">
        <w:rPr>
          <w:rFonts w:ascii="Times New Roman" w:hAnsi="Times New Roman"/>
          <w:bCs/>
          <w:sz w:val="24"/>
          <w:szCs w:val="24"/>
          <w:u w:val="single"/>
        </w:rPr>
        <w:t>Prime Recipient:</w:t>
      </w:r>
      <w:r w:rsidRPr="00610871">
        <w:rPr>
          <w:rFonts w:ascii="Times New Roman" w:hAnsi="Times New Roman"/>
          <w:b/>
          <w:bCs/>
          <w:sz w:val="24"/>
          <w:szCs w:val="24"/>
        </w:rPr>
        <w:t xml:space="preserve"> </w:t>
      </w:r>
      <w:r w:rsidRPr="00610871">
        <w:rPr>
          <w:rFonts w:ascii="Times New Roman" w:hAnsi="Times New Roman"/>
          <w:bCs/>
          <w:sz w:val="24"/>
          <w:szCs w:val="24"/>
        </w:rPr>
        <w:t>refers to a</w:t>
      </w:r>
      <w:r w:rsidRPr="00610871">
        <w:rPr>
          <w:rFonts w:ascii="Times New Roman" w:hAnsi="Times New Roman"/>
          <w:sz w:val="24"/>
          <w:szCs w:val="24"/>
        </w:rPr>
        <w:t xml:space="preserve"> non-</w:t>
      </w:r>
      <w:r>
        <w:rPr>
          <w:rFonts w:ascii="Times New Roman" w:hAnsi="Times New Roman"/>
          <w:sz w:val="24"/>
          <w:szCs w:val="24"/>
        </w:rPr>
        <w:t>F</w:t>
      </w:r>
      <w:r w:rsidRPr="00610871">
        <w:rPr>
          <w:rFonts w:ascii="Times New Roman" w:hAnsi="Times New Roman"/>
          <w:sz w:val="24"/>
          <w:szCs w:val="24"/>
        </w:rPr>
        <w:t xml:space="preserve">ederal organization receiving Recovery Act funding (grants, loans, or cooperative agreements) directly from the Federal Government.  </w:t>
      </w:r>
    </w:p>
    <w:p w:rsidR="008C7EDC" w:rsidRPr="00610871" w:rsidRDefault="008C7EDC" w:rsidP="00610871">
      <w:pPr>
        <w:widowControl w:val="0"/>
        <w:tabs>
          <w:tab w:val="left" w:pos="220"/>
          <w:tab w:val="left" w:pos="720"/>
        </w:tabs>
        <w:autoSpaceDE w:val="0"/>
        <w:autoSpaceDN w:val="0"/>
        <w:adjustRightInd w:val="0"/>
        <w:rPr>
          <w:u w:val="single"/>
        </w:rPr>
      </w:pPr>
    </w:p>
    <w:p w:rsidR="008C7EDC" w:rsidRPr="00610871" w:rsidRDefault="008C7EDC" w:rsidP="00610871">
      <w:pPr>
        <w:pStyle w:val="ListParagraph"/>
        <w:widowControl w:val="0"/>
        <w:numPr>
          <w:ilvl w:val="0"/>
          <w:numId w:val="16"/>
        </w:numPr>
        <w:tabs>
          <w:tab w:val="left" w:pos="220"/>
          <w:tab w:val="left" w:pos="720"/>
        </w:tabs>
        <w:autoSpaceDE w:val="0"/>
        <w:autoSpaceDN w:val="0"/>
        <w:adjustRightInd w:val="0"/>
        <w:spacing w:after="0" w:line="240" w:lineRule="auto"/>
        <w:ind w:left="720"/>
        <w:rPr>
          <w:rFonts w:ascii="Times New Roman" w:hAnsi="Times New Roman"/>
          <w:sz w:val="24"/>
          <w:szCs w:val="24"/>
          <w:u w:val="single"/>
        </w:rPr>
      </w:pPr>
      <w:r w:rsidRPr="00610871">
        <w:rPr>
          <w:rFonts w:ascii="Times New Roman" w:hAnsi="Times New Roman"/>
          <w:sz w:val="24"/>
          <w:szCs w:val="24"/>
          <w:u w:val="single"/>
        </w:rPr>
        <w:t>Sub-Recipient:</w:t>
      </w:r>
      <w:r w:rsidRPr="00610871">
        <w:rPr>
          <w:rFonts w:ascii="Times New Roman" w:hAnsi="Times New Roman"/>
          <w:sz w:val="24"/>
          <w:szCs w:val="24"/>
        </w:rPr>
        <w:t xml:space="preserve"> refers to a non-federal organization that receives Recovery Act funds from a </w:t>
      </w:r>
      <w:r>
        <w:rPr>
          <w:rFonts w:ascii="Times New Roman" w:hAnsi="Times New Roman"/>
          <w:sz w:val="24"/>
          <w:szCs w:val="24"/>
        </w:rPr>
        <w:t>p</w:t>
      </w:r>
      <w:r w:rsidRPr="00610871">
        <w:rPr>
          <w:rFonts w:ascii="Times New Roman" w:hAnsi="Times New Roman"/>
          <w:sz w:val="24"/>
          <w:szCs w:val="24"/>
        </w:rPr>
        <w:t xml:space="preserve">rime </w:t>
      </w:r>
      <w:r>
        <w:rPr>
          <w:rFonts w:ascii="Times New Roman" w:hAnsi="Times New Roman"/>
          <w:sz w:val="24"/>
          <w:szCs w:val="24"/>
        </w:rPr>
        <w:t>r</w:t>
      </w:r>
      <w:r w:rsidRPr="00610871">
        <w:rPr>
          <w:rFonts w:ascii="Times New Roman" w:hAnsi="Times New Roman"/>
          <w:sz w:val="24"/>
          <w:szCs w:val="24"/>
        </w:rPr>
        <w:t>ecipient to carry out a Federal program</w:t>
      </w:r>
      <w:r>
        <w:rPr>
          <w:rFonts w:ascii="Times New Roman" w:hAnsi="Times New Roman"/>
          <w:sz w:val="24"/>
          <w:szCs w:val="24"/>
        </w:rPr>
        <w:t>—</w:t>
      </w:r>
      <w:r w:rsidRPr="00610871">
        <w:rPr>
          <w:rFonts w:ascii="Times New Roman" w:hAnsi="Times New Roman"/>
          <w:sz w:val="24"/>
          <w:szCs w:val="24"/>
        </w:rPr>
        <w:t xml:space="preserve">not a direct program beneficiary.  </w:t>
      </w:r>
    </w:p>
    <w:p w:rsidR="002834B0" w:rsidRDefault="008C7EDC" w:rsidP="00E058E0">
      <w:pPr>
        <w:rPr>
          <w:b/>
        </w:rPr>
      </w:pPr>
      <w:r>
        <w:rPr>
          <w:b/>
        </w:rPr>
        <w:tab/>
      </w:r>
    </w:p>
    <w:p w:rsidR="008C7EDC" w:rsidRDefault="008C7EDC" w:rsidP="00E058E0">
      <w:pPr>
        <w:rPr>
          <w:b/>
        </w:rPr>
      </w:pPr>
      <w:r>
        <w:rPr>
          <w:b/>
        </w:rPr>
        <w:t>5.0 B</w:t>
      </w:r>
      <w:r w:rsidRPr="007D17BF">
        <w:rPr>
          <w:b/>
        </w:rPr>
        <w:t>ACKGROUND</w:t>
      </w:r>
    </w:p>
    <w:p w:rsidR="008C7EDC" w:rsidRDefault="008C7EDC" w:rsidP="00E058E0">
      <w:r>
        <w:tab/>
        <w:t xml:space="preserve">The </w:t>
      </w:r>
      <w:r w:rsidR="006E0180">
        <w:t>EECBG</w:t>
      </w:r>
      <w:r>
        <w:t xml:space="preserve"> Program funds provided through the Recovery Act represent an unprecedented</w:t>
      </w:r>
      <w:r w:rsidR="002834B0">
        <w:t xml:space="preserve"> Federal</w:t>
      </w:r>
      <w:r>
        <w:t xml:space="preserve"> investment in energy efficiency and renewable energy activities designed and implemented by the States, </w:t>
      </w:r>
      <w:r w:rsidR="002834B0">
        <w:t>Territories</w:t>
      </w:r>
      <w:r w:rsidR="009F6901">
        <w:t xml:space="preserve">, </w:t>
      </w:r>
      <w:r w:rsidR="006E0180">
        <w:t>units of local government, and Indian tribes</w:t>
      </w:r>
      <w:r>
        <w:t xml:space="preserve">. </w:t>
      </w:r>
      <w:r w:rsidR="006E0180">
        <w:t xml:space="preserve"> </w:t>
      </w:r>
      <w:r>
        <w:t xml:space="preserve">Concomitant with this investment, the </w:t>
      </w:r>
      <w:r w:rsidR="009F6901">
        <w:t xml:space="preserve">President </w:t>
      </w:r>
      <w:r>
        <w:t>has pledged that transparency and accountability will be central aims throughout the grant process.</w:t>
      </w:r>
      <w:r w:rsidR="006E0180">
        <w:t xml:space="preserve"> </w:t>
      </w:r>
      <w:r>
        <w:t xml:space="preserve"> Furthermore, </w:t>
      </w:r>
      <w:r w:rsidR="009F6901">
        <w:t>DOE</w:t>
      </w:r>
      <w:r>
        <w:t xml:space="preserve"> </w:t>
      </w:r>
      <w:r w:rsidR="002834B0">
        <w:t>will</w:t>
      </w:r>
      <w:r>
        <w:t xml:space="preserve"> effectively monitor and report the return on investment </w:t>
      </w:r>
      <w:r w:rsidR="002834B0">
        <w:t xml:space="preserve">of EECBG funds </w:t>
      </w:r>
      <w:r>
        <w:t xml:space="preserve">in terms of jobs created and energy saved. </w:t>
      </w:r>
      <w:r w:rsidR="006E0180">
        <w:t xml:space="preserve"> </w:t>
      </w:r>
      <w:r>
        <w:t xml:space="preserve">Pursuant to these objectives, new reporting requirements have been put in place for all Federal Recovery Act programs. </w:t>
      </w:r>
      <w:r w:rsidR="006E0180">
        <w:t xml:space="preserve"> </w:t>
      </w:r>
      <w:r>
        <w:t xml:space="preserve">For </w:t>
      </w:r>
      <w:r w:rsidR="006E0180">
        <w:t xml:space="preserve">all </w:t>
      </w:r>
      <w:r>
        <w:t xml:space="preserve">EECBG </w:t>
      </w:r>
      <w:r w:rsidR="006E0180">
        <w:t>recipients</w:t>
      </w:r>
      <w:r>
        <w:t>, these requirements are fulfilled through reporting via two distinct but similar processes:</w:t>
      </w:r>
    </w:p>
    <w:p w:rsidR="008C7EDC" w:rsidRDefault="002834B0" w:rsidP="00D812BE">
      <w:pPr>
        <w:ind w:left="1170" w:hanging="270"/>
      </w:pPr>
      <w:r>
        <w:t>1. Quarterly reporting of data to OMB via FederalReporting.gov</w:t>
      </w:r>
      <w:r w:rsidR="006E0180">
        <w:t xml:space="preserve"> and</w:t>
      </w:r>
    </w:p>
    <w:p w:rsidR="008C7EDC" w:rsidRDefault="008C7EDC" w:rsidP="00D812BE">
      <w:pPr>
        <w:ind w:left="900"/>
      </w:pPr>
      <w:r>
        <w:t xml:space="preserve">2. </w:t>
      </w:r>
      <w:r w:rsidR="009F6901">
        <w:t>Quarterly and monthly</w:t>
      </w:r>
      <w:r w:rsidR="002D301B">
        <w:t xml:space="preserve"> (for recipients with formula allocations &gt;$2M)</w:t>
      </w:r>
      <w:r w:rsidR="009F6901">
        <w:t xml:space="preserve"> reporting of data to DOE via PAGE</w:t>
      </w:r>
    </w:p>
    <w:p w:rsidR="008C7EDC" w:rsidRDefault="008C7EDC" w:rsidP="00E058E0"/>
    <w:p w:rsidR="008C7EDC" w:rsidRDefault="008C7EDC" w:rsidP="00153E69">
      <w:pPr>
        <w:autoSpaceDE w:val="0"/>
        <w:autoSpaceDN w:val="0"/>
        <w:adjustRightInd w:val="0"/>
        <w:rPr>
          <w:b/>
        </w:rPr>
      </w:pPr>
      <w:r>
        <w:rPr>
          <w:b/>
        </w:rPr>
        <w:t>6.0 GUIDANCE</w:t>
      </w:r>
    </w:p>
    <w:p w:rsidR="008C7EDC" w:rsidRDefault="008C7EDC" w:rsidP="00153E69">
      <w:pPr>
        <w:autoSpaceDE w:val="0"/>
        <w:autoSpaceDN w:val="0"/>
        <w:adjustRightInd w:val="0"/>
      </w:pPr>
      <w:r>
        <w:rPr>
          <w:b/>
        </w:rPr>
        <w:tab/>
      </w:r>
      <w:r>
        <w:t xml:space="preserve">The following sections detail how EECBG </w:t>
      </w:r>
      <w:r w:rsidR="006E0180">
        <w:t xml:space="preserve">recipients </w:t>
      </w:r>
      <w:r>
        <w:t>will:</w:t>
      </w:r>
    </w:p>
    <w:p w:rsidR="008C7EDC" w:rsidRDefault="008C7EDC" w:rsidP="00153E69">
      <w:pPr>
        <w:autoSpaceDE w:val="0"/>
        <w:autoSpaceDN w:val="0"/>
        <w:adjustRightInd w:val="0"/>
      </w:pPr>
      <w:r>
        <w:tab/>
      </w:r>
      <w:r>
        <w:tab/>
        <w:t>1. Report Section 1512 data to OMB quarterly</w:t>
      </w:r>
    </w:p>
    <w:p w:rsidR="008C7EDC" w:rsidRDefault="008C7EDC" w:rsidP="00153E69">
      <w:pPr>
        <w:autoSpaceDE w:val="0"/>
        <w:autoSpaceDN w:val="0"/>
        <w:adjustRightInd w:val="0"/>
      </w:pPr>
      <w:r>
        <w:tab/>
      </w:r>
      <w:r>
        <w:tab/>
        <w:t>2. Report required data to DOE quarterly and monthly</w:t>
      </w:r>
      <w:r w:rsidR="002834B0">
        <w:t xml:space="preserve"> via PAGE</w:t>
      </w:r>
    </w:p>
    <w:p w:rsidR="009F6901" w:rsidRDefault="009F6901" w:rsidP="009F6901">
      <w:pPr>
        <w:autoSpaceDE w:val="0"/>
        <w:autoSpaceDN w:val="0"/>
        <w:adjustRightInd w:val="0"/>
        <w:ind w:left="1440"/>
      </w:pPr>
      <w:r>
        <w:t xml:space="preserve">3. Summarize the timing and process relationship between OMB and DOE reporting requirements </w:t>
      </w:r>
    </w:p>
    <w:p w:rsidR="002834B0" w:rsidRDefault="002834B0" w:rsidP="00F45F9B"/>
    <w:p w:rsidR="00A462DC" w:rsidRPr="00537D1F" w:rsidRDefault="00A462DC" w:rsidP="00A462DC">
      <w:pPr>
        <w:pBdr>
          <w:bottom w:val="single" w:sz="6" w:space="1" w:color="auto"/>
        </w:pBdr>
        <w:autoSpaceDE w:val="0"/>
        <w:autoSpaceDN w:val="0"/>
        <w:adjustRightInd w:val="0"/>
      </w:pPr>
      <w:r w:rsidRPr="00537D1F">
        <w:rPr>
          <w:b/>
        </w:rPr>
        <w:t>6.1</w:t>
      </w:r>
      <w:r>
        <w:rPr>
          <w:b/>
        </w:rPr>
        <w:t xml:space="preserve"> </w:t>
      </w:r>
      <w:r w:rsidRPr="00537D1F">
        <w:rPr>
          <w:b/>
        </w:rPr>
        <w:t>QUARTERLY</w:t>
      </w:r>
      <w:r>
        <w:rPr>
          <w:b/>
        </w:rPr>
        <w:t xml:space="preserve"> REPORTING TO OMB</w:t>
      </w:r>
      <w:r w:rsidRPr="00537D1F">
        <w:rPr>
          <w:b/>
        </w:rPr>
        <w:t xml:space="preserve"> VIA FEDERALREPORTING.GOV)</w:t>
      </w:r>
      <w:r w:rsidRPr="00537D1F">
        <w:t xml:space="preserve">  </w:t>
      </w:r>
    </w:p>
    <w:p w:rsidR="00A462DC" w:rsidRDefault="00A462DC" w:rsidP="00F45F9B"/>
    <w:p w:rsidR="008C7EDC" w:rsidRPr="00C206D7" w:rsidRDefault="00190B6D" w:rsidP="00153E69">
      <w:pPr>
        <w:rPr>
          <w:u w:val="single"/>
        </w:rPr>
      </w:pPr>
      <w:r>
        <w:rPr>
          <w:u w:val="single"/>
        </w:rPr>
        <w:t>6</w:t>
      </w:r>
      <w:r w:rsidRPr="00C206D7">
        <w:rPr>
          <w:u w:val="single"/>
        </w:rPr>
        <w:t>.1</w:t>
      </w:r>
      <w:r>
        <w:rPr>
          <w:u w:val="single"/>
        </w:rPr>
        <w:t>.1</w:t>
      </w:r>
      <w:r w:rsidRPr="00C206D7">
        <w:rPr>
          <w:u w:val="single"/>
        </w:rPr>
        <w:t xml:space="preserve"> Background</w:t>
      </w:r>
    </w:p>
    <w:p w:rsidR="008C7EDC" w:rsidRPr="00C206D7" w:rsidRDefault="008C7EDC" w:rsidP="00153E69">
      <w:pPr>
        <w:rPr>
          <w:b/>
          <w:bCs/>
          <w:color w:val="000000"/>
        </w:rPr>
      </w:pPr>
      <w:r w:rsidRPr="00C206D7">
        <w:tab/>
      </w:r>
      <w:r w:rsidR="006E0180">
        <w:t>Section 1512 of t</w:t>
      </w:r>
      <w:r w:rsidRPr="00C206D7">
        <w:t>he Recovery Act</w:t>
      </w:r>
      <w:r w:rsidR="009F6901">
        <w:t xml:space="preserve"> </w:t>
      </w:r>
      <w:r w:rsidRPr="00C206D7">
        <w:t xml:space="preserve">establishes reporting requirements for all </w:t>
      </w:r>
      <w:r w:rsidR="00190B6D">
        <w:t>recipients</w:t>
      </w:r>
      <w:r w:rsidR="002834B0">
        <w:t>.</w:t>
      </w:r>
      <w:r w:rsidRPr="00C206D7">
        <w:t xml:space="preserve"> Section 1512</w:t>
      </w:r>
      <w:r w:rsidR="002834B0" w:rsidRPr="00C54B72">
        <w:t>(c)</w:t>
      </w:r>
      <w:r w:rsidRPr="00C206D7">
        <w:t xml:space="preserve"> requires, in part, that recipients of Recovery Act funding submit quarterly reports that address </w:t>
      </w:r>
      <w:r w:rsidRPr="00C206D7">
        <w:rPr>
          <w:color w:val="000000"/>
        </w:rPr>
        <w:t xml:space="preserve">(1) the total amount of </w:t>
      </w:r>
      <w:r w:rsidR="006E0180">
        <w:rPr>
          <w:color w:val="000000"/>
        </w:rPr>
        <w:t>R</w:t>
      </w:r>
      <w:r w:rsidRPr="00C206D7">
        <w:rPr>
          <w:color w:val="000000"/>
        </w:rPr>
        <w:t xml:space="preserve">ecovery </w:t>
      </w:r>
      <w:r w:rsidR="006E0180">
        <w:rPr>
          <w:color w:val="000000"/>
        </w:rPr>
        <w:t xml:space="preserve">Act </w:t>
      </w:r>
      <w:r w:rsidRPr="00C206D7">
        <w:rPr>
          <w:color w:val="000000"/>
        </w:rPr>
        <w:t xml:space="preserve">funds received; (2) the amount of </w:t>
      </w:r>
      <w:r w:rsidR="006E0180">
        <w:rPr>
          <w:color w:val="000000"/>
        </w:rPr>
        <w:t>R</w:t>
      </w:r>
      <w:r w:rsidRPr="00C206D7">
        <w:rPr>
          <w:color w:val="000000"/>
        </w:rPr>
        <w:t xml:space="preserve">ecovery </w:t>
      </w:r>
      <w:r w:rsidR="006E0180">
        <w:rPr>
          <w:color w:val="000000"/>
        </w:rPr>
        <w:t>Act</w:t>
      </w:r>
      <w:r w:rsidR="00190B6D">
        <w:rPr>
          <w:color w:val="000000"/>
        </w:rPr>
        <w:t xml:space="preserve"> </w:t>
      </w:r>
      <w:r w:rsidRPr="00C206D7">
        <w:rPr>
          <w:color w:val="000000"/>
        </w:rPr>
        <w:t xml:space="preserve">funds expended or obligated to projects or activities; (3) a detailed list of all projects or activities for which </w:t>
      </w:r>
      <w:r w:rsidR="006E0180">
        <w:rPr>
          <w:color w:val="000000"/>
        </w:rPr>
        <w:t>R</w:t>
      </w:r>
      <w:r w:rsidRPr="00C206D7">
        <w:rPr>
          <w:color w:val="000000"/>
        </w:rPr>
        <w:t xml:space="preserve">ecovery </w:t>
      </w:r>
      <w:r w:rsidR="006E0180">
        <w:rPr>
          <w:color w:val="000000"/>
        </w:rPr>
        <w:t xml:space="preserve">Act </w:t>
      </w:r>
      <w:r w:rsidRPr="00C206D7">
        <w:rPr>
          <w:color w:val="000000"/>
        </w:rPr>
        <w:t>funds were expended or obligated; and (4) information on any subcontracts or subgrants awarded by the recipient.  Section 1512</w:t>
      </w:r>
      <w:r w:rsidR="002834B0" w:rsidRPr="00C54B72">
        <w:rPr>
          <w:color w:val="000000"/>
        </w:rPr>
        <w:t>(c)</w:t>
      </w:r>
      <w:r w:rsidRPr="00C206D7">
        <w:rPr>
          <w:color w:val="000000"/>
        </w:rPr>
        <w:t xml:space="preserve"> can be found in its entirety at </w:t>
      </w:r>
      <w:r w:rsidRPr="00C206D7">
        <w:rPr>
          <w:color w:val="000000"/>
          <w:u w:val="single"/>
        </w:rPr>
        <w:t>http://www.gpo.gov/fdsys/pkg/PLAW-111publ5/content-detail.html.</w:t>
      </w:r>
    </w:p>
    <w:p w:rsidR="008C7EDC" w:rsidRPr="00C206D7" w:rsidRDefault="008C7EDC" w:rsidP="00153E69">
      <w:pPr>
        <w:rPr>
          <w:color w:val="000000"/>
        </w:rPr>
      </w:pPr>
    </w:p>
    <w:p w:rsidR="008C7EDC" w:rsidRDefault="008C7EDC" w:rsidP="00153E69">
      <w:pPr>
        <w:pStyle w:val="Default"/>
        <w:rPr>
          <w:rFonts w:ascii="Times New Roman" w:hAnsi="Times New Roman" w:cs="Times New Roman"/>
        </w:rPr>
      </w:pPr>
      <w:r w:rsidRPr="00C206D7">
        <w:rPr>
          <w:rFonts w:ascii="Times New Roman" w:hAnsi="Times New Roman" w:cs="Times New Roman"/>
        </w:rPr>
        <w:t xml:space="preserve">In June 2009, the Office of Management and Budget (OMB) issued guidance on the reporting requirements for recipients of Recovery Act funds (Reference 1) and issued amendments in December 2009 (Reference 2).  </w:t>
      </w:r>
      <w:r w:rsidR="006E0180">
        <w:rPr>
          <w:rFonts w:ascii="Times New Roman" w:hAnsi="Times New Roman" w:cs="Times New Roman"/>
        </w:rPr>
        <w:t>Both</w:t>
      </w:r>
      <w:r w:rsidR="006E0180" w:rsidRPr="00C206D7">
        <w:rPr>
          <w:rFonts w:ascii="Times New Roman" w:hAnsi="Times New Roman" w:cs="Times New Roman"/>
        </w:rPr>
        <w:t xml:space="preserve"> </w:t>
      </w:r>
      <w:r w:rsidRPr="00C206D7">
        <w:rPr>
          <w:rFonts w:ascii="Times New Roman" w:hAnsi="Times New Roman" w:cs="Times New Roman"/>
        </w:rPr>
        <w:t xml:space="preserve">OMB </w:t>
      </w:r>
      <w:r w:rsidR="00190B6D">
        <w:rPr>
          <w:rFonts w:ascii="Times New Roman" w:hAnsi="Times New Roman" w:cs="Times New Roman"/>
        </w:rPr>
        <w:t>g</w:t>
      </w:r>
      <w:r w:rsidR="002834B0" w:rsidRPr="00DD564D">
        <w:rPr>
          <w:rFonts w:ascii="Times New Roman" w:hAnsi="Times New Roman" w:cs="Times New Roman"/>
        </w:rPr>
        <w:t>uidance</w:t>
      </w:r>
      <w:r w:rsidR="006E0180">
        <w:rPr>
          <w:rFonts w:ascii="Times New Roman" w:hAnsi="Times New Roman" w:cs="Times New Roman"/>
        </w:rPr>
        <w:t xml:space="preserve"> documents</w:t>
      </w:r>
      <w:r w:rsidRPr="00C206D7">
        <w:rPr>
          <w:rFonts w:ascii="Times New Roman" w:hAnsi="Times New Roman" w:cs="Times New Roman"/>
        </w:rPr>
        <w:t>: (1) answer questions and clarif</w:t>
      </w:r>
      <w:r w:rsidR="006E0180">
        <w:rPr>
          <w:rFonts w:ascii="Times New Roman" w:hAnsi="Times New Roman" w:cs="Times New Roman"/>
        </w:rPr>
        <w:t>y</w:t>
      </w:r>
      <w:r w:rsidRPr="00C206D7">
        <w:rPr>
          <w:rFonts w:ascii="Times New Roman" w:hAnsi="Times New Roman" w:cs="Times New Roman"/>
        </w:rPr>
        <w:t xml:space="preserve"> issues related to the mechanics and chronology of recipient reporting required by the Recovery Act; (2) provide clarification on what information will be required to be reported on the central reporting site at </w:t>
      </w:r>
      <w:hyperlink r:id="rId9" w:history="1">
        <w:r w:rsidRPr="00C206D7">
          <w:rPr>
            <w:rStyle w:val="Hyperlink"/>
            <w:rFonts w:ascii="Times New Roman" w:hAnsi="Times New Roman"/>
          </w:rPr>
          <w:t>www.FederalReporting.gov</w:t>
        </w:r>
      </w:hyperlink>
      <w:r>
        <w:rPr>
          <w:rFonts w:ascii="Times New Roman" w:hAnsi="Times New Roman" w:cs="Times New Roman"/>
        </w:rPr>
        <w:t xml:space="preserve"> </w:t>
      </w:r>
      <w:r w:rsidRPr="00C206D7">
        <w:rPr>
          <w:rFonts w:ascii="Times New Roman" w:hAnsi="Times New Roman" w:cs="Times New Roman"/>
        </w:rPr>
        <w:t xml:space="preserve">and what information will be reported on </w:t>
      </w:r>
      <w:hyperlink r:id="rId10" w:history="1">
        <w:r w:rsidRPr="00C206D7">
          <w:rPr>
            <w:rStyle w:val="Hyperlink"/>
            <w:rFonts w:ascii="Times New Roman" w:hAnsi="Times New Roman"/>
          </w:rPr>
          <w:t>www.Recovery.gov</w:t>
        </w:r>
      </w:hyperlink>
      <w:r w:rsidRPr="00C206D7">
        <w:rPr>
          <w:rFonts w:ascii="Times New Roman" w:hAnsi="Times New Roman" w:cs="Times New Roman"/>
        </w:rPr>
        <w:t xml:space="preserve">; (3) instruct </w:t>
      </w:r>
      <w:r w:rsidR="002834B0" w:rsidRPr="00DD564D">
        <w:rPr>
          <w:rFonts w:ascii="Times New Roman" w:hAnsi="Times New Roman" w:cs="Times New Roman"/>
        </w:rPr>
        <w:t>recipients</w:t>
      </w:r>
      <w:r w:rsidRPr="00C206D7">
        <w:rPr>
          <w:rFonts w:ascii="Times New Roman" w:hAnsi="Times New Roman" w:cs="Times New Roman"/>
        </w:rPr>
        <w:t xml:space="preserve"> on steps that must be taken to meet these reporting requirements, including the incorporation of </w:t>
      </w:r>
      <w:r w:rsidR="002834B0" w:rsidRPr="00DD564D">
        <w:rPr>
          <w:rFonts w:ascii="Times New Roman" w:hAnsi="Times New Roman" w:cs="Times New Roman"/>
        </w:rPr>
        <w:t>sub-recipient</w:t>
      </w:r>
      <w:r w:rsidRPr="00C206D7">
        <w:rPr>
          <w:rFonts w:ascii="Times New Roman" w:hAnsi="Times New Roman" w:cs="Times New Roman"/>
        </w:rPr>
        <w:t xml:space="preserve"> reporting; and (4) establish a common framework for Federal agencies and recipients to manage a data quality process associated with these reporting requirements. </w:t>
      </w:r>
    </w:p>
    <w:p w:rsidR="006E0180" w:rsidRDefault="006E0180" w:rsidP="00153E69">
      <w:pPr>
        <w:pStyle w:val="Default"/>
        <w:rPr>
          <w:rFonts w:ascii="Times New Roman" w:hAnsi="Times New Roman"/>
        </w:rPr>
      </w:pPr>
    </w:p>
    <w:p w:rsidR="006E0180" w:rsidRPr="00A7634E" w:rsidRDefault="006E0180" w:rsidP="00153E69">
      <w:pPr>
        <w:pStyle w:val="Default"/>
        <w:rPr>
          <w:rFonts w:ascii="Times New Roman" w:hAnsi="Times New Roman" w:cs="Times New Roman"/>
          <w:u w:val="single"/>
        </w:rPr>
      </w:pPr>
      <w:r w:rsidRPr="00A7634E">
        <w:rPr>
          <w:rFonts w:ascii="Times New Roman" w:hAnsi="Times New Roman"/>
          <w:u w:val="single"/>
        </w:rPr>
        <w:t>6.</w:t>
      </w:r>
      <w:r w:rsidRPr="00A7634E">
        <w:rPr>
          <w:rFonts w:ascii="Times New Roman" w:hAnsi="Times New Roman" w:cs="Times New Roman"/>
          <w:u w:val="single"/>
        </w:rPr>
        <w:t>1.2 Who is Required to Report</w:t>
      </w:r>
    </w:p>
    <w:p w:rsidR="006E0180" w:rsidRPr="00C206D7" w:rsidRDefault="006E0180" w:rsidP="008F7236">
      <w:pPr>
        <w:ind w:firstLine="720"/>
        <w:rPr>
          <w:color w:val="000000"/>
        </w:rPr>
      </w:pPr>
      <w:r w:rsidRPr="00C206D7">
        <w:t xml:space="preserve">Prime recipients of Recovery Act funds under the </w:t>
      </w:r>
      <w:r>
        <w:t>EECBG</w:t>
      </w:r>
      <w:r w:rsidRPr="00C206D7">
        <w:t xml:space="preserve"> Program are responsible for reporting the information required by Section 1512 of the A</w:t>
      </w:r>
      <w:r>
        <w:t>RRA</w:t>
      </w:r>
      <w:r w:rsidRPr="00C206D7">
        <w:t xml:space="preserve"> and as provided in </w:t>
      </w:r>
      <w:r>
        <w:t>both OMB g</w:t>
      </w:r>
      <w:r w:rsidRPr="00C206D7">
        <w:t>uidance</w:t>
      </w:r>
      <w:r>
        <w:t xml:space="preserve"> documents</w:t>
      </w:r>
      <w:r w:rsidRPr="00C206D7">
        <w:t xml:space="preserve">. </w:t>
      </w:r>
      <w:r>
        <w:t xml:space="preserve"> </w:t>
      </w:r>
      <w:r w:rsidRPr="00C206D7">
        <w:t>Prime recipients may delegate certain reporting r</w:t>
      </w:r>
      <w:r w:rsidR="008F7236">
        <w:t xml:space="preserve">equirements to sub-recipients. </w:t>
      </w:r>
      <w:r w:rsidRPr="00C206D7">
        <w:rPr>
          <w:color w:val="000000"/>
        </w:rPr>
        <w:t>The OMB Guidance does not provide for such a delegation to vendors.  A vendor</w:t>
      </w:r>
      <w:r w:rsidRPr="00C206D7">
        <w:rPr>
          <w:b/>
          <w:bCs/>
          <w:color w:val="000000"/>
        </w:rPr>
        <w:t xml:space="preserve"> </w:t>
      </w:r>
      <w:r w:rsidRPr="00C206D7">
        <w:rPr>
          <w:color w:val="000000"/>
        </w:rPr>
        <w:t xml:space="preserve">is defined as a dealer, distributor, </w:t>
      </w:r>
      <w:r w:rsidR="00190B6D" w:rsidRPr="00C206D7">
        <w:rPr>
          <w:color w:val="000000"/>
        </w:rPr>
        <w:t>merchant</w:t>
      </w:r>
      <w:r w:rsidRPr="00C206D7">
        <w:rPr>
          <w:color w:val="000000"/>
        </w:rPr>
        <w:t xml:space="preserve"> or other seller providing goods or services that are required for the conduct of a Federal program.</w:t>
      </w:r>
    </w:p>
    <w:p w:rsidR="006E0180" w:rsidRPr="006E0180" w:rsidRDefault="008F7236" w:rsidP="006E0180">
      <w:pPr>
        <w:autoSpaceDE w:val="0"/>
        <w:autoSpaceDN w:val="0"/>
        <w:adjustRightInd w:val="0"/>
        <w:rPr>
          <w:color w:val="000000"/>
        </w:rPr>
      </w:pPr>
      <w:r>
        <w:tab/>
      </w:r>
      <w:r w:rsidR="006E0180" w:rsidRPr="00C206D7">
        <w:t xml:space="preserve">Complete guidance on who is required to report under the Recovery Act is provided in section 2.2 of Reference 1.  The policy regarding delegation of reporting by the prime recipient is further described in Section 2.3 of Reference 1.  The responsibilities of prime recipients and sub-recipients are discussed also in section 2.3 of Reference 1. </w:t>
      </w:r>
    </w:p>
    <w:p w:rsidR="008C7EDC" w:rsidRPr="00C206D7" w:rsidRDefault="008C7EDC" w:rsidP="00153E69">
      <w:pPr>
        <w:rPr>
          <w:b/>
          <w:bCs/>
        </w:rPr>
      </w:pPr>
    </w:p>
    <w:p w:rsidR="008C7EDC" w:rsidRPr="00C206D7" w:rsidRDefault="008C7EDC" w:rsidP="00153E69">
      <w:pPr>
        <w:rPr>
          <w:u w:val="single"/>
        </w:rPr>
      </w:pPr>
      <w:r>
        <w:rPr>
          <w:u w:val="single"/>
        </w:rPr>
        <w:t>6</w:t>
      </w:r>
      <w:r w:rsidRPr="00C206D7">
        <w:rPr>
          <w:u w:val="single"/>
        </w:rPr>
        <w:t>.1.</w:t>
      </w:r>
      <w:r w:rsidR="00111702">
        <w:rPr>
          <w:u w:val="single"/>
        </w:rPr>
        <w:t>3</w:t>
      </w:r>
      <w:r w:rsidRPr="00C206D7">
        <w:rPr>
          <w:u w:val="single"/>
        </w:rPr>
        <w:t xml:space="preserve"> Reporting Guidelines</w:t>
      </w:r>
    </w:p>
    <w:p w:rsidR="008C7EDC" w:rsidRPr="00C206D7" w:rsidRDefault="008C7EDC" w:rsidP="00153E69">
      <w:r w:rsidRPr="00C206D7">
        <w:tab/>
        <w:t>FederalReporting.gov is the central</w:t>
      </w:r>
      <w:r w:rsidR="002834B0">
        <w:t>,</w:t>
      </w:r>
      <w:r w:rsidRPr="00C206D7">
        <w:t xml:space="preserve"> government-wide data collection system for recipients of Federal awards</w:t>
      </w:r>
      <w:r w:rsidR="002834B0">
        <w:t>,</w:t>
      </w:r>
      <w:r w:rsidR="002834B0" w:rsidRPr="00FF7AAE">
        <w:t xml:space="preserve"> under Section 1512 of the </w:t>
      </w:r>
      <w:r w:rsidR="002834B0">
        <w:t>Recovery Act</w:t>
      </w:r>
      <w:r w:rsidRPr="00C206D7">
        <w:t>. Recipients must access FederalReporting.gov in order to fulfill their reporting obligations</w:t>
      </w:r>
      <w:r w:rsidR="002834B0" w:rsidRPr="00FF7AAE">
        <w:t xml:space="preserve">. Prime Recipients </w:t>
      </w:r>
      <w:r w:rsidR="00F011CF">
        <w:t>and selected</w:t>
      </w:r>
      <w:r w:rsidR="00111702">
        <w:t xml:space="preserve"> </w:t>
      </w:r>
      <w:r w:rsidR="00F011CF">
        <w:t>s</w:t>
      </w:r>
      <w:r w:rsidR="00111702">
        <w:t>ub-</w:t>
      </w:r>
      <w:r w:rsidR="002834B0">
        <w:t>r</w:t>
      </w:r>
      <w:r w:rsidR="002834B0" w:rsidRPr="00FF7AAE">
        <w:t xml:space="preserve">ecipients </w:t>
      </w:r>
      <w:r w:rsidRPr="00C206D7">
        <w:t>are required to submit data on a quarterly basis for grants, loans, and federally awarded contracts under the Recovery Act</w:t>
      </w:r>
      <w:r w:rsidR="00111702">
        <w:t xml:space="preserve"> and</w:t>
      </w:r>
      <w:r w:rsidRPr="00C206D7">
        <w:t xml:space="preserve"> must report the information described in Section 1512 </w:t>
      </w:r>
      <w:r w:rsidR="002834B0" w:rsidRPr="00FF7AAE">
        <w:t xml:space="preserve">(c) </w:t>
      </w:r>
      <w:r w:rsidRPr="00C206D7">
        <w:t xml:space="preserve">of the Recovery Act using the reporting instructions and data elements provided online at </w:t>
      </w:r>
      <w:hyperlink r:id="rId11" w:history="1">
        <w:r w:rsidRPr="00C206D7">
          <w:rPr>
            <w:u w:val="single"/>
          </w:rPr>
          <w:t>http://www.FederalReporting.gov</w:t>
        </w:r>
      </w:hyperlink>
      <w:r w:rsidRPr="00C206D7">
        <w:t xml:space="preserve">.  </w:t>
      </w:r>
    </w:p>
    <w:p w:rsidR="008C7EDC" w:rsidRPr="00C206D7" w:rsidRDefault="008C7EDC" w:rsidP="00153E69"/>
    <w:p w:rsidR="008C7EDC" w:rsidRPr="00C206D7" w:rsidRDefault="008C7EDC" w:rsidP="00153E69">
      <w:pPr>
        <w:rPr>
          <w:b/>
          <w:bCs/>
        </w:rPr>
      </w:pPr>
      <w:r w:rsidRPr="00C206D7">
        <w:rPr>
          <w:b/>
          <w:bCs/>
        </w:rPr>
        <w:t>Complete guidance for Section 1512</w:t>
      </w:r>
      <w:r w:rsidR="002834B0" w:rsidRPr="00C9327B">
        <w:rPr>
          <w:b/>
        </w:rPr>
        <w:t xml:space="preserve"> (c)</w:t>
      </w:r>
      <w:r w:rsidRPr="00C206D7">
        <w:rPr>
          <w:b/>
          <w:bCs/>
        </w:rPr>
        <w:t xml:space="preserve"> reporting and instructions is provided at</w:t>
      </w:r>
      <w:r w:rsidRPr="00C206D7">
        <w:t xml:space="preserve"> DOE’s Recovery Act Recipient and Contractor Reporting website</w:t>
      </w:r>
      <w:r w:rsidRPr="00111702">
        <w:t>:</w:t>
      </w:r>
    </w:p>
    <w:p w:rsidR="008C7EDC" w:rsidRPr="00C206D7" w:rsidRDefault="0066046F" w:rsidP="00153E69">
      <w:hyperlink r:id="rId12" w:history="1">
        <w:r w:rsidR="008C7EDC" w:rsidRPr="00C206D7">
          <w:rPr>
            <w:rStyle w:val="Hyperlink"/>
          </w:rPr>
          <w:t>http://www.energy.gov/recovery/ARRA</w:t>
        </w:r>
        <w:r w:rsidR="002834B0" w:rsidRPr="007D46B7">
          <w:rPr>
            <w:rStyle w:val="Hyperlink"/>
          </w:rPr>
          <w:t>_</w:t>
        </w:r>
        <w:r w:rsidR="008C7EDC" w:rsidRPr="00C206D7">
          <w:rPr>
            <w:rStyle w:val="Hyperlink"/>
          </w:rPr>
          <w:t xml:space="preserve"> Reporting_Requirements.htm</w:t>
        </w:r>
      </w:hyperlink>
      <w:r w:rsidR="008C7EDC" w:rsidRPr="00C206D7">
        <w:t xml:space="preserve">.  </w:t>
      </w:r>
    </w:p>
    <w:p w:rsidR="008C7EDC" w:rsidRPr="00C206D7" w:rsidRDefault="008C7EDC" w:rsidP="00153E69"/>
    <w:p w:rsidR="008C7EDC" w:rsidRPr="00C206D7" w:rsidRDefault="00F011CF" w:rsidP="00153E69">
      <w:r w:rsidRPr="00C206D7">
        <w:t>Subsets of topics at this site include</w:t>
      </w:r>
      <w:r w:rsidR="008C7EDC" w:rsidRPr="00C206D7">
        <w:t xml:space="preserve"> the following (which are also summarized in the instructions at DOE’s Recovery Act Recipient and Contractor Reporting website):</w:t>
      </w:r>
    </w:p>
    <w:p w:rsidR="008C7EDC" w:rsidRPr="00C206D7" w:rsidRDefault="008C7EDC" w:rsidP="00153E69">
      <w:pPr>
        <w:numPr>
          <w:ilvl w:val="0"/>
          <w:numId w:val="10"/>
        </w:numPr>
      </w:pPr>
      <w:r w:rsidRPr="00C206D7">
        <w:t>Who is required to report (responsibilities of the prime and sub-recipients)</w:t>
      </w:r>
    </w:p>
    <w:p w:rsidR="008C7EDC" w:rsidRPr="00C206D7" w:rsidRDefault="008C7EDC" w:rsidP="00153E69">
      <w:pPr>
        <w:numPr>
          <w:ilvl w:val="0"/>
          <w:numId w:val="10"/>
        </w:numPr>
      </w:pPr>
      <w:r w:rsidRPr="00C206D7">
        <w:t>Reporting timeframe and registration</w:t>
      </w:r>
    </w:p>
    <w:p w:rsidR="008C7EDC" w:rsidRPr="00C206D7" w:rsidRDefault="008C7EDC" w:rsidP="00153E69">
      <w:pPr>
        <w:numPr>
          <w:ilvl w:val="0"/>
          <w:numId w:val="10"/>
        </w:numPr>
      </w:pPr>
      <w:r w:rsidRPr="00C206D7">
        <w:t>Overview of the Required Reporting Data Elements and Metrics</w:t>
      </w:r>
    </w:p>
    <w:p w:rsidR="008C7EDC" w:rsidRPr="00C206D7" w:rsidRDefault="008C7EDC" w:rsidP="00153E69">
      <w:pPr>
        <w:numPr>
          <w:ilvl w:val="0"/>
          <w:numId w:val="10"/>
        </w:numPr>
      </w:pPr>
      <w:r w:rsidRPr="00C206D7">
        <w:t>Required jobs reporting</w:t>
      </w:r>
    </w:p>
    <w:p w:rsidR="008C7EDC" w:rsidRPr="00C206D7" w:rsidRDefault="008C7EDC" w:rsidP="00153E69">
      <w:pPr>
        <w:numPr>
          <w:ilvl w:val="0"/>
          <w:numId w:val="10"/>
        </w:numPr>
      </w:pPr>
      <w:r w:rsidRPr="00C206D7">
        <w:t>What information must be reported</w:t>
      </w:r>
    </w:p>
    <w:p w:rsidR="008C7EDC" w:rsidRPr="00C206D7" w:rsidRDefault="008C7EDC" w:rsidP="00153E69">
      <w:pPr>
        <w:numPr>
          <w:ilvl w:val="0"/>
          <w:numId w:val="10"/>
        </w:numPr>
        <w:rPr>
          <w:b/>
          <w:bCs/>
        </w:rPr>
      </w:pPr>
      <w:r w:rsidRPr="00C206D7">
        <w:t>Timetable for submitting, viewing, and editing reports</w:t>
      </w:r>
    </w:p>
    <w:p w:rsidR="008C7EDC" w:rsidRPr="00C206D7" w:rsidRDefault="008C7EDC" w:rsidP="00153E69">
      <w:pPr>
        <w:numPr>
          <w:ilvl w:val="0"/>
          <w:numId w:val="10"/>
        </w:numPr>
        <w:rPr>
          <w:b/>
          <w:bCs/>
        </w:rPr>
      </w:pPr>
      <w:r w:rsidRPr="00C206D7">
        <w:t>Process for downloading and uploading files</w:t>
      </w:r>
    </w:p>
    <w:p w:rsidR="008C7EDC" w:rsidRPr="00C206D7" w:rsidRDefault="008C7EDC" w:rsidP="00153E69">
      <w:pPr>
        <w:numPr>
          <w:ilvl w:val="0"/>
          <w:numId w:val="10"/>
        </w:numPr>
        <w:rPr>
          <w:b/>
          <w:bCs/>
        </w:rPr>
      </w:pPr>
      <w:r w:rsidRPr="00C206D7">
        <w:t>Process for making corrections to reports</w:t>
      </w:r>
    </w:p>
    <w:p w:rsidR="008C7EDC" w:rsidRPr="00C206D7" w:rsidRDefault="008C7EDC" w:rsidP="00153E69"/>
    <w:p w:rsidR="008C7EDC" w:rsidRPr="00C206D7" w:rsidRDefault="008C7EDC" w:rsidP="00153E69">
      <w:pPr>
        <w:rPr>
          <w:u w:val="single"/>
        </w:rPr>
      </w:pPr>
      <w:r>
        <w:rPr>
          <w:u w:val="single"/>
        </w:rPr>
        <w:t>6</w:t>
      </w:r>
      <w:r w:rsidRPr="00C206D7">
        <w:rPr>
          <w:u w:val="single"/>
        </w:rPr>
        <w:t>.1.</w:t>
      </w:r>
      <w:r w:rsidR="00F011CF">
        <w:rPr>
          <w:u w:val="single"/>
        </w:rPr>
        <w:t>4</w:t>
      </w:r>
      <w:r w:rsidRPr="00C206D7">
        <w:rPr>
          <w:u w:val="single"/>
        </w:rPr>
        <w:t xml:space="preserve"> Resources to assist recipients with OMB reporting:</w:t>
      </w:r>
    </w:p>
    <w:p w:rsidR="008C7EDC" w:rsidRPr="00C206D7" w:rsidRDefault="008C7EDC" w:rsidP="00153E69">
      <w:pPr>
        <w:numPr>
          <w:ilvl w:val="0"/>
          <w:numId w:val="12"/>
        </w:numPr>
      </w:pPr>
      <w:r w:rsidRPr="00C206D7">
        <w:t xml:space="preserve">DOE Recovery </w:t>
      </w:r>
      <w:r w:rsidR="002834B0">
        <w:t xml:space="preserve">Act </w:t>
      </w:r>
      <w:r w:rsidRPr="00C206D7">
        <w:t xml:space="preserve">website: </w:t>
      </w:r>
      <w:hyperlink r:id="rId13" w:history="1">
        <w:r w:rsidRPr="00C206D7">
          <w:rPr>
            <w:rStyle w:val="Hyperlink"/>
          </w:rPr>
          <w:t>http://www.energy.gov/recovery/ARRA</w:t>
        </w:r>
        <w:r w:rsidR="002834B0" w:rsidRPr="007D46B7">
          <w:rPr>
            <w:rStyle w:val="Hyperlink"/>
          </w:rPr>
          <w:t>_</w:t>
        </w:r>
        <w:r w:rsidRPr="00C206D7">
          <w:rPr>
            <w:rStyle w:val="Hyperlink"/>
          </w:rPr>
          <w:t xml:space="preserve"> Reporting_Requirements.htm</w:t>
        </w:r>
      </w:hyperlink>
    </w:p>
    <w:p w:rsidR="008C7EDC" w:rsidRPr="00C206D7" w:rsidRDefault="008C7EDC" w:rsidP="00153E69">
      <w:pPr>
        <w:numPr>
          <w:ilvl w:val="0"/>
          <w:numId w:val="12"/>
        </w:numPr>
      </w:pPr>
      <w:r w:rsidRPr="00C206D7">
        <w:t xml:space="preserve">DOE has published a central list of codes and other reporting elements by award to assist </w:t>
      </w:r>
      <w:r w:rsidR="00F011CF">
        <w:t>r</w:t>
      </w:r>
      <w:r w:rsidRPr="00C206D7">
        <w:t xml:space="preserve">ecipients in completing their reports. That list can be found at </w:t>
      </w:r>
      <w:r w:rsidR="002834B0" w:rsidRPr="00405465">
        <w:t>http://www.energy.gov/recovery/documents/Federal_Reporting_Recipient_Information.xls</w:t>
      </w:r>
      <w:r w:rsidR="002834B0">
        <w:t>.</w:t>
      </w:r>
    </w:p>
    <w:p w:rsidR="008C7EDC" w:rsidRPr="00C206D7" w:rsidRDefault="008C7EDC" w:rsidP="00153E69">
      <w:pPr>
        <w:numPr>
          <w:ilvl w:val="0"/>
          <w:numId w:val="12"/>
        </w:numPr>
      </w:pPr>
      <w:r w:rsidRPr="00C206D7">
        <w:t xml:space="preserve">DOE Recovery Act Clearinghouse: </w:t>
      </w:r>
      <w:hyperlink r:id="rId14" w:history="1">
        <w:r w:rsidR="00F011CF" w:rsidRPr="008B3852">
          <w:rPr>
            <w:rStyle w:val="Hyperlink"/>
          </w:rPr>
          <w:t>https://recoveryclearinghouse.energy.gov</w:t>
        </w:r>
      </w:hyperlink>
      <w:r w:rsidR="00F011CF">
        <w:t xml:space="preserve"> </w:t>
      </w:r>
      <w:r w:rsidRPr="00C206D7">
        <w:t>or 1-888-363-7289 to questions about OMB reporting requirements</w:t>
      </w:r>
    </w:p>
    <w:p w:rsidR="008C7EDC" w:rsidRPr="00C206D7" w:rsidRDefault="008C7EDC" w:rsidP="00153E69">
      <w:pPr>
        <w:numPr>
          <w:ilvl w:val="0"/>
          <w:numId w:val="12"/>
        </w:numPr>
      </w:pPr>
      <w:r w:rsidRPr="00C206D7">
        <w:t xml:space="preserve">A full description of these requirements is published on the </w:t>
      </w:r>
      <w:hyperlink r:id="rId15" w:history="1">
        <w:r w:rsidRPr="00C206D7">
          <w:rPr>
            <w:rStyle w:val="Hyperlink"/>
          </w:rPr>
          <w:t>Recipient Reporting Information</w:t>
        </w:r>
      </w:hyperlink>
      <w:r w:rsidRPr="00C206D7">
        <w:t xml:space="preserve"> section of the Recovery.gov Web site. </w:t>
      </w:r>
    </w:p>
    <w:p w:rsidR="008C7EDC" w:rsidRPr="00C206D7" w:rsidRDefault="008C7EDC" w:rsidP="00153E69">
      <w:pPr>
        <w:numPr>
          <w:ilvl w:val="0"/>
          <w:numId w:val="12"/>
        </w:numPr>
        <w:autoSpaceDE w:val="0"/>
        <w:autoSpaceDN w:val="0"/>
        <w:adjustRightInd w:val="0"/>
      </w:pPr>
      <w:r w:rsidRPr="00C206D7">
        <w:t>FederalReporting.gov User Guide</w:t>
      </w:r>
    </w:p>
    <w:p w:rsidR="008C7EDC" w:rsidRPr="00C206D7" w:rsidRDefault="008C7EDC" w:rsidP="00153E69">
      <w:pPr>
        <w:numPr>
          <w:ilvl w:val="0"/>
          <w:numId w:val="12"/>
        </w:numPr>
        <w:autoSpaceDE w:val="0"/>
        <w:autoSpaceDN w:val="0"/>
        <w:adjustRightInd w:val="0"/>
      </w:pPr>
      <w:r w:rsidRPr="00C206D7">
        <w:t>Additional training for OMB Recovery Act Reporting is available at: http://www.whitehouse.gov/Recovery/WebinarTrainingMaterials/</w:t>
      </w:r>
    </w:p>
    <w:p w:rsidR="008C7EDC" w:rsidRPr="00C206D7" w:rsidRDefault="008C7EDC" w:rsidP="00153E69">
      <w:pPr>
        <w:autoSpaceDE w:val="0"/>
        <w:autoSpaceDN w:val="0"/>
        <w:adjustRightInd w:val="0"/>
        <w:ind w:left="360"/>
      </w:pPr>
    </w:p>
    <w:p w:rsidR="008C7EDC" w:rsidRPr="00C206D7" w:rsidRDefault="008C7EDC" w:rsidP="00153E69">
      <w:pPr>
        <w:rPr>
          <w:u w:val="single"/>
        </w:rPr>
      </w:pPr>
      <w:r>
        <w:rPr>
          <w:u w:val="single"/>
        </w:rPr>
        <w:t>6</w:t>
      </w:r>
      <w:r w:rsidRPr="00C206D7">
        <w:rPr>
          <w:u w:val="single"/>
        </w:rPr>
        <w:t>.1.5 Reporting Timeframe and Registration</w:t>
      </w:r>
    </w:p>
    <w:p w:rsidR="008C7EDC" w:rsidRPr="00C206D7" w:rsidRDefault="00F011CF" w:rsidP="00153E69">
      <w:r>
        <w:t>The</w:t>
      </w:r>
      <w:r w:rsidR="008C7EDC" w:rsidRPr="00C206D7">
        <w:t xml:space="preserve"> report to FederalReporting.gov is due no later than ten calendar days after the calendar quarter in which the recipient received this grant and subsequent quarters until full expenditure of funds.</w:t>
      </w:r>
    </w:p>
    <w:p w:rsidR="008C7EDC" w:rsidRPr="00C206D7" w:rsidRDefault="008C7EDC" w:rsidP="00153E69">
      <w:pPr>
        <w:numPr>
          <w:ilvl w:val="0"/>
          <w:numId w:val="17"/>
        </w:numPr>
      </w:pPr>
      <w:r w:rsidRPr="00C206D7">
        <w:t>Reporting through Federalreporting.gov requires recipients to register on the system.  To register as a recipient in the FederalReporting.gov, you will need:</w:t>
      </w:r>
    </w:p>
    <w:p w:rsidR="008C7EDC" w:rsidRPr="00C206D7" w:rsidRDefault="008C7EDC" w:rsidP="00153E69">
      <w:pPr>
        <w:numPr>
          <w:ilvl w:val="1"/>
          <w:numId w:val="17"/>
        </w:numPr>
      </w:pPr>
      <w:r w:rsidRPr="00C206D7">
        <w:t>Email Address, Award Letter, DUNS Number, CCR Number</w:t>
      </w:r>
      <w:r w:rsidR="002834B0">
        <w:t>.</w:t>
      </w:r>
    </w:p>
    <w:p w:rsidR="008C7EDC" w:rsidRPr="00C206D7" w:rsidRDefault="002834B0" w:rsidP="00153E69">
      <w:pPr>
        <w:numPr>
          <w:ilvl w:val="0"/>
          <w:numId w:val="17"/>
        </w:numPr>
      </w:pPr>
      <w:r w:rsidRPr="00FF7AAE">
        <w:t xml:space="preserve">Recipients </w:t>
      </w:r>
      <w:r w:rsidR="008C7EDC" w:rsidRPr="00C206D7">
        <w:t>will be able to submit their reports 1 to 10 days after the end of every fiscal quarter starting with Q4 FY 2009. (</w:t>
      </w:r>
      <w:r w:rsidR="00F011CF">
        <w:t>i</w:t>
      </w:r>
      <w:r w:rsidRPr="00FF7AAE">
        <w:t>.</w:t>
      </w:r>
      <w:r w:rsidR="008C7EDC" w:rsidRPr="00C206D7">
        <w:t>e. October 1 - October 10, 2009</w:t>
      </w:r>
      <w:r w:rsidRPr="00FF7AAE">
        <w:t>)</w:t>
      </w:r>
      <w:r>
        <w:t>.</w:t>
      </w:r>
    </w:p>
    <w:p w:rsidR="008C7EDC" w:rsidRPr="00C206D7" w:rsidRDefault="008C7EDC" w:rsidP="00153E69">
      <w:pPr>
        <w:numPr>
          <w:ilvl w:val="0"/>
          <w:numId w:val="17"/>
        </w:numPr>
      </w:pPr>
      <w:r w:rsidRPr="00C206D7">
        <w:t>Days 11 -</w:t>
      </w:r>
      <w:r w:rsidR="002834B0">
        <w:t xml:space="preserve"> </w:t>
      </w:r>
      <w:r w:rsidRPr="00C206D7">
        <w:t xml:space="preserve">21 are available for </w:t>
      </w:r>
      <w:r w:rsidR="002834B0">
        <w:t>prime r</w:t>
      </w:r>
      <w:r w:rsidR="002834B0" w:rsidRPr="00FF7AAE">
        <w:t xml:space="preserve">ecipients </w:t>
      </w:r>
      <w:r w:rsidRPr="00C206D7">
        <w:t>to review and edit the data loaded by the 10th</w:t>
      </w:r>
      <w:r w:rsidR="002834B0">
        <w:t>.</w:t>
      </w:r>
    </w:p>
    <w:p w:rsidR="008C7EDC" w:rsidRPr="00C206D7" w:rsidRDefault="008C7EDC" w:rsidP="00153E69">
      <w:pPr>
        <w:pStyle w:val="Heading3"/>
        <w:rPr>
          <w:b w:val="0"/>
          <w:bCs w:val="0"/>
          <w:color w:val="000000"/>
        </w:rPr>
      </w:pPr>
    </w:p>
    <w:p w:rsidR="008C7EDC" w:rsidRPr="00C206D7" w:rsidRDefault="008C7EDC" w:rsidP="00153E69">
      <w:pPr>
        <w:pStyle w:val="Heading3"/>
        <w:rPr>
          <w:b w:val="0"/>
          <w:bCs w:val="0"/>
          <w:color w:val="000000"/>
        </w:rPr>
      </w:pPr>
      <w:r w:rsidRPr="00C206D7">
        <w:rPr>
          <w:b w:val="0"/>
          <w:bCs w:val="0"/>
          <w:color w:val="000000"/>
        </w:rPr>
        <w:t>The reporting process is discussed in full in Section 3 of Reference 1.</w:t>
      </w:r>
    </w:p>
    <w:p w:rsidR="008C7EDC" w:rsidRDefault="008C7EDC" w:rsidP="00153E69">
      <w:pPr>
        <w:pStyle w:val="Heading3"/>
        <w:rPr>
          <w:color w:val="000000"/>
        </w:rPr>
      </w:pPr>
    </w:p>
    <w:p w:rsidR="00A80178" w:rsidRDefault="00A80178" w:rsidP="00153E69">
      <w:pPr>
        <w:pStyle w:val="Heading3"/>
        <w:rPr>
          <w:color w:val="000000"/>
        </w:rPr>
      </w:pPr>
    </w:p>
    <w:p w:rsidR="00A80178" w:rsidRPr="00C206D7" w:rsidRDefault="00A80178" w:rsidP="00153E69">
      <w:pPr>
        <w:pStyle w:val="Heading3"/>
        <w:rPr>
          <w:color w:val="000000"/>
        </w:rPr>
      </w:pPr>
    </w:p>
    <w:p w:rsidR="008C7EDC" w:rsidRPr="00C206D7" w:rsidRDefault="008C7EDC" w:rsidP="00153E69">
      <w:pPr>
        <w:pStyle w:val="Heading3"/>
        <w:rPr>
          <w:b w:val="0"/>
          <w:bCs w:val="0"/>
          <w:color w:val="000000"/>
          <w:u w:val="single"/>
        </w:rPr>
      </w:pPr>
      <w:r>
        <w:rPr>
          <w:b w:val="0"/>
          <w:bCs w:val="0"/>
          <w:color w:val="000000"/>
          <w:u w:val="single"/>
        </w:rPr>
        <w:t>6</w:t>
      </w:r>
      <w:r w:rsidRPr="00C206D7">
        <w:rPr>
          <w:b w:val="0"/>
          <w:bCs w:val="0"/>
          <w:color w:val="000000"/>
          <w:u w:val="single"/>
        </w:rPr>
        <w:t>.1.6 Overview of the Required Reporting Data Elements and Metrics</w:t>
      </w:r>
    </w:p>
    <w:p w:rsidR="008C7EDC" w:rsidRPr="00C206D7" w:rsidRDefault="008C7EDC" w:rsidP="00153E69">
      <w:pPr>
        <w:pStyle w:val="nobottom"/>
        <w:rPr>
          <w:color w:val="000000"/>
        </w:rPr>
      </w:pPr>
      <w:r w:rsidRPr="00C206D7">
        <w:rPr>
          <w:color w:val="000000"/>
        </w:rPr>
        <w:t xml:space="preserve">For reporting into FederalReporting.gov, recipients will input 31 data elements. </w:t>
      </w:r>
      <w:r w:rsidRPr="00C206D7">
        <w:t xml:space="preserve">For a complete list of all data elements, please see Required Data on page 10 of Reference 1. </w:t>
      </w:r>
      <w:r w:rsidRPr="00C206D7">
        <w:rPr>
          <w:color w:val="000000"/>
        </w:rPr>
        <w:t>These elements comprise primarily organizational, financial and jobs</w:t>
      </w:r>
      <w:r w:rsidR="002834B0">
        <w:rPr>
          <w:color w:val="000000"/>
        </w:rPr>
        <w:t>-</w:t>
      </w:r>
      <w:r w:rsidRPr="00C206D7">
        <w:rPr>
          <w:color w:val="000000"/>
        </w:rPr>
        <w:t xml:space="preserve"> related information, and do not include performance metrics, which will be covered in program specific reporting. Some key data elements include:</w:t>
      </w:r>
    </w:p>
    <w:p w:rsidR="008C7EDC" w:rsidRPr="00C206D7" w:rsidRDefault="008C7EDC" w:rsidP="00153E69">
      <w:pPr>
        <w:numPr>
          <w:ilvl w:val="0"/>
          <w:numId w:val="11"/>
        </w:numPr>
        <w:spacing w:before="100" w:beforeAutospacing="1"/>
        <w:rPr>
          <w:color w:val="000000"/>
        </w:rPr>
      </w:pPr>
      <w:r w:rsidRPr="00C206D7">
        <w:rPr>
          <w:color w:val="000000"/>
        </w:rPr>
        <w:t>Amount of award – which is the total dollar amount of Recovery funds received from DOE in Block 13 of the Assistance Agreement.</w:t>
      </w:r>
    </w:p>
    <w:p w:rsidR="008C7EDC" w:rsidRPr="00C206D7" w:rsidRDefault="008C7EDC" w:rsidP="00153E69">
      <w:pPr>
        <w:numPr>
          <w:ilvl w:val="0"/>
          <w:numId w:val="11"/>
        </w:numPr>
        <w:spacing w:before="100" w:beforeAutospacing="1"/>
        <w:rPr>
          <w:color w:val="000000"/>
        </w:rPr>
      </w:pPr>
      <w:r w:rsidRPr="00C206D7">
        <w:rPr>
          <w:color w:val="000000"/>
        </w:rPr>
        <w:t>Award number – which is the identifying number assigned by DOE in Block 1 of the Assistance Agreement.</w:t>
      </w:r>
    </w:p>
    <w:p w:rsidR="008C7EDC" w:rsidRPr="00C206D7" w:rsidRDefault="008C7EDC" w:rsidP="00153E69">
      <w:pPr>
        <w:numPr>
          <w:ilvl w:val="0"/>
          <w:numId w:val="11"/>
        </w:numPr>
        <w:spacing w:before="100" w:beforeAutospacing="1"/>
        <w:rPr>
          <w:color w:val="000000"/>
        </w:rPr>
      </w:pPr>
      <w:r w:rsidRPr="00C206D7">
        <w:rPr>
          <w:color w:val="000000"/>
        </w:rPr>
        <w:t>Total amount of Recovery Act expenditure – which is the cumulative total dollar amount of Recovery Act funds spent on the project.</w:t>
      </w:r>
    </w:p>
    <w:p w:rsidR="008C7EDC" w:rsidRPr="00C206D7" w:rsidRDefault="008C7EDC" w:rsidP="00153E69">
      <w:pPr>
        <w:numPr>
          <w:ilvl w:val="0"/>
          <w:numId w:val="11"/>
        </w:numPr>
        <w:spacing w:before="100" w:beforeAutospacing="1"/>
        <w:rPr>
          <w:color w:val="000000"/>
        </w:rPr>
      </w:pPr>
      <w:r w:rsidRPr="00C206D7">
        <w:t xml:space="preserve">Total Recovery Act infrastructure expenditure </w:t>
      </w:r>
      <w:r w:rsidRPr="00C206D7">
        <w:rPr>
          <w:color w:val="000000"/>
        </w:rPr>
        <w:t xml:space="preserve">– </w:t>
      </w:r>
      <w:r w:rsidRPr="00C206D7">
        <w:t>which is the total dollar amount of Recovery Act funds spent on infrastructure project, if relevant</w:t>
      </w:r>
      <w:r w:rsidR="002834B0">
        <w:t>.</w:t>
      </w:r>
    </w:p>
    <w:p w:rsidR="008C7EDC" w:rsidRPr="00C206D7" w:rsidRDefault="008C7EDC" w:rsidP="00153E69">
      <w:pPr>
        <w:numPr>
          <w:ilvl w:val="0"/>
          <w:numId w:val="11"/>
        </w:numPr>
        <w:spacing w:before="100" w:beforeAutospacing="1"/>
        <w:rPr>
          <w:color w:val="000000"/>
        </w:rPr>
      </w:pPr>
      <w:r w:rsidRPr="00C206D7">
        <w:rPr>
          <w:color w:val="000000"/>
        </w:rPr>
        <w:t>Total number of sub-awards issued and total amount paid to sub-recipients during the last quarter</w:t>
      </w:r>
    </w:p>
    <w:p w:rsidR="008C7EDC" w:rsidRPr="00C206D7" w:rsidRDefault="008C7EDC" w:rsidP="00153E69">
      <w:pPr>
        <w:numPr>
          <w:ilvl w:val="1"/>
          <w:numId w:val="11"/>
        </w:numPr>
        <w:spacing w:before="100" w:beforeAutospacing="1"/>
        <w:rPr>
          <w:color w:val="000000"/>
        </w:rPr>
      </w:pPr>
      <w:r w:rsidRPr="00C206D7">
        <w:rPr>
          <w:color w:val="000000"/>
        </w:rPr>
        <w:t xml:space="preserve">Basic data elements for any sub-awards over $25,000 </w:t>
      </w:r>
    </w:p>
    <w:p w:rsidR="008C7EDC" w:rsidRPr="00C206D7" w:rsidRDefault="008C7EDC" w:rsidP="00153E69">
      <w:pPr>
        <w:numPr>
          <w:ilvl w:val="1"/>
          <w:numId w:val="11"/>
        </w:numPr>
        <w:spacing w:before="100" w:beforeAutospacing="1"/>
        <w:rPr>
          <w:color w:val="000000"/>
        </w:rPr>
      </w:pPr>
      <w:r w:rsidRPr="00C206D7">
        <w:rPr>
          <w:color w:val="000000"/>
        </w:rPr>
        <w:t>Total number and amount of sub-awards.</w:t>
      </w:r>
    </w:p>
    <w:p w:rsidR="008C7EDC" w:rsidRPr="00C206D7" w:rsidRDefault="008C7EDC" w:rsidP="00153E69">
      <w:pPr>
        <w:numPr>
          <w:ilvl w:val="0"/>
          <w:numId w:val="11"/>
        </w:numPr>
        <w:spacing w:before="100" w:beforeAutospacing="1"/>
        <w:rPr>
          <w:color w:val="000000"/>
        </w:rPr>
      </w:pPr>
      <w:r w:rsidRPr="00C206D7">
        <w:rPr>
          <w:color w:val="000000"/>
        </w:rPr>
        <w:t>Total number and amount to payments to vendors &lt; $25,000</w:t>
      </w:r>
    </w:p>
    <w:p w:rsidR="008C7EDC" w:rsidRPr="00C206D7" w:rsidRDefault="008C7EDC" w:rsidP="00153E69">
      <w:pPr>
        <w:numPr>
          <w:ilvl w:val="1"/>
          <w:numId w:val="11"/>
        </w:numPr>
        <w:spacing w:before="100" w:beforeAutospacing="1"/>
        <w:rPr>
          <w:color w:val="000000"/>
        </w:rPr>
      </w:pPr>
      <w:r w:rsidRPr="00C206D7">
        <w:rPr>
          <w:color w:val="000000"/>
        </w:rPr>
        <w:t xml:space="preserve">Basic data elements for any purchases more than $25,000 </w:t>
      </w:r>
    </w:p>
    <w:p w:rsidR="008C7EDC" w:rsidRPr="00C206D7" w:rsidRDefault="008C7EDC" w:rsidP="00153E69">
      <w:pPr>
        <w:numPr>
          <w:ilvl w:val="1"/>
          <w:numId w:val="11"/>
        </w:numPr>
        <w:spacing w:before="100" w:beforeAutospacing="1"/>
        <w:rPr>
          <w:color w:val="000000"/>
        </w:rPr>
      </w:pPr>
      <w:r w:rsidRPr="00C206D7">
        <w:rPr>
          <w:color w:val="000000"/>
        </w:rPr>
        <w:t>Total number and amount of payments to vendors less than $25,000.</w:t>
      </w:r>
    </w:p>
    <w:p w:rsidR="008C7EDC" w:rsidRPr="00C206D7" w:rsidRDefault="008C7EDC" w:rsidP="00153E69">
      <w:pPr>
        <w:numPr>
          <w:ilvl w:val="0"/>
          <w:numId w:val="11"/>
        </w:numPr>
        <w:spacing w:before="100" w:beforeAutospacing="1"/>
        <w:rPr>
          <w:color w:val="000000"/>
        </w:rPr>
      </w:pPr>
      <w:r w:rsidRPr="00C206D7">
        <w:rPr>
          <w:color w:val="000000"/>
        </w:rPr>
        <w:t>Number and description of jobs created or retained (by both prime and sub-recipients).</w:t>
      </w:r>
    </w:p>
    <w:p w:rsidR="008C7EDC" w:rsidRPr="00C206D7" w:rsidRDefault="008C7EDC" w:rsidP="00153E69">
      <w:pPr>
        <w:numPr>
          <w:ilvl w:val="1"/>
          <w:numId w:val="11"/>
        </w:numPr>
        <w:spacing w:before="100" w:beforeAutospacing="1"/>
        <w:rPr>
          <w:color w:val="000000"/>
        </w:rPr>
      </w:pPr>
      <w:r w:rsidRPr="00C206D7">
        <w:rPr>
          <w:color w:val="000000"/>
        </w:rPr>
        <w:t>Included in the description are labor categories, job titles</w:t>
      </w:r>
      <w:r w:rsidR="002834B0">
        <w:rPr>
          <w:color w:val="000000"/>
        </w:rPr>
        <w:t>,</w:t>
      </w:r>
      <w:r w:rsidRPr="00C206D7">
        <w:rPr>
          <w:color w:val="000000"/>
        </w:rPr>
        <w:t xml:space="preserve"> and general descriptions of work to be performed in newly created jobs.</w:t>
      </w:r>
    </w:p>
    <w:p w:rsidR="008C7EDC" w:rsidRPr="00C206D7" w:rsidRDefault="008C7EDC" w:rsidP="00153E69">
      <w:pPr>
        <w:numPr>
          <w:ilvl w:val="0"/>
          <w:numId w:val="11"/>
        </w:numPr>
        <w:spacing w:before="100" w:beforeAutospacing="1"/>
        <w:rPr>
          <w:color w:val="000000"/>
        </w:rPr>
      </w:pPr>
      <w:r w:rsidRPr="00C206D7">
        <w:rPr>
          <w:color w:val="000000"/>
        </w:rPr>
        <w:t>Primary place of performance – which is the place where the majority of the work and activities will be performed for this project.</w:t>
      </w:r>
    </w:p>
    <w:p w:rsidR="008C7EDC" w:rsidRPr="00C206D7" w:rsidRDefault="008C7EDC" w:rsidP="00153E69">
      <w:pPr>
        <w:numPr>
          <w:ilvl w:val="0"/>
          <w:numId w:val="11"/>
        </w:numPr>
        <w:spacing w:before="100" w:beforeAutospacing="1"/>
        <w:rPr>
          <w:color w:val="000000"/>
        </w:rPr>
      </w:pPr>
      <w:r w:rsidRPr="00C206D7">
        <w:rPr>
          <w:color w:val="000000"/>
        </w:rPr>
        <w:t xml:space="preserve">Top five highly compensated officers – which </w:t>
      </w:r>
      <w:r w:rsidR="00677709">
        <w:rPr>
          <w:color w:val="000000"/>
        </w:rPr>
        <w:t xml:space="preserve">are the names </w:t>
      </w:r>
      <w:r w:rsidRPr="00C206D7">
        <w:rPr>
          <w:color w:val="000000"/>
        </w:rPr>
        <w:t xml:space="preserve">of the individuals who received the highest amount of compensation in the previous fiscal year, </w:t>
      </w:r>
      <w:r w:rsidRPr="00C206D7">
        <w:t xml:space="preserve">if three conditions are met: $25 million, 80 percent of all revenues from federal government, no other </w:t>
      </w:r>
      <w:r w:rsidR="002834B0" w:rsidRPr="00880CBC">
        <w:t>federally</w:t>
      </w:r>
      <w:r w:rsidRPr="00C206D7">
        <w:t>-required public reporting (e.g. – SEC filings).</w:t>
      </w:r>
    </w:p>
    <w:p w:rsidR="008C7EDC" w:rsidRPr="00C206D7" w:rsidRDefault="008C7EDC" w:rsidP="00153E69">
      <w:pPr>
        <w:autoSpaceDE w:val="0"/>
        <w:autoSpaceDN w:val="0"/>
        <w:adjustRightInd w:val="0"/>
      </w:pPr>
    </w:p>
    <w:p w:rsidR="008C7EDC" w:rsidRPr="00C206D7" w:rsidRDefault="008C7EDC" w:rsidP="00153E69">
      <w:pPr>
        <w:tabs>
          <w:tab w:val="left" w:pos="5595"/>
        </w:tabs>
      </w:pPr>
      <w:r w:rsidRPr="00C206D7">
        <w:rPr>
          <w:b/>
        </w:rPr>
        <w:t>Please note:</w:t>
      </w:r>
      <w:r w:rsidRPr="00C206D7">
        <w:t xml:space="preserve"> Submitting information to DOE does NOT fulfill the OMB reporting requirement.  DOE cannot forward the information to OMB on the </w:t>
      </w:r>
      <w:r w:rsidR="00677709">
        <w:t>prime recipient’s</w:t>
      </w:r>
      <w:r w:rsidRPr="00C206D7">
        <w:t xml:space="preserve"> </w:t>
      </w:r>
      <w:r w:rsidR="00677709">
        <w:t>sub-recipient’</w:t>
      </w:r>
      <w:r w:rsidR="00BD15D0">
        <w:t xml:space="preserve">s </w:t>
      </w:r>
      <w:r w:rsidRPr="00C206D7">
        <w:t xml:space="preserve">behalf – the </w:t>
      </w:r>
      <w:r w:rsidR="00677709">
        <w:t>prime recipient or sub-recipient</w:t>
      </w:r>
      <w:r w:rsidR="00BD15D0">
        <w:t xml:space="preserve"> </w:t>
      </w:r>
      <w:r w:rsidRPr="00C206D7">
        <w:t>must submit the information directly. Significant reporting errors or omissions can be corrected from the 11</w:t>
      </w:r>
      <w:r w:rsidRPr="00C206D7">
        <w:rPr>
          <w:vertAlign w:val="superscript"/>
        </w:rPr>
        <w:t>th</w:t>
      </w:r>
      <w:r w:rsidRPr="00C206D7">
        <w:t xml:space="preserve"> until the 21</w:t>
      </w:r>
      <w:r w:rsidRPr="00C206D7">
        <w:rPr>
          <w:vertAlign w:val="superscript"/>
        </w:rPr>
        <w:t>st</w:t>
      </w:r>
      <w:r w:rsidRPr="00C206D7">
        <w:t xml:space="preserve"> of the month following the end of the quarter.  Specific instructions for making these adjustments can be found at the </w:t>
      </w:r>
      <w:hyperlink r:id="rId16" w:history="1">
        <w:r w:rsidRPr="00C206D7">
          <w:rPr>
            <w:rStyle w:val="Hyperlink"/>
          </w:rPr>
          <w:t>www.FederalReporting.gov</w:t>
        </w:r>
      </w:hyperlink>
      <w:r w:rsidRPr="00C206D7">
        <w:t xml:space="preserve"> site.</w:t>
      </w:r>
    </w:p>
    <w:p w:rsidR="002834B0" w:rsidRDefault="002834B0" w:rsidP="00E058E0"/>
    <w:p w:rsidR="008C7EDC" w:rsidRDefault="00677709" w:rsidP="00153E69">
      <w:pPr>
        <w:pBdr>
          <w:bottom w:val="single" w:sz="6" w:space="1" w:color="auto"/>
        </w:pBdr>
        <w:autoSpaceDE w:val="0"/>
        <w:autoSpaceDN w:val="0"/>
        <w:adjustRightInd w:val="0"/>
        <w:rPr>
          <w:b/>
        </w:rPr>
      </w:pPr>
      <w:r>
        <w:rPr>
          <w:b/>
        </w:rPr>
        <w:t xml:space="preserve">6.2 </w:t>
      </w:r>
      <w:r w:rsidR="008C7EDC">
        <w:rPr>
          <w:b/>
        </w:rPr>
        <w:t>QUARTERLY AND MONTHLY</w:t>
      </w:r>
      <w:r w:rsidR="002D301B">
        <w:rPr>
          <w:rStyle w:val="FootnoteReference"/>
          <w:b/>
        </w:rPr>
        <w:footnoteReference w:id="2"/>
      </w:r>
      <w:r w:rsidR="00D56D2E">
        <w:rPr>
          <w:b/>
        </w:rPr>
        <w:t xml:space="preserve"> REPORTING TO DOE VIA PAGE</w:t>
      </w:r>
    </w:p>
    <w:p w:rsidR="00D56D2E" w:rsidRDefault="00677709" w:rsidP="00153E69">
      <w:pPr>
        <w:autoSpaceDE w:val="0"/>
        <w:autoSpaceDN w:val="0"/>
        <w:adjustRightInd w:val="0"/>
        <w:rPr>
          <w:u w:val="single"/>
        </w:rPr>
      </w:pPr>
      <w:r>
        <w:rPr>
          <w:u w:val="single"/>
        </w:rPr>
        <w:t>6.2.1</w:t>
      </w:r>
      <w:r w:rsidR="00D56D2E">
        <w:rPr>
          <w:u w:val="single"/>
        </w:rPr>
        <w:t xml:space="preserve"> Who is Required to Report</w:t>
      </w:r>
    </w:p>
    <w:p w:rsidR="00D56D2E" w:rsidRPr="00677709" w:rsidRDefault="00D56D2E" w:rsidP="00153E69">
      <w:pPr>
        <w:autoSpaceDE w:val="0"/>
        <w:autoSpaceDN w:val="0"/>
        <w:adjustRightInd w:val="0"/>
      </w:pPr>
      <w:r w:rsidRPr="00677709">
        <w:tab/>
        <w:t>Prime recipients are resp</w:t>
      </w:r>
      <w:r w:rsidR="002D301B">
        <w:t xml:space="preserve">onsible for reporting quarterly. Additionally, prime recipients with formula allocations &gt;$2M are responsible for reporting </w:t>
      </w:r>
      <w:r w:rsidRPr="00677709">
        <w:t>monthly information.  Prime recipients may, at their discretion, delegate the authority for reporting to sub-recipients through creation of user accounts in PAGE. However, regardless of how prime recipients decide to manage their reporting processes, the prime recipients ultimately retain the responsibility to ensure that reports are submitted accurately and on time.</w:t>
      </w:r>
    </w:p>
    <w:p w:rsidR="00D56D2E" w:rsidRDefault="00D56D2E" w:rsidP="00153E69">
      <w:pPr>
        <w:autoSpaceDE w:val="0"/>
        <w:autoSpaceDN w:val="0"/>
        <w:adjustRightInd w:val="0"/>
        <w:rPr>
          <w:u w:val="single"/>
        </w:rPr>
      </w:pPr>
    </w:p>
    <w:p w:rsidR="00677709" w:rsidRDefault="00550B95" w:rsidP="00153E69">
      <w:pPr>
        <w:autoSpaceDE w:val="0"/>
        <w:autoSpaceDN w:val="0"/>
        <w:adjustRightInd w:val="0"/>
        <w:rPr>
          <w:u w:val="single"/>
        </w:rPr>
      </w:pPr>
      <w:r>
        <w:rPr>
          <w:u w:val="single"/>
        </w:rPr>
        <w:t>6</w:t>
      </w:r>
      <w:r w:rsidR="008C7EDC" w:rsidRPr="00365397">
        <w:rPr>
          <w:u w:val="single"/>
        </w:rPr>
        <w:t>.</w:t>
      </w:r>
      <w:r w:rsidR="008C7EDC">
        <w:rPr>
          <w:u w:val="single"/>
        </w:rPr>
        <w:t>2.</w:t>
      </w:r>
      <w:r w:rsidR="00677709">
        <w:rPr>
          <w:u w:val="single"/>
        </w:rPr>
        <w:t>2</w:t>
      </w:r>
      <w:r w:rsidR="008C7EDC" w:rsidRPr="00365397">
        <w:rPr>
          <w:u w:val="single"/>
        </w:rPr>
        <w:t xml:space="preserve"> Reporting </w:t>
      </w:r>
      <w:r w:rsidR="002834B0" w:rsidRPr="00365397">
        <w:rPr>
          <w:u w:val="single"/>
        </w:rPr>
        <w:t>Timeline</w:t>
      </w:r>
    </w:p>
    <w:p w:rsidR="008C7EDC" w:rsidRDefault="008C7EDC" w:rsidP="00153E69">
      <w:pPr>
        <w:autoSpaceDE w:val="0"/>
        <w:autoSpaceDN w:val="0"/>
        <w:adjustRightInd w:val="0"/>
        <w:rPr>
          <w:u w:val="single"/>
        </w:rPr>
      </w:pPr>
      <w:r>
        <w:tab/>
      </w:r>
      <w:r w:rsidR="00550B95">
        <w:rPr>
          <w:u w:val="single"/>
        </w:rPr>
        <w:t>6</w:t>
      </w:r>
      <w:r w:rsidR="00677709">
        <w:rPr>
          <w:u w:val="single"/>
        </w:rPr>
        <w:t>.2.2a</w:t>
      </w:r>
      <w:r>
        <w:rPr>
          <w:u w:val="single"/>
        </w:rPr>
        <w:t xml:space="preserve"> Quarterly Reporting</w:t>
      </w:r>
    </w:p>
    <w:p w:rsidR="008C7EDC" w:rsidRDefault="008C7EDC" w:rsidP="00153E69">
      <w:pPr>
        <w:autoSpaceDE w:val="0"/>
        <w:autoSpaceDN w:val="0"/>
        <w:adjustRightInd w:val="0"/>
        <w:ind w:left="720"/>
      </w:pPr>
      <w:r>
        <w:tab/>
        <w:t xml:space="preserve">Attachment 1 lists all metrics that </w:t>
      </w:r>
      <w:r w:rsidR="002834B0">
        <w:t xml:space="preserve">recipients </w:t>
      </w:r>
      <w:r>
        <w:t xml:space="preserve">are required to report </w:t>
      </w:r>
      <w:r w:rsidR="002834B0">
        <w:t xml:space="preserve">to the DOE via PAGE </w:t>
      </w:r>
      <w:r>
        <w:t xml:space="preserve">on </w:t>
      </w:r>
      <w:r w:rsidR="00D4624A">
        <w:t xml:space="preserve">a </w:t>
      </w:r>
      <w:r>
        <w:t>quarterly basis</w:t>
      </w:r>
      <w:r w:rsidR="00677709">
        <w:t xml:space="preserve"> </w:t>
      </w:r>
      <w:r>
        <w:t>to DOE. The deadline for reporting these quarterly metrics will be on the 30</w:t>
      </w:r>
      <w:r w:rsidRPr="005C1D02">
        <w:rPr>
          <w:vertAlign w:val="superscript"/>
        </w:rPr>
        <w:t>th</w:t>
      </w:r>
      <w:r>
        <w:t xml:space="preserve"> of the month</w:t>
      </w:r>
      <w:r w:rsidR="002834B0">
        <w:t>,</w:t>
      </w:r>
      <w:r>
        <w:t xml:space="preserve"> following the close of the quarter for which data </w:t>
      </w:r>
      <w:r w:rsidR="00D4624A">
        <w:t xml:space="preserve">are </w:t>
      </w:r>
      <w:r>
        <w:t>being reported</w:t>
      </w:r>
      <w:r w:rsidR="00677709">
        <w:t xml:space="preserve"> </w:t>
      </w:r>
      <w:r>
        <w:t>(e.g. April 30</w:t>
      </w:r>
      <w:r w:rsidRPr="009B6876">
        <w:rPr>
          <w:vertAlign w:val="superscript"/>
        </w:rPr>
        <w:t>th</w:t>
      </w:r>
      <w:r>
        <w:t xml:space="preserve"> for data from January-March 2010). </w:t>
      </w:r>
    </w:p>
    <w:p w:rsidR="00EC60C7" w:rsidRDefault="00EC60C7" w:rsidP="00153E69">
      <w:pPr>
        <w:autoSpaceDE w:val="0"/>
        <w:autoSpaceDN w:val="0"/>
        <w:adjustRightInd w:val="0"/>
        <w:ind w:left="720"/>
      </w:pPr>
      <w:r>
        <w:tab/>
        <w:t xml:space="preserve">DOE recognizes that as more accurate data becomes available, recipients may need to amend their quarterly reports after submission. </w:t>
      </w:r>
      <w:r w:rsidR="00C54761">
        <w:t xml:space="preserve">Recipients will </w:t>
      </w:r>
      <w:r>
        <w:t xml:space="preserve">coordinate post-submission corrections </w:t>
      </w:r>
      <w:r w:rsidR="00C54761">
        <w:t xml:space="preserve">of quarterly reports </w:t>
      </w:r>
      <w:r>
        <w:t>through their respective Project Officers.</w:t>
      </w:r>
    </w:p>
    <w:p w:rsidR="008C7EDC" w:rsidRDefault="008C7EDC" w:rsidP="00153E69">
      <w:pPr>
        <w:autoSpaceDE w:val="0"/>
        <w:autoSpaceDN w:val="0"/>
        <w:adjustRightInd w:val="0"/>
      </w:pPr>
    </w:p>
    <w:p w:rsidR="008C7EDC" w:rsidRDefault="008C7EDC" w:rsidP="00153E69">
      <w:pPr>
        <w:autoSpaceDE w:val="0"/>
        <w:autoSpaceDN w:val="0"/>
        <w:adjustRightInd w:val="0"/>
        <w:rPr>
          <w:u w:val="single"/>
        </w:rPr>
      </w:pPr>
      <w:r>
        <w:tab/>
      </w:r>
      <w:r w:rsidR="00550B95">
        <w:rPr>
          <w:u w:val="single"/>
        </w:rPr>
        <w:t>6.2</w:t>
      </w:r>
      <w:r w:rsidR="00677709">
        <w:rPr>
          <w:u w:val="single"/>
        </w:rPr>
        <w:t>.2b</w:t>
      </w:r>
      <w:r>
        <w:rPr>
          <w:u w:val="single"/>
        </w:rPr>
        <w:t xml:space="preserve"> Monthly Reporting</w:t>
      </w:r>
    </w:p>
    <w:p w:rsidR="00F81B8D" w:rsidRDefault="008C7EDC" w:rsidP="00F81B8D">
      <w:pPr>
        <w:pStyle w:val="FootnoteText"/>
        <w:ind w:left="720"/>
      </w:pPr>
      <w:r>
        <w:tab/>
      </w:r>
      <w:r w:rsidR="00F81B8D" w:rsidRPr="000134CC">
        <w:rPr>
          <w:rFonts w:ascii="Times New Roman" w:hAnsi="Times New Roman"/>
        </w:rPr>
        <w:t xml:space="preserve">In addition to the quarterly reporting of metrics, a subset of key metrics will be reported on a monthly basis from recipients with </w:t>
      </w:r>
      <w:r w:rsidR="00F81B8D">
        <w:rPr>
          <w:rFonts w:ascii="Times New Roman" w:hAnsi="Times New Roman"/>
        </w:rPr>
        <w:t xml:space="preserve">formula </w:t>
      </w:r>
      <w:r w:rsidR="00F81B8D" w:rsidRPr="000134CC">
        <w:rPr>
          <w:rFonts w:ascii="Times New Roman" w:hAnsi="Times New Roman"/>
        </w:rPr>
        <w:t xml:space="preserve">allocations </w:t>
      </w:r>
      <w:r w:rsidR="00F81B8D">
        <w:rPr>
          <w:rFonts w:ascii="Times New Roman" w:hAnsi="Times New Roman"/>
        </w:rPr>
        <w:t xml:space="preserve">greater than $2 million. </w:t>
      </w:r>
      <w:r w:rsidR="00F81B8D" w:rsidRPr="005A099E">
        <w:rPr>
          <w:rFonts w:ascii="Times New Roman" w:hAnsi="Times New Roman"/>
          <w:b/>
        </w:rPr>
        <w:t xml:space="preserve">EECBG recipients with </w:t>
      </w:r>
      <w:r w:rsidR="00F81B8D">
        <w:rPr>
          <w:rFonts w:ascii="Times New Roman" w:hAnsi="Times New Roman"/>
          <w:b/>
        </w:rPr>
        <w:t xml:space="preserve">formula </w:t>
      </w:r>
      <w:r w:rsidR="00F81B8D" w:rsidRPr="005A099E">
        <w:rPr>
          <w:rFonts w:ascii="Times New Roman" w:hAnsi="Times New Roman"/>
          <w:b/>
        </w:rPr>
        <w:t>allocations less</w:t>
      </w:r>
      <w:r w:rsidR="00F81B8D">
        <w:rPr>
          <w:rFonts w:ascii="Times New Roman" w:hAnsi="Times New Roman"/>
          <w:b/>
        </w:rPr>
        <w:t xml:space="preserve"> than $2</w:t>
      </w:r>
      <w:r w:rsidR="00F81B8D" w:rsidRPr="005A099E">
        <w:rPr>
          <w:rFonts w:ascii="Times New Roman" w:hAnsi="Times New Roman"/>
          <w:b/>
        </w:rPr>
        <w:t xml:space="preserve"> million will not be required to report any metrics monthly.</w:t>
      </w:r>
      <w:r w:rsidR="00F81B8D">
        <w:rPr>
          <w:rFonts w:ascii="Times New Roman" w:hAnsi="Times New Roman"/>
        </w:rPr>
        <w:t xml:space="preserve"> </w:t>
      </w:r>
    </w:p>
    <w:p w:rsidR="00FF0094" w:rsidRDefault="00F81B8D" w:rsidP="00FF0094">
      <w:pPr>
        <w:autoSpaceDE w:val="0"/>
        <w:autoSpaceDN w:val="0"/>
        <w:adjustRightInd w:val="0"/>
        <w:ind w:left="720"/>
      </w:pPr>
      <w:r>
        <w:tab/>
        <w:t>These metrics, listed in Attachment 2, are required to be reported on a more frequent basis in order to track progress and report success in key areas, to identify where additional assistance may be needed, and to maintain transparency and accountability regarding the use of Recovery Act funds. Mont</w:t>
      </w:r>
      <w:r w:rsidR="00AD1DC6">
        <w:t>hly reports will be due on the 3</w:t>
      </w:r>
      <w:r>
        <w:t>0</w:t>
      </w:r>
      <w:r>
        <w:rPr>
          <w:vertAlign w:val="superscript"/>
        </w:rPr>
        <w:t>th</w:t>
      </w:r>
      <w:r>
        <w:t xml:space="preserve"> of the month following the month for which data is being reported.</w:t>
      </w:r>
      <w:r w:rsidR="00AD1DC6">
        <w:rPr>
          <w:rStyle w:val="FootnoteReference"/>
        </w:rPr>
        <w:footnoteReference w:id="3"/>
      </w:r>
      <w:r>
        <w:t xml:space="preserve">  </w:t>
      </w:r>
      <w:r w:rsidRPr="003B51D8">
        <w:rPr>
          <w:i/>
          <w:iCs/>
        </w:rPr>
        <w:t xml:space="preserve">The first monthly reporting deadline will be </w:t>
      </w:r>
      <w:r>
        <w:rPr>
          <w:i/>
          <w:iCs/>
        </w:rPr>
        <w:t>March</w:t>
      </w:r>
      <w:r w:rsidR="00AD1DC6">
        <w:rPr>
          <w:i/>
          <w:iCs/>
        </w:rPr>
        <w:t xml:space="preserve"> 3</w:t>
      </w:r>
      <w:r w:rsidRPr="003B51D8">
        <w:rPr>
          <w:i/>
          <w:iCs/>
        </w:rPr>
        <w:t>0</w:t>
      </w:r>
      <w:r w:rsidRPr="005C1D02">
        <w:rPr>
          <w:i/>
          <w:iCs/>
          <w:vertAlign w:val="superscript"/>
        </w:rPr>
        <w:t>th</w:t>
      </w:r>
      <w:r w:rsidRPr="003B51D8">
        <w:rPr>
          <w:i/>
          <w:iCs/>
        </w:rPr>
        <w:t>, 2</w:t>
      </w:r>
      <w:r>
        <w:rPr>
          <w:i/>
          <w:iCs/>
        </w:rPr>
        <w:t>010, reporting data for February</w:t>
      </w:r>
      <w:r w:rsidRPr="003B51D8">
        <w:rPr>
          <w:i/>
          <w:iCs/>
        </w:rPr>
        <w:t xml:space="preserve"> 2010.</w:t>
      </w:r>
      <w:r>
        <w:t xml:space="preserve">  </w:t>
      </w:r>
      <w:r w:rsidR="00AD1DC6" w:rsidRPr="00537D1F">
        <w:t xml:space="preserve">As all of the monthly metrics overlap with a subset of the quarterly metrics, there will be several instances when both monthly and quarterly figures are required for the same metrics in the same month. </w:t>
      </w:r>
      <w:r w:rsidR="00FF0094" w:rsidRPr="00537D1F">
        <w:t xml:space="preserve">In those months where monthly and quarterly reporting dates coincide (e.g. April 2010), </w:t>
      </w:r>
      <w:r w:rsidR="00FF0094">
        <w:t>both</w:t>
      </w:r>
      <w:r w:rsidR="00FF0094" w:rsidRPr="00537D1F">
        <w:t xml:space="preserve"> data required for the month </w:t>
      </w:r>
      <w:r w:rsidR="00FF0094">
        <w:t>and quarter</w:t>
      </w:r>
      <w:r w:rsidR="00FF0094" w:rsidRPr="00537D1F">
        <w:t xml:space="preserve"> will </w:t>
      </w:r>
      <w:r w:rsidR="00FF0094">
        <w:t>be submitted.</w:t>
      </w:r>
    </w:p>
    <w:p w:rsidR="00EC4D94" w:rsidRDefault="00EC4D94" w:rsidP="00FF0094">
      <w:pPr>
        <w:autoSpaceDE w:val="0"/>
        <w:autoSpaceDN w:val="0"/>
        <w:adjustRightInd w:val="0"/>
        <w:ind w:left="720"/>
      </w:pPr>
    </w:p>
    <w:p w:rsidR="00F81B8D" w:rsidRDefault="00EC60C7" w:rsidP="00F81B8D">
      <w:pPr>
        <w:ind w:left="720"/>
      </w:pPr>
      <w:r>
        <w:tab/>
      </w:r>
      <w:r w:rsidR="00F81B8D">
        <w:t>DOE recognizes that as more a</w:t>
      </w:r>
      <w:r w:rsidR="00EC49F0">
        <w:t xml:space="preserve">ccurate data becomes available and that EECBG recipients with formula allocations &gt;$2M </w:t>
      </w:r>
      <w:r w:rsidR="00F81B8D">
        <w:t>may need to amend their monthly reports after submission. Recipients will be able to freely edit monthly reports at any time during the reporting quarter in which the monthly reports are submitted. After the close of this quarter, recipients will coordinate post-submission corrections of monthly reports through their respective Project Officers.</w:t>
      </w:r>
    </w:p>
    <w:p w:rsidR="00EC60C7" w:rsidRDefault="00EC60C7" w:rsidP="00F81B8D">
      <w:pPr>
        <w:ind w:left="720"/>
        <w:rPr>
          <w:b/>
          <w:bCs/>
        </w:rPr>
      </w:pPr>
    </w:p>
    <w:p w:rsidR="008C7EDC" w:rsidRPr="00365397" w:rsidRDefault="00550B95" w:rsidP="00153E69">
      <w:pPr>
        <w:rPr>
          <w:u w:val="single"/>
        </w:rPr>
      </w:pPr>
      <w:r>
        <w:rPr>
          <w:u w:val="single"/>
        </w:rPr>
        <w:t xml:space="preserve">6.2.3 </w:t>
      </w:r>
      <w:r w:rsidR="008C7EDC" w:rsidRPr="00365397">
        <w:rPr>
          <w:u w:val="single"/>
        </w:rPr>
        <w:t xml:space="preserve">Reported Metrics </w:t>
      </w:r>
    </w:p>
    <w:p w:rsidR="008C7EDC" w:rsidRDefault="008C7EDC" w:rsidP="00153E69">
      <w:r>
        <w:tab/>
      </w:r>
      <w:r w:rsidR="002834B0">
        <w:t xml:space="preserve">There are three categories of metrics that collected on a quarterly basis, as listed in Attachment 1. </w:t>
      </w:r>
      <w:r w:rsidR="00550B95">
        <w:t xml:space="preserve"> Broa</w:t>
      </w:r>
      <w:r w:rsidR="002834B0">
        <w:t xml:space="preserve">d descriptions of these </w:t>
      </w:r>
      <w:r>
        <w:t xml:space="preserve">three types of metrics </w:t>
      </w:r>
      <w:r w:rsidR="002834B0">
        <w:t xml:space="preserve">are provided </w:t>
      </w:r>
      <w:r>
        <w:t xml:space="preserve">below. In determining these metrics, </w:t>
      </w:r>
      <w:r w:rsidR="002834B0">
        <w:t xml:space="preserve">recipients </w:t>
      </w:r>
      <w:r>
        <w:t xml:space="preserve">should consider the impact of funds for the entire project, including non-Federal funds in addition to EECBG funds. In this manner, DOE will be able to accurately measure the full impact of Recovery Act funding. </w:t>
      </w:r>
    </w:p>
    <w:p w:rsidR="008C7EDC" w:rsidRDefault="008C7EDC" w:rsidP="00153E69"/>
    <w:p w:rsidR="008C7EDC" w:rsidRDefault="008C7EDC" w:rsidP="00153E69">
      <w:pPr>
        <w:rPr>
          <w:u w:val="single"/>
        </w:rPr>
      </w:pPr>
      <w:r>
        <w:tab/>
      </w:r>
      <w:r w:rsidR="00DA4469">
        <w:rPr>
          <w:u w:val="single"/>
        </w:rPr>
        <w:t>6.2.3a</w:t>
      </w:r>
      <w:r w:rsidRPr="00F82862">
        <w:rPr>
          <w:u w:val="single"/>
        </w:rPr>
        <w:t xml:space="preserve"> Jobs</w:t>
      </w:r>
      <w:r>
        <w:rPr>
          <w:u w:val="single"/>
        </w:rPr>
        <w:t xml:space="preserve"> </w:t>
      </w:r>
    </w:p>
    <w:p w:rsidR="008C7EDC" w:rsidRDefault="002834B0" w:rsidP="00DA4469">
      <w:pPr>
        <w:ind w:left="720"/>
      </w:pPr>
      <w:r>
        <w:tab/>
        <w:t>This category of metrics allows DOE to capture the depth and breadth of the impact of EECBG funds on the domestic labor market</w:t>
      </w:r>
      <w:r w:rsidRPr="003E38FD">
        <w:t xml:space="preserve">. </w:t>
      </w:r>
      <w:r w:rsidR="008C7EDC" w:rsidRPr="003E38FD">
        <w:t>To ensure the number of jobs is being reported consistently, EECBG Program Notice 10-</w:t>
      </w:r>
      <w:r w:rsidR="0020095D">
        <w:t>08</w:t>
      </w:r>
      <w:r w:rsidR="008C7EDC" w:rsidRPr="003E38FD">
        <w:t xml:space="preserve"> provides detailed instruction on how to calculate and report job creation and retention. </w:t>
      </w:r>
      <w:r w:rsidR="002D301B">
        <w:t xml:space="preserve">EECBG recipients will only be required to report on job creation and retention on a quarterly basis. </w:t>
      </w:r>
      <w:r w:rsidR="008F7236" w:rsidRPr="003E38FD">
        <w:t>Recipient</w:t>
      </w:r>
      <w:r w:rsidR="008C7EDC" w:rsidRPr="003E38FD">
        <w:t>s should use the methodology in EECBG Program Notice</w:t>
      </w:r>
      <w:r w:rsidR="00A462DC">
        <w:t xml:space="preserve"> 10</w:t>
      </w:r>
      <w:r w:rsidR="008C7EDC" w:rsidRPr="003E38FD">
        <w:t>-</w:t>
      </w:r>
      <w:r w:rsidR="0020095D">
        <w:t>08</w:t>
      </w:r>
      <w:r w:rsidR="008C7EDC" w:rsidRPr="003E38FD">
        <w:t xml:space="preserve"> to calculate job creation for quarterly reporting to DOE and quarterly</w:t>
      </w:r>
      <w:r w:rsidR="008C7EDC">
        <w:t xml:space="preserve"> reporting to OMB.  </w:t>
      </w:r>
      <w:r w:rsidR="0020095D">
        <w:t xml:space="preserve">Through adherence to this standard methodology, consistency between the jobs figures reported to both DOE and OMB can be maintained. </w:t>
      </w:r>
      <w:r w:rsidR="008C7EDC">
        <w:t xml:space="preserve"> Examples of the types of jobs to be covered by this methodology include (but are not necessarily limited to</w:t>
      </w:r>
      <w:r w:rsidR="008C7EDC" w:rsidRPr="00302137">
        <w:t>): Crew member, Crew chief, Record keeper, Auditor, Estimator, Monitor, Program Staff and Administrative Staff.</w:t>
      </w:r>
      <w:r w:rsidR="008C7EDC">
        <w:rPr>
          <w:rFonts w:ascii="Arial" w:hAnsi="Arial" w:cs="Arial"/>
          <w:color w:val="0000FF"/>
          <w:sz w:val="20"/>
          <w:szCs w:val="20"/>
        </w:rPr>
        <w:t xml:space="preserve"> </w:t>
      </w:r>
    </w:p>
    <w:p w:rsidR="008C7EDC" w:rsidRDefault="008C7EDC" w:rsidP="00153E69">
      <w:pPr>
        <w:ind w:left="720"/>
      </w:pPr>
    </w:p>
    <w:p w:rsidR="008C7EDC" w:rsidRDefault="008C7EDC" w:rsidP="00153E69">
      <w:pPr>
        <w:rPr>
          <w:u w:val="single"/>
        </w:rPr>
      </w:pPr>
      <w:r>
        <w:tab/>
      </w:r>
      <w:r w:rsidR="00DA4469">
        <w:rPr>
          <w:u w:val="single"/>
        </w:rPr>
        <w:t>6.2.3b</w:t>
      </w:r>
      <w:r w:rsidRPr="00F82862">
        <w:rPr>
          <w:u w:val="single"/>
        </w:rPr>
        <w:t xml:space="preserve"> Standard Programmatic Metrics</w:t>
      </w:r>
    </w:p>
    <w:p w:rsidR="008C7EDC" w:rsidRDefault="008C7EDC" w:rsidP="00153E69">
      <w:pPr>
        <w:autoSpaceDE w:val="0"/>
        <w:autoSpaceDN w:val="0"/>
        <w:adjustRightInd w:val="0"/>
        <w:ind w:left="720"/>
      </w:pPr>
      <w:r>
        <w:tab/>
        <w:t xml:space="preserve">This </w:t>
      </w:r>
      <w:r w:rsidRPr="009B6876">
        <w:t xml:space="preserve">category of metrics allows DOE to monitor progress on </w:t>
      </w:r>
      <w:r>
        <w:t xml:space="preserve">the </w:t>
      </w:r>
      <w:r w:rsidR="002834B0">
        <w:t>scope</w:t>
      </w:r>
      <w:r w:rsidR="00DA4469">
        <w:t>s</w:t>
      </w:r>
      <w:r w:rsidRPr="009B6876">
        <w:t xml:space="preserve"> of work identified by </w:t>
      </w:r>
      <w:r w:rsidR="008F7236">
        <w:t>recipient</w:t>
      </w:r>
      <w:r w:rsidRPr="009B6876">
        <w:t xml:space="preserve">s in each </w:t>
      </w:r>
      <w:r>
        <w:t>project activity</w:t>
      </w:r>
      <w:r w:rsidRPr="009B6876">
        <w:t xml:space="preserve">. Accordingly, </w:t>
      </w:r>
      <w:r w:rsidR="002834B0">
        <w:t>recipients</w:t>
      </w:r>
      <w:r w:rsidR="00DA4469">
        <w:t xml:space="preserve"> </w:t>
      </w:r>
      <w:r w:rsidRPr="009B6876">
        <w:t xml:space="preserve">will be required to </w:t>
      </w:r>
      <w:r w:rsidR="002834B0">
        <w:t>report</w:t>
      </w:r>
      <w:r w:rsidR="00DA4469">
        <w:t xml:space="preserve"> </w:t>
      </w:r>
      <w:r w:rsidRPr="009B6876">
        <w:t xml:space="preserve">on </w:t>
      </w:r>
      <w:r w:rsidR="002834B0">
        <w:t xml:space="preserve">that </w:t>
      </w:r>
      <w:r w:rsidRPr="009B6876">
        <w:t xml:space="preserve">set of metrics associated with the </w:t>
      </w:r>
      <w:r w:rsidR="002834B0">
        <w:t xml:space="preserve">specific </w:t>
      </w:r>
      <w:r>
        <w:t>activity</w:t>
      </w:r>
      <w:r w:rsidRPr="009B6876">
        <w:t xml:space="preserve"> identified on </w:t>
      </w:r>
      <w:r w:rsidR="00DA4469">
        <w:t>the</w:t>
      </w:r>
      <w:r w:rsidRPr="009B6876">
        <w:t xml:space="preserve"> </w:t>
      </w:r>
      <w:r>
        <w:t>project activity</w:t>
      </w:r>
      <w:r w:rsidRPr="009B6876">
        <w:t xml:space="preserve"> worksheet</w:t>
      </w:r>
      <w:r w:rsidR="002834B0">
        <w:t>(s)</w:t>
      </w:r>
      <w:r w:rsidRPr="009B6876">
        <w:t xml:space="preserve"> submitted with the </w:t>
      </w:r>
      <w:r>
        <w:t>EECBG</w:t>
      </w:r>
      <w:r w:rsidRPr="009B6876">
        <w:t xml:space="preserve"> application. In</w:t>
      </w:r>
      <w:r>
        <w:t xml:space="preserve"> accordance with </w:t>
      </w:r>
      <w:r w:rsidR="002834B0">
        <w:t xml:space="preserve">Attachment 1 &amp; 2, recipients will be required to report </w:t>
      </w:r>
      <w:r>
        <w:t>outlays (i.e.</w:t>
      </w:r>
      <w:r w:rsidR="002834B0">
        <w:t xml:space="preserve"> Recovery Act funds</w:t>
      </w:r>
      <w:r>
        <w:t xml:space="preserve"> </w:t>
      </w:r>
      <w:r w:rsidR="00DA4469">
        <w:t>spent or expended</w:t>
      </w:r>
      <w:r>
        <w:t xml:space="preserve"> by </w:t>
      </w:r>
      <w:r w:rsidR="002834B0">
        <w:t>recipients and sub-recipients</w:t>
      </w:r>
      <w:r>
        <w:t>)</w:t>
      </w:r>
      <w:r w:rsidR="00AD1DC6">
        <w:t>, obligations,</w:t>
      </w:r>
      <w:r>
        <w:t xml:space="preserve"> and a subset of specific metrics on a monthly and quarterly basis. </w:t>
      </w:r>
      <w:r w:rsidR="00DA4469">
        <w:t xml:space="preserve">Recipients and sub-recipients will report all other metrics on a quarterly basis only. Recipients </w:t>
      </w:r>
      <w:r>
        <w:t>are only required to report on standard programmatic metrics associated with the project activities that they are implementing (e.g. If Town XX is conducting building retrofits, they will</w:t>
      </w:r>
      <w:r w:rsidR="00AD1DC6">
        <w:t xml:space="preserve"> be required to report on o</w:t>
      </w:r>
      <w:r>
        <w:t>utlays,</w:t>
      </w:r>
      <w:r w:rsidR="00AD1DC6">
        <w:t xml:space="preserve"> obligations,</w:t>
      </w:r>
      <w:r w:rsidR="00495F06">
        <w:t xml:space="preserve"> number</w:t>
      </w:r>
      <w:r>
        <w:t xml:space="preserve"> and square foot</w:t>
      </w:r>
      <w:r w:rsidR="00DA4469">
        <w:t>age of buildings retrofitted). Recipients</w:t>
      </w:r>
      <w:r>
        <w:t xml:space="preserve"> are not responsible for reporting on metrics not associated with their project activities. </w:t>
      </w:r>
    </w:p>
    <w:p w:rsidR="008C7EDC" w:rsidRDefault="008C7EDC" w:rsidP="00153E69">
      <w:r>
        <w:tab/>
      </w:r>
      <w:r>
        <w:tab/>
      </w:r>
    </w:p>
    <w:p w:rsidR="008C7EDC" w:rsidRPr="00A41C3B" w:rsidRDefault="008C7EDC" w:rsidP="00153E69">
      <w:pPr>
        <w:rPr>
          <w:u w:val="single"/>
        </w:rPr>
      </w:pPr>
      <w:r>
        <w:tab/>
      </w:r>
      <w:r w:rsidR="00DA4469">
        <w:rPr>
          <w:u w:val="single"/>
        </w:rPr>
        <w:t xml:space="preserve">6.2.3c </w:t>
      </w:r>
      <w:r w:rsidRPr="00A41C3B">
        <w:rPr>
          <w:u w:val="single"/>
        </w:rPr>
        <w:t>Critical Metrics</w:t>
      </w:r>
    </w:p>
    <w:p w:rsidR="0020095D" w:rsidRDefault="008C7EDC" w:rsidP="00940EFF">
      <w:pPr>
        <w:ind w:left="720"/>
      </w:pPr>
      <w:r>
        <w:tab/>
        <w:t xml:space="preserve">This category of metrics allows DOE to assess the true impact of the project activities submitted by </w:t>
      </w:r>
      <w:r w:rsidR="008F7236">
        <w:t>recipient</w:t>
      </w:r>
      <w:r>
        <w:t xml:space="preserve">s and encompasses energy savings, energy cost savings, renewable energy generation, and emissions reductions. Accordingly, </w:t>
      </w:r>
      <w:r w:rsidR="00DA4469">
        <w:t xml:space="preserve">recipients will </w:t>
      </w:r>
      <w:r>
        <w:t xml:space="preserve">report on the applicable set of metrics </w:t>
      </w:r>
      <w:r w:rsidR="002834B0">
        <w:t xml:space="preserve">identified </w:t>
      </w:r>
      <w:r>
        <w:t xml:space="preserve">Attachment 1. </w:t>
      </w:r>
      <w:r w:rsidR="00DA4469">
        <w:t xml:space="preserve">Under the assumption that the determination of these metrics is both accurate and relatively easy, DOE prefers that </w:t>
      </w:r>
      <w:r w:rsidR="008F7236">
        <w:t>recipient</w:t>
      </w:r>
      <w:r w:rsidR="00DA4469">
        <w:t xml:space="preserve">s utilize their own methodology for the determination and reporting of critical metrics. However, it is understood that determination of these metrics can prove difficult for some recipients. </w:t>
      </w:r>
      <w:r w:rsidR="003E38FD" w:rsidRPr="00537D1F">
        <w:t>To address this eventuality, DOE</w:t>
      </w:r>
      <w:r w:rsidR="003E38FD">
        <w:t xml:space="preserve"> has developed a tool to help recipients </w:t>
      </w:r>
      <w:r w:rsidR="003E38FD" w:rsidRPr="00537D1F">
        <w:t>estimate these metrics from a simple list of user-defined inputs. Recipients are not required to utilize the tool</w:t>
      </w:r>
      <w:r w:rsidR="003E38FD">
        <w:t xml:space="preserve"> to determine critical metrics; the </w:t>
      </w:r>
      <w:r w:rsidR="003E38FD" w:rsidRPr="00537D1F">
        <w:t>tool is meant only to facilitate determination of critical metrics as necessary</w:t>
      </w:r>
      <w:r w:rsidR="003E38FD">
        <w:t xml:space="preserve">. This tool will be available online in .xls format in both the Reference Library section of PAGE and </w:t>
      </w:r>
      <w:r w:rsidR="00940EFF">
        <w:t>as a link from the Metrics Wizard functionality on PAGE. Additionally, the calculator will be available in .xls format at:</w:t>
      </w:r>
    </w:p>
    <w:p w:rsidR="0020095D" w:rsidRDefault="0020095D" w:rsidP="003E38FD">
      <w:pPr>
        <w:ind w:left="720"/>
      </w:pPr>
    </w:p>
    <w:p w:rsidR="003E38FD" w:rsidRDefault="0066046F" w:rsidP="0020095D">
      <w:pPr>
        <w:jc w:val="center"/>
      </w:pPr>
      <w:hyperlink r:id="rId17" w:history="1">
        <w:r w:rsidR="0020095D" w:rsidRPr="00C5619B">
          <w:rPr>
            <w:rStyle w:val="Hyperlink"/>
          </w:rPr>
          <w:t>http://www.eecbg.energy.gov/Downloads/ARRA_Benefits_Reporting_Calculator.xls</w:t>
        </w:r>
      </w:hyperlink>
    </w:p>
    <w:p w:rsidR="0020095D" w:rsidRDefault="0020095D" w:rsidP="0020095D"/>
    <w:p w:rsidR="003E38FD" w:rsidRPr="00AE6470" w:rsidRDefault="003E38FD" w:rsidP="003E38FD">
      <w:pPr>
        <w:ind w:left="720"/>
      </w:pPr>
      <w:r>
        <w:rPr>
          <w:b/>
        </w:rPr>
        <w:t xml:space="preserve">Please note: </w:t>
      </w:r>
      <w:r>
        <w:t>This benefits (i.e. critical metrics) calculator supersedes all previous editions of benefit calculators. Only the calculator posted at the link above should be used for the purposes of reporting critical metrics to DOE for Recovery Act-supported projects.</w:t>
      </w:r>
    </w:p>
    <w:p w:rsidR="008C7EDC" w:rsidRDefault="008C7EDC" w:rsidP="00153E69">
      <w:pPr>
        <w:ind w:left="720"/>
        <w:rPr>
          <w:u w:val="single"/>
        </w:rPr>
      </w:pPr>
    </w:p>
    <w:p w:rsidR="008C7EDC" w:rsidRDefault="00601AD4" w:rsidP="00153E69">
      <w:pPr>
        <w:rPr>
          <w:u w:val="single"/>
        </w:rPr>
      </w:pPr>
      <w:r>
        <w:rPr>
          <w:u w:val="single"/>
        </w:rPr>
        <w:t>6.2.4</w:t>
      </w:r>
      <w:r w:rsidR="008C7EDC" w:rsidRPr="00D27C11">
        <w:rPr>
          <w:u w:val="single"/>
        </w:rPr>
        <w:t xml:space="preserve"> Reporting tool</w:t>
      </w:r>
    </w:p>
    <w:p w:rsidR="008C7EDC" w:rsidRDefault="008C7EDC" w:rsidP="00601AD4">
      <w:r>
        <w:tab/>
        <w:t>PAGE is the online</w:t>
      </w:r>
      <w:r w:rsidR="00A62C0D">
        <w:t xml:space="preserve"> system</w:t>
      </w:r>
      <w:r>
        <w:t xml:space="preserve"> (</w:t>
      </w:r>
      <w:hyperlink r:id="rId18" w:history="1">
        <w:r w:rsidRPr="00D47F64">
          <w:rPr>
            <w:rStyle w:val="Hyperlink"/>
          </w:rPr>
          <w:t>www.page.energy.gov</w:t>
        </w:r>
      </w:hyperlink>
      <w:r>
        <w:t>) that provide</w:t>
      </w:r>
      <w:r w:rsidR="005C1BA7">
        <w:t>s</w:t>
      </w:r>
      <w:r>
        <w:t xml:space="preserve"> </w:t>
      </w:r>
      <w:r w:rsidR="00601AD4">
        <w:t>all EECBG recipients</w:t>
      </w:r>
      <w:r>
        <w:t xml:space="preserve"> </w:t>
      </w:r>
      <w:r w:rsidRPr="007E3B2F">
        <w:t>with the ability to electronically submit and manage grant performance and financial information</w:t>
      </w:r>
      <w:r>
        <w:t>.</w:t>
      </w:r>
      <w:r w:rsidR="00601AD4" w:rsidRPr="00601AD4">
        <w:t xml:space="preserve"> </w:t>
      </w:r>
      <w:r w:rsidR="00601AD4">
        <w:t>A host of training tools to familiarize users with PAGE are readily accessible from the front page of the site, including a weekly webinar series and a number of training videos created to guide recipients through each of the necessary reporting steps.</w:t>
      </w:r>
    </w:p>
    <w:p w:rsidR="00601AD4" w:rsidRDefault="00601AD4" w:rsidP="00601AD4">
      <w:pPr>
        <w:rPr>
          <w:b/>
        </w:rPr>
      </w:pPr>
    </w:p>
    <w:p w:rsidR="001C1196" w:rsidRDefault="001C1196" w:rsidP="00601AD4">
      <w:pPr>
        <w:rPr>
          <w:b/>
        </w:rPr>
      </w:pPr>
    </w:p>
    <w:p w:rsidR="008C7EDC" w:rsidRDefault="008C7EDC" w:rsidP="00153E69">
      <w:pPr>
        <w:pBdr>
          <w:bottom w:val="single" w:sz="6" w:space="1" w:color="auto"/>
        </w:pBdr>
        <w:autoSpaceDE w:val="0"/>
        <w:autoSpaceDN w:val="0"/>
        <w:adjustRightInd w:val="0"/>
        <w:rPr>
          <w:b/>
        </w:rPr>
      </w:pPr>
      <w:r>
        <w:rPr>
          <w:b/>
        </w:rPr>
        <w:t xml:space="preserve">6.3 </w:t>
      </w:r>
      <w:r w:rsidR="00601AD4">
        <w:rPr>
          <w:b/>
        </w:rPr>
        <w:t>TIMELINE AND PROCESS FOR REPORTING TO OMB AND DOE</w:t>
      </w:r>
    </w:p>
    <w:p w:rsidR="008C7EDC" w:rsidRDefault="008C7EDC" w:rsidP="00153E69">
      <w:r>
        <w:tab/>
        <w:t>Per Reference 1, in the 1-</w:t>
      </w:r>
      <w:r w:rsidR="002834B0">
        <w:t>to-</w:t>
      </w:r>
      <w:r>
        <w:t>10</w:t>
      </w:r>
      <w:r w:rsidR="002834B0">
        <w:t>-</w:t>
      </w:r>
      <w:r>
        <w:t xml:space="preserve"> day window following the end of the reporting quarter, </w:t>
      </w:r>
      <w:r w:rsidR="002834B0">
        <w:t>prime recipients</w:t>
      </w:r>
      <w:r w:rsidR="00601AD4">
        <w:t xml:space="preserve"> and selected sub-recipients</w:t>
      </w:r>
      <w:r>
        <w:t xml:space="preserve"> will enter and edit OMB reporting data as necessary. During this time, DOE will be unable to review the data unless explicitly submitted for review </w:t>
      </w:r>
      <w:r w:rsidR="00601AD4">
        <w:t>to the agency by the recipient</w:t>
      </w:r>
      <w:r>
        <w:t xml:space="preserve">. </w:t>
      </w:r>
      <w:r w:rsidR="001C1196">
        <w:rPr>
          <w:sz w:val="23"/>
          <w:szCs w:val="23"/>
        </w:rPr>
        <w:t>Prime recipients and delegated sub-recipients that have not submitted their data reports by the end of the 10</w:t>
      </w:r>
      <w:r w:rsidR="001C1196" w:rsidRPr="001C1196">
        <w:rPr>
          <w:sz w:val="23"/>
          <w:szCs w:val="23"/>
          <w:vertAlign w:val="superscript"/>
        </w:rPr>
        <w:t>th</w:t>
      </w:r>
      <w:r w:rsidR="001C1196">
        <w:rPr>
          <w:sz w:val="23"/>
          <w:szCs w:val="23"/>
        </w:rPr>
        <w:t xml:space="preserve"> day will be considered non-compliant with the recipient reporting requirements. </w:t>
      </w:r>
      <w:r>
        <w:t>During the 11-</w:t>
      </w:r>
      <w:r w:rsidR="002834B0">
        <w:t>to-</w:t>
      </w:r>
      <w:r>
        <w:t>21</w:t>
      </w:r>
      <w:r w:rsidR="002834B0">
        <w:t>-</w:t>
      </w:r>
      <w:r>
        <w:t xml:space="preserve"> day window (following submission of OMB not later than the 10</w:t>
      </w:r>
      <w:r>
        <w:rPr>
          <w:vertAlign w:val="superscript"/>
        </w:rPr>
        <w:t>th</w:t>
      </w:r>
      <w:r w:rsidR="002834B0">
        <w:t>),</w:t>
      </w:r>
      <w:r>
        <w:t xml:space="preserve"> DOE will be able to review the submitted data but not provide official feedback to </w:t>
      </w:r>
      <w:r w:rsidR="002834B0">
        <w:t>prime recipients.</w:t>
      </w:r>
      <w:r w:rsidR="00A62C0D">
        <w:t xml:space="preserve"> </w:t>
      </w:r>
      <w:r>
        <w:t xml:space="preserve">In this window, </w:t>
      </w:r>
      <w:r w:rsidR="002834B0">
        <w:t>prime recipients</w:t>
      </w:r>
      <w:r w:rsidR="00601AD4">
        <w:t xml:space="preserve"> </w:t>
      </w:r>
      <w:r w:rsidR="001C1196">
        <w:t xml:space="preserve">and sub-recipients </w:t>
      </w:r>
      <w:r>
        <w:t xml:space="preserve">will still be able to freely correct their </w:t>
      </w:r>
      <w:r w:rsidR="001C1196">
        <w:t xml:space="preserve">initial </w:t>
      </w:r>
      <w:r>
        <w:t xml:space="preserve">submissions.  </w:t>
      </w:r>
    </w:p>
    <w:p w:rsidR="00A62C0D" w:rsidRDefault="00A62C0D" w:rsidP="00153E69"/>
    <w:p w:rsidR="00940EFF" w:rsidRPr="00537D1F" w:rsidRDefault="008C7EDC" w:rsidP="00940EFF">
      <w:r>
        <w:tab/>
      </w:r>
      <w:r w:rsidR="00940EFF" w:rsidRPr="00537D1F">
        <w:t>During the 21-29 day window, DOE will be able to review and comment on information submitted to OMB. In this window, submitted reports will not be editable by recipients unless specifically unlocked by DOE via FederalReporting.gov. On the 30</w:t>
      </w:r>
      <w:r w:rsidR="00940EFF" w:rsidRPr="00537D1F">
        <w:rPr>
          <w:vertAlign w:val="superscript"/>
        </w:rPr>
        <w:t>th</w:t>
      </w:r>
      <w:r w:rsidR="00940EFF" w:rsidRPr="00537D1F">
        <w:t xml:space="preserve"> day, a separate submission of quarterly data is required to DOE in accordance with guidance above. The respective OMB and DOE reporting timelines are illustrated below:</w:t>
      </w:r>
    </w:p>
    <w:p w:rsidR="008F7236" w:rsidRDefault="008F7236" w:rsidP="00153E69"/>
    <w:p w:rsidR="008C7EDC" w:rsidRDefault="005E54C2" w:rsidP="00153E69">
      <w:r>
        <w:rPr>
          <w:noProof/>
        </w:rPr>
        <w:drawing>
          <wp:inline distT="0" distB="0" distL="0" distR="0">
            <wp:extent cx="5486400" cy="2255520"/>
            <wp:effectExtent l="19050" t="0" r="0" b="0"/>
            <wp:docPr id="1" name="Picture 1" descr="reporting timelin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orting timeline.bmp"/>
                    <pic:cNvPicPr>
                      <a:picLocks noChangeAspect="1" noChangeArrowheads="1"/>
                    </pic:cNvPicPr>
                  </pic:nvPicPr>
                  <pic:blipFill>
                    <a:blip r:embed="rId19" cstate="print"/>
                    <a:srcRect/>
                    <a:stretch>
                      <a:fillRect/>
                    </a:stretch>
                  </pic:blipFill>
                  <pic:spPr bwMode="auto">
                    <a:xfrm>
                      <a:off x="0" y="0"/>
                      <a:ext cx="5486400" cy="2255520"/>
                    </a:xfrm>
                    <a:prstGeom prst="rect">
                      <a:avLst/>
                    </a:prstGeom>
                    <a:noFill/>
                    <a:ln w="9525">
                      <a:noFill/>
                      <a:miter lim="800000"/>
                      <a:headEnd/>
                      <a:tailEnd/>
                    </a:ln>
                  </pic:spPr>
                </pic:pic>
              </a:graphicData>
            </a:graphic>
          </wp:inline>
        </w:drawing>
      </w:r>
    </w:p>
    <w:p w:rsidR="008F7236" w:rsidRDefault="002834B0" w:rsidP="00F661C4">
      <w:r>
        <w:tab/>
      </w:r>
    </w:p>
    <w:p w:rsidR="00E8632A" w:rsidRDefault="00510FDD" w:rsidP="00E8632A">
      <w:r>
        <w:tab/>
      </w:r>
      <w:r w:rsidR="00E8632A">
        <w:t>In one instance, both DOE and OMB are requiring submission of the same data over the quarterly reporting window. The DOE metric “Total Outlays (Recovery Act funds)” and the OMB metric “</w:t>
      </w:r>
      <w:r w:rsidR="00E8632A" w:rsidRPr="003C490B">
        <w:rPr>
          <w:color w:val="000000"/>
        </w:rPr>
        <w:t>Total amount of Recovery Act expenditure</w:t>
      </w:r>
      <w:r w:rsidR="00E8632A">
        <w:rPr>
          <w:color w:val="000000"/>
        </w:rPr>
        <w:t>” are equivalent.</w:t>
      </w:r>
    </w:p>
    <w:p w:rsidR="00E8632A" w:rsidRDefault="00E8632A" w:rsidP="00E8632A">
      <w:r>
        <w:t xml:space="preserve">Grantees should endeavor to minimize any discrepancy between the reports of this metric made to DOE and OMB. It is understood that as time passes from the close of the reporting period, grantees are able to obtain an increasingly accurate picture of grant performance during the reporting period. </w:t>
      </w:r>
    </w:p>
    <w:p w:rsidR="00E8632A" w:rsidRDefault="00E8632A" w:rsidP="00E8632A"/>
    <w:p w:rsidR="00E8632A" w:rsidRDefault="00E8632A" w:rsidP="00E8632A">
      <w:r>
        <w:tab/>
        <w:t>If information on Total Outlays (Recovery Act funds)/</w:t>
      </w:r>
      <w:r w:rsidRPr="003C490B">
        <w:rPr>
          <w:color w:val="000000"/>
        </w:rPr>
        <w:t>Total amount of Recovery Act expenditure</w:t>
      </w:r>
      <w:r>
        <w:t xml:space="preserve"> is updated after 21</w:t>
      </w:r>
      <w:r>
        <w:rPr>
          <w:vertAlign w:val="superscript"/>
        </w:rPr>
        <w:t>st</w:t>
      </w:r>
      <w:r>
        <w:t xml:space="preserve"> of the month, the grantee should contact the Project Officer to coordinate correction of the report submitted to FederalReporting.gov and ensure consistency with the report to be submitted to DOE. In cases where the grantees (e.g. State agencies) have relegated the ability to report via FederalReporting.gov to a higher authority (e.g. State Recovery Act office) and receives updated information on Total Outlays or Jobs Created through Recovery Act funds, they should request that the higher authority make the necessary changes to the report in FederalReporting.gov.</w:t>
      </w:r>
    </w:p>
    <w:p w:rsidR="00E8632A" w:rsidRDefault="00E8632A" w:rsidP="00E8632A">
      <w:r>
        <w:tab/>
        <w:t>In any situation, grantees should prioritize the accuracy of data submitted to DOE over the consistency of data being submitted to various sources.</w:t>
      </w:r>
    </w:p>
    <w:p w:rsidR="00CF4D63" w:rsidRDefault="00CF4D63" w:rsidP="00E8632A"/>
    <w:p w:rsidR="008C7EDC" w:rsidRDefault="00601AD4" w:rsidP="00A41C3B">
      <w:pPr>
        <w:pStyle w:val="Default"/>
        <w:ind w:left="980" w:hanging="980"/>
        <w:rPr>
          <w:rFonts w:ascii="Times New Roman" w:hAnsi="Times New Roman" w:cs="Times New Roman"/>
          <w:b/>
        </w:rPr>
      </w:pPr>
      <w:r>
        <w:rPr>
          <w:rFonts w:ascii="Times New Roman" w:hAnsi="Times New Roman" w:cs="Times New Roman"/>
          <w:b/>
        </w:rPr>
        <w:t xml:space="preserve">7.0 </w:t>
      </w:r>
      <w:r w:rsidR="008C7EDC" w:rsidRPr="00721A73">
        <w:rPr>
          <w:rFonts w:ascii="Times New Roman" w:hAnsi="Times New Roman" w:cs="Times New Roman"/>
          <w:b/>
        </w:rPr>
        <w:t>CONCLUSION</w:t>
      </w:r>
    </w:p>
    <w:p w:rsidR="008C7EDC" w:rsidRPr="00721A73" w:rsidRDefault="008C7EDC" w:rsidP="00E058E0">
      <w:pPr>
        <w:pStyle w:val="Default"/>
        <w:rPr>
          <w:rFonts w:ascii="Times New Roman" w:hAnsi="Times New Roman" w:cs="Times New Roman"/>
        </w:rPr>
      </w:pPr>
      <w:r>
        <w:rPr>
          <w:rFonts w:ascii="Times New Roman" w:hAnsi="Times New Roman" w:cs="Times New Roman"/>
          <w:b/>
        </w:rPr>
        <w:tab/>
      </w:r>
      <w:r w:rsidRPr="00A41C3B">
        <w:rPr>
          <w:rFonts w:ascii="Times New Roman" w:hAnsi="Times New Roman" w:cs="Times New Roman"/>
        </w:rPr>
        <w:t xml:space="preserve">Recovery Act </w:t>
      </w:r>
      <w:r w:rsidR="005C1BA7">
        <w:rPr>
          <w:rFonts w:ascii="Times New Roman" w:hAnsi="Times New Roman" w:cs="Times New Roman"/>
        </w:rPr>
        <w:t xml:space="preserve">funding </w:t>
      </w:r>
      <w:r w:rsidRPr="00A41C3B">
        <w:rPr>
          <w:rFonts w:ascii="Times New Roman" w:hAnsi="Times New Roman" w:cs="Times New Roman"/>
        </w:rPr>
        <w:t xml:space="preserve">is </w:t>
      </w:r>
      <w:r w:rsidR="005C1BA7">
        <w:rPr>
          <w:rFonts w:ascii="Times New Roman" w:hAnsi="Times New Roman" w:cs="Times New Roman"/>
        </w:rPr>
        <w:t>supporting</w:t>
      </w:r>
      <w:r w:rsidR="005C1BA7" w:rsidRPr="00A41C3B">
        <w:rPr>
          <w:rFonts w:ascii="Times New Roman" w:hAnsi="Times New Roman" w:cs="Times New Roman"/>
        </w:rPr>
        <w:t xml:space="preserve"> </w:t>
      </w:r>
      <w:r w:rsidRPr="00A41C3B">
        <w:rPr>
          <w:rFonts w:ascii="Times New Roman" w:hAnsi="Times New Roman" w:cs="Times New Roman"/>
        </w:rPr>
        <w:t>initiative</w:t>
      </w:r>
      <w:r w:rsidR="005C1BA7">
        <w:rPr>
          <w:rFonts w:ascii="Times New Roman" w:hAnsi="Times New Roman" w:cs="Times New Roman"/>
        </w:rPr>
        <w:t>s</w:t>
      </w:r>
      <w:r w:rsidRPr="00A41C3B">
        <w:rPr>
          <w:rFonts w:ascii="Times New Roman" w:hAnsi="Times New Roman" w:cs="Times New Roman"/>
        </w:rPr>
        <w:t xml:space="preserve"> by States, </w:t>
      </w:r>
      <w:r w:rsidR="00A62C0D">
        <w:rPr>
          <w:rFonts w:ascii="Times New Roman" w:hAnsi="Times New Roman" w:cs="Times New Roman"/>
        </w:rPr>
        <w:t>units of local government, and Indian tribes</w:t>
      </w:r>
      <w:r w:rsidR="005C1BA7">
        <w:rPr>
          <w:rFonts w:ascii="Times New Roman" w:hAnsi="Times New Roman" w:cs="Times New Roman"/>
        </w:rPr>
        <w:t xml:space="preserve">, and is </w:t>
      </w:r>
      <w:r w:rsidRPr="00A41C3B">
        <w:rPr>
          <w:rFonts w:ascii="Times New Roman" w:hAnsi="Times New Roman" w:cs="Times New Roman"/>
        </w:rPr>
        <w:t>an unprecedented opportunity to deploy energy efficiency and renewable energy projects across the country. It is a pleasure to work with you on this important challenge.  I look forward to the growth of this Program and our continued partnership.</w:t>
      </w:r>
      <w:r w:rsidRPr="00721A73">
        <w:rPr>
          <w:rFonts w:ascii="Times New Roman" w:hAnsi="Times New Roman" w:cs="Times New Roman"/>
        </w:rPr>
        <w:t xml:space="preserve">  </w:t>
      </w:r>
    </w:p>
    <w:p w:rsidR="008C7EDC" w:rsidRDefault="008C7EDC" w:rsidP="00E058E0">
      <w:pPr>
        <w:rPr>
          <w:b/>
        </w:rPr>
      </w:pPr>
    </w:p>
    <w:p w:rsidR="00A80178" w:rsidRDefault="00A80178" w:rsidP="00E058E0">
      <w:pPr>
        <w:rPr>
          <w:b/>
        </w:rPr>
      </w:pPr>
    </w:p>
    <w:p w:rsidR="008C7EDC" w:rsidRDefault="008C7EDC" w:rsidP="00E058E0">
      <w:pPr>
        <w:rPr>
          <w:b/>
        </w:rPr>
      </w:pPr>
    </w:p>
    <w:p w:rsidR="008C7EDC" w:rsidRDefault="008C7EDC" w:rsidP="007F4BF6">
      <w:r>
        <w:rPr>
          <w:b/>
        </w:rPr>
        <w:tab/>
      </w:r>
      <w:r>
        <w:rPr>
          <w:b/>
        </w:rPr>
        <w:tab/>
      </w:r>
      <w:r>
        <w:rPr>
          <w:b/>
        </w:rPr>
        <w:tab/>
      </w:r>
      <w:r>
        <w:rPr>
          <w:b/>
        </w:rPr>
        <w:tab/>
      </w:r>
      <w:r w:rsidRPr="00721A73">
        <w:t>Claire Broido Johnson</w:t>
      </w:r>
    </w:p>
    <w:p w:rsidR="00A80178" w:rsidRDefault="00A80178" w:rsidP="00A80178">
      <w:r>
        <w:tab/>
      </w:r>
      <w:r>
        <w:tab/>
      </w:r>
      <w:r>
        <w:tab/>
      </w:r>
      <w:r>
        <w:tab/>
        <w:t>Actin</w:t>
      </w:r>
      <w:r w:rsidR="008C7EDC">
        <w:t>g Program Manager</w:t>
      </w:r>
    </w:p>
    <w:p w:rsidR="008C7EDC" w:rsidRPr="00721A73" w:rsidRDefault="00A80178" w:rsidP="00A80178">
      <w:r>
        <w:tab/>
      </w:r>
      <w:r>
        <w:tab/>
      </w:r>
      <w:r>
        <w:tab/>
      </w:r>
      <w:r>
        <w:tab/>
      </w:r>
      <w:r w:rsidR="008C7EDC">
        <w:t>Office of Weatherization and Intergovernmental Program</w:t>
      </w:r>
      <w:r>
        <w:tab/>
      </w:r>
      <w:r>
        <w:tab/>
      </w:r>
      <w:r>
        <w:tab/>
      </w:r>
      <w:r>
        <w:tab/>
      </w:r>
      <w:r>
        <w:tab/>
      </w:r>
      <w:r w:rsidR="008C7EDC">
        <w:t xml:space="preserve">Energy Efficiency and Renewable Energy      </w:t>
      </w:r>
    </w:p>
    <w:p w:rsidR="008C7EDC" w:rsidRPr="008C0F29" w:rsidRDefault="008C7EDC" w:rsidP="00E058E0"/>
    <w:p w:rsidR="008C7EDC" w:rsidRPr="008C0F29" w:rsidRDefault="008C7EDC" w:rsidP="00E058E0"/>
    <w:p w:rsidR="008C7EDC" w:rsidRPr="00046FC5" w:rsidRDefault="008C7EDC" w:rsidP="00B83446">
      <w:pPr>
        <w:autoSpaceDE w:val="0"/>
        <w:autoSpaceDN w:val="0"/>
        <w:adjustRightInd w:val="0"/>
        <w:rPr>
          <w:b/>
        </w:rPr>
      </w:pPr>
      <w:r>
        <w:t>Attachment 1:  EECBG</w:t>
      </w:r>
      <w:r w:rsidRPr="00046FC5">
        <w:t xml:space="preserve"> Quarterly Reporting Metrics (Recovery Act)</w:t>
      </w:r>
    </w:p>
    <w:p w:rsidR="008C7EDC" w:rsidRDefault="008C7EDC" w:rsidP="00B83446">
      <w:r>
        <w:t>Attachment 2:  EECBG</w:t>
      </w:r>
      <w:r w:rsidRPr="00046FC5">
        <w:t xml:space="preserve"> </w:t>
      </w:r>
      <w:r>
        <w:t>Monthly</w:t>
      </w:r>
      <w:r w:rsidRPr="00046FC5">
        <w:t xml:space="preserve"> Reporting Metrics (Recovery Act)</w:t>
      </w:r>
    </w:p>
    <w:p w:rsidR="008C7EDC" w:rsidRPr="008C0F29" w:rsidRDefault="008C7EDC" w:rsidP="00E058E0"/>
    <w:sectPr w:rsidR="008C7EDC" w:rsidRPr="008C0F29" w:rsidSect="00AD1DC6">
      <w:headerReference w:type="even" r:id="rId20"/>
      <w:headerReference w:type="default" r:id="rId21"/>
      <w:footerReference w:type="default" r:id="rId22"/>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91D" w:rsidRDefault="0099691D">
      <w:r>
        <w:separator/>
      </w:r>
    </w:p>
  </w:endnote>
  <w:endnote w:type="continuationSeparator" w:id="0">
    <w:p w:rsidR="0099691D" w:rsidRDefault="009969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178" w:rsidRDefault="0066046F">
    <w:pPr>
      <w:pStyle w:val="Footer"/>
      <w:jc w:val="right"/>
    </w:pPr>
    <w:fldSimple w:instr=" PAGE   \* MERGEFORMAT ">
      <w:r w:rsidR="00604B12">
        <w:rPr>
          <w:noProof/>
        </w:rPr>
        <w:t>10</w:t>
      </w:r>
    </w:fldSimple>
  </w:p>
  <w:p w:rsidR="00A80178" w:rsidRDefault="00A801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91D" w:rsidRDefault="0099691D">
      <w:r>
        <w:separator/>
      </w:r>
    </w:p>
  </w:footnote>
  <w:footnote w:type="continuationSeparator" w:id="0">
    <w:p w:rsidR="0099691D" w:rsidRDefault="0099691D">
      <w:r>
        <w:continuationSeparator/>
      </w:r>
    </w:p>
  </w:footnote>
  <w:footnote w:id="1">
    <w:p w:rsidR="00757917" w:rsidRPr="00757917" w:rsidRDefault="000A3632">
      <w:pPr>
        <w:pStyle w:val="FootnoteText"/>
        <w:rPr>
          <w:sz w:val="20"/>
          <w:szCs w:val="20"/>
        </w:rPr>
      </w:pPr>
      <w:r w:rsidRPr="00757917">
        <w:rPr>
          <w:rStyle w:val="FootnoteReference"/>
          <w:sz w:val="20"/>
          <w:szCs w:val="20"/>
        </w:rPr>
        <w:footnoteRef/>
      </w:r>
      <w:r w:rsidRPr="00757917">
        <w:rPr>
          <w:sz w:val="20"/>
          <w:szCs w:val="20"/>
        </w:rPr>
        <w:t xml:space="preserve"> </w:t>
      </w:r>
      <w:r w:rsidR="00757917" w:rsidRPr="00171F98">
        <w:rPr>
          <w:sz w:val="20"/>
          <w:szCs w:val="20"/>
        </w:rPr>
        <w:t xml:space="preserve">DOE will </w:t>
      </w:r>
      <w:r w:rsidR="00171F98" w:rsidRPr="00171F98">
        <w:rPr>
          <w:sz w:val="20"/>
          <w:szCs w:val="20"/>
        </w:rPr>
        <w:t xml:space="preserve">likewise engage </w:t>
      </w:r>
      <w:r w:rsidR="00757917" w:rsidRPr="00171F98">
        <w:rPr>
          <w:sz w:val="20"/>
          <w:szCs w:val="20"/>
        </w:rPr>
        <w:t>OMB if seeking renewal of emergency monthly collections on the Weatherization Assistance Program (WAP) and State Energy Program (SEP)</w:t>
      </w:r>
      <w:r w:rsidR="00171F98" w:rsidRPr="00171F98">
        <w:rPr>
          <w:sz w:val="20"/>
          <w:szCs w:val="20"/>
        </w:rPr>
        <w:t xml:space="preserve"> and will at four months from approval date for those collections, begin a dialogue on burden impact and introducing a risk-tiered model where selected recipients could return to quarterly reporting.  </w:t>
      </w:r>
      <w:r w:rsidR="00A81954" w:rsidRPr="00171F98">
        <w:rPr>
          <w:sz w:val="20"/>
          <w:szCs w:val="20"/>
        </w:rPr>
        <w:t>Further,</w:t>
      </w:r>
      <w:r w:rsidR="00A81954">
        <w:rPr>
          <w:sz w:val="20"/>
          <w:szCs w:val="20"/>
        </w:rPr>
        <w:t xml:space="preserve"> </w:t>
      </w:r>
      <w:r w:rsidR="00A81954" w:rsidRPr="00171F98">
        <w:rPr>
          <w:sz w:val="20"/>
          <w:szCs w:val="20"/>
        </w:rPr>
        <w:t>with</w:t>
      </w:r>
      <w:r w:rsidR="00171F98" w:rsidRPr="00171F98">
        <w:rPr>
          <w:sz w:val="20"/>
          <w:szCs w:val="20"/>
        </w:rPr>
        <w:t xml:space="preserve"> the same presumption that monthly data will be used internally for managerial purposes only, DOE </w:t>
      </w:r>
      <w:r w:rsidR="00757917" w:rsidRPr="00171F98">
        <w:rPr>
          <w:sz w:val="20"/>
          <w:szCs w:val="20"/>
        </w:rPr>
        <w:t xml:space="preserve">will </w:t>
      </w:r>
      <w:r w:rsidR="00171F98" w:rsidRPr="00171F98">
        <w:rPr>
          <w:sz w:val="20"/>
          <w:szCs w:val="20"/>
        </w:rPr>
        <w:t>clearly indicate</w:t>
      </w:r>
      <w:r w:rsidR="00757917" w:rsidRPr="00171F98">
        <w:rPr>
          <w:sz w:val="20"/>
          <w:szCs w:val="20"/>
        </w:rPr>
        <w:t xml:space="preserve"> </w:t>
      </w:r>
      <w:r w:rsidR="00171F98" w:rsidRPr="00171F98">
        <w:rPr>
          <w:sz w:val="20"/>
          <w:szCs w:val="20"/>
        </w:rPr>
        <w:t xml:space="preserve">that </w:t>
      </w:r>
      <w:r w:rsidR="00757917" w:rsidRPr="00171F98">
        <w:rPr>
          <w:sz w:val="20"/>
          <w:szCs w:val="20"/>
        </w:rPr>
        <w:t xml:space="preserve">any </w:t>
      </w:r>
      <w:r w:rsidR="00171F98" w:rsidRPr="00171F98">
        <w:rPr>
          <w:sz w:val="20"/>
          <w:szCs w:val="20"/>
        </w:rPr>
        <w:t xml:space="preserve">publicized </w:t>
      </w:r>
      <w:r w:rsidR="00757917" w:rsidRPr="00171F98">
        <w:rPr>
          <w:sz w:val="20"/>
          <w:szCs w:val="20"/>
        </w:rPr>
        <w:t xml:space="preserve">monthly </w:t>
      </w:r>
      <w:r w:rsidR="00171F98" w:rsidRPr="00171F98">
        <w:rPr>
          <w:sz w:val="20"/>
          <w:szCs w:val="20"/>
        </w:rPr>
        <w:t xml:space="preserve">data </w:t>
      </w:r>
      <w:r w:rsidR="00757917" w:rsidRPr="00171F98">
        <w:rPr>
          <w:sz w:val="20"/>
          <w:szCs w:val="20"/>
        </w:rPr>
        <w:t xml:space="preserve">from WAP or SEP </w:t>
      </w:r>
      <w:r w:rsidR="00171F98">
        <w:rPr>
          <w:sz w:val="20"/>
          <w:szCs w:val="20"/>
        </w:rPr>
        <w:t>i</w:t>
      </w:r>
      <w:r w:rsidR="00171F98" w:rsidRPr="00171F98">
        <w:rPr>
          <w:sz w:val="20"/>
          <w:szCs w:val="20"/>
        </w:rPr>
        <w:t>s "preliminary/informal and subject to change"</w:t>
      </w:r>
      <w:r w:rsidR="00757917" w:rsidRPr="00171F98">
        <w:rPr>
          <w:sz w:val="20"/>
          <w:szCs w:val="20"/>
        </w:rPr>
        <w:t xml:space="preserve">. </w:t>
      </w:r>
    </w:p>
  </w:footnote>
  <w:footnote w:id="2">
    <w:p w:rsidR="002D301B" w:rsidRPr="002D301B" w:rsidRDefault="002D301B">
      <w:pPr>
        <w:pStyle w:val="FootnoteText"/>
        <w:rPr>
          <w:sz w:val="16"/>
          <w:szCs w:val="16"/>
        </w:rPr>
      </w:pPr>
      <w:r w:rsidRPr="002D301B">
        <w:rPr>
          <w:rStyle w:val="FootnoteReference"/>
          <w:sz w:val="16"/>
          <w:szCs w:val="16"/>
        </w:rPr>
        <w:footnoteRef/>
      </w:r>
      <w:r w:rsidRPr="002D301B">
        <w:rPr>
          <w:sz w:val="16"/>
          <w:szCs w:val="16"/>
        </w:rPr>
        <w:t xml:space="preserve"> Monthly reports are only required for EECBG recipients with formula allocations greater than $2M</w:t>
      </w:r>
    </w:p>
  </w:footnote>
  <w:footnote w:id="3">
    <w:p w:rsidR="00AD1DC6" w:rsidRPr="00AD1DC6" w:rsidRDefault="00AD1DC6">
      <w:pPr>
        <w:pStyle w:val="FootnoteText"/>
        <w:rPr>
          <w:sz w:val="16"/>
          <w:szCs w:val="16"/>
        </w:rPr>
      </w:pPr>
      <w:r w:rsidRPr="00AD1DC6">
        <w:rPr>
          <w:rStyle w:val="FootnoteReference"/>
          <w:sz w:val="16"/>
          <w:szCs w:val="16"/>
        </w:rPr>
        <w:footnoteRef/>
      </w:r>
      <w:r w:rsidRPr="00AD1DC6">
        <w:rPr>
          <w:sz w:val="16"/>
          <w:szCs w:val="16"/>
        </w:rPr>
        <w:t xml:space="preserve"> For monthly reports on January each calendar year, the deadline will be either February 28</w:t>
      </w:r>
      <w:r w:rsidRPr="00AD1DC6">
        <w:rPr>
          <w:sz w:val="16"/>
          <w:szCs w:val="16"/>
          <w:vertAlign w:val="superscript"/>
        </w:rPr>
        <w:t>th</w:t>
      </w:r>
      <w:r w:rsidRPr="00AD1DC6">
        <w:rPr>
          <w:sz w:val="16"/>
          <w:szCs w:val="16"/>
        </w:rPr>
        <w:t xml:space="preserve"> or 29</w:t>
      </w:r>
      <w:r w:rsidRPr="00AD1DC6">
        <w:rPr>
          <w:sz w:val="16"/>
          <w:szCs w:val="16"/>
          <w:vertAlign w:val="superscript"/>
        </w:rPr>
        <w:t>th</w:t>
      </w:r>
      <w:r w:rsidRPr="00AD1DC6">
        <w:rPr>
          <w:sz w:val="16"/>
          <w:szCs w:val="16"/>
        </w:rPr>
        <w:t xml:space="preserve"> as applicable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649" w:rsidRDefault="0066046F" w:rsidP="004825AE">
    <w:pPr>
      <w:pStyle w:val="Header"/>
      <w:framePr w:wrap="around" w:vAnchor="text" w:hAnchor="margin" w:xAlign="right"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in;height:172.8pt;z-index:-25165875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r>
      <w:rPr>
        <w:rStyle w:val="PageNumber"/>
      </w:rPr>
      <w:fldChar w:fldCharType="begin"/>
    </w:r>
    <w:r w:rsidR="00685649">
      <w:rPr>
        <w:rStyle w:val="PageNumber"/>
      </w:rPr>
      <w:instrText xml:space="preserve">PAGE  </w:instrText>
    </w:r>
    <w:r>
      <w:rPr>
        <w:rStyle w:val="PageNumber"/>
      </w:rPr>
      <w:fldChar w:fldCharType="end"/>
    </w:r>
  </w:p>
  <w:p w:rsidR="00685649" w:rsidRDefault="00685649" w:rsidP="00804BB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8FD" w:rsidRDefault="00AD1DC6" w:rsidP="00AD1DC6">
    <w:pPr>
      <w:pStyle w:val="Header"/>
      <w:jc w:val="right"/>
    </w:pPr>
    <w:r>
      <w:t>EECBG Program Notice 10-</w:t>
    </w:r>
    <w:r w:rsidR="0020095D">
      <w:t>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6628"/>
    <w:multiLevelType w:val="hybridMultilevel"/>
    <w:tmpl w:val="C6B0F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B9588F"/>
    <w:multiLevelType w:val="hybridMultilevel"/>
    <w:tmpl w:val="7E60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F31B0"/>
    <w:multiLevelType w:val="hybridMultilevel"/>
    <w:tmpl w:val="D0C0FC0A"/>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7112FF"/>
    <w:multiLevelType w:val="hybridMultilevel"/>
    <w:tmpl w:val="F01AA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552A57"/>
    <w:multiLevelType w:val="hybridMultilevel"/>
    <w:tmpl w:val="250A6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5C5415"/>
    <w:multiLevelType w:val="hybridMultilevel"/>
    <w:tmpl w:val="EEA6F16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6E414D"/>
    <w:multiLevelType w:val="hybridMultilevel"/>
    <w:tmpl w:val="CE14782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5501873"/>
    <w:multiLevelType w:val="hybridMultilevel"/>
    <w:tmpl w:val="6E10C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E64CCA"/>
    <w:multiLevelType w:val="hybridMultilevel"/>
    <w:tmpl w:val="596A8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CEE3A39"/>
    <w:multiLevelType w:val="hybridMultilevel"/>
    <w:tmpl w:val="BE9E53C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450C2143"/>
    <w:multiLevelType w:val="hybridMultilevel"/>
    <w:tmpl w:val="6706E7D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580484"/>
    <w:multiLevelType w:val="hybridMultilevel"/>
    <w:tmpl w:val="F032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C148CC"/>
    <w:multiLevelType w:val="hybridMultilevel"/>
    <w:tmpl w:val="F42C009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37040B"/>
    <w:multiLevelType w:val="hybridMultilevel"/>
    <w:tmpl w:val="8182DEB8"/>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1409EB"/>
    <w:multiLevelType w:val="hybridMultilevel"/>
    <w:tmpl w:val="3F16B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E8D6D25"/>
    <w:multiLevelType w:val="hybridMultilevel"/>
    <w:tmpl w:val="007A9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79C5C24"/>
    <w:multiLevelType w:val="hybridMultilevel"/>
    <w:tmpl w:val="239EC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002322"/>
    <w:multiLevelType w:val="hybridMultilevel"/>
    <w:tmpl w:val="477CBAA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CC0BE9"/>
    <w:multiLevelType w:val="hybridMultilevel"/>
    <w:tmpl w:val="1A7202F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4"/>
  </w:num>
  <w:num w:numId="4">
    <w:abstractNumId w:val="3"/>
  </w:num>
  <w:num w:numId="5">
    <w:abstractNumId w:val="9"/>
  </w:num>
  <w:num w:numId="6">
    <w:abstractNumId w:val="6"/>
  </w:num>
  <w:num w:numId="7">
    <w:abstractNumId w:val="2"/>
  </w:num>
  <w:num w:numId="8">
    <w:abstractNumId w:val="13"/>
  </w:num>
  <w:num w:numId="9">
    <w:abstractNumId w:val="0"/>
  </w:num>
  <w:num w:numId="10">
    <w:abstractNumId w:val="18"/>
  </w:num>
  <w:num w:numId="11">
    <w:abstractNumId w:val="12"/>
  </w:num>
  <w:num w:numId="12">
    <w:abstractNumId w:val="5"/>
  </w:num>
  <w:num w:numId="13">
    <w:abstractNumId w:val="11"/>
  </w:num>
  <w:num w:numId="14">
    <w:abstractNumId w:val="1"/>
  </w:num>
  <w:num w:numId="15">
    <w:abstractNumId w:val="17"/>
  </w:num>
  <w:num w:numId="16">
    <w:abstractNumId w:val="14"/>
  </w:num>
  <w:num w:numId="17">
    <w:abstractNumId w:val="10"/>
  </w:num>
  <w:num w:numId="18">
    <w:abstractNumId w:val="15"/>
  </w:num>
  <w:num w:numId="19">
    <w:abstractNumId w:val="8"/>
  </w:num>
  <w:num w:numId="20">
    <w:abstractNumId w:val="17"/>
    <w:lvlOverride w:ilvl="0"/>
    <w:lvlOverride w:ilvl="1">
      <w:startOverride w:val="1"/>
    </w:lvlOverride>
    <w:lvlOverride w:ilvl="2"/>
    <w:lvlOverride w:ilvl="3"/>
    <w:lvlOverride w:ilvl="4"/>
    <w:lvlOverride w:ilvl="5"/>
    <w:lvlOverride w:ilvl="6"/>
    <w:lvlOverride w:ilvl="7"/>
    <w:lvlOverride w:ilvl="8"/>
  </w:num>
  <w:num w:numId="21">
    <w:abstractNumId w:val="17"/>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trackRevisions/>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DF198C"/>
    <w:rsid w:val="0000271A"/>
    <w:rsid w:val="00005C5C"/>
    <w:rsid w:val="00011953"/>
    <w:rsid w:val="000151E4"/>
    <w:rsid w:val="00024495"/>
    <w:rsid w:val="00025948"/>
    <w:rsid w:val="000421F2"/>
    <w:rsid w:val="00045441"/>
    <w:rsid w:val="00046FC5"/>
    <w:rsid w:val="00060C9C"/>
    <w:rsid w:val="000677D3"/>
    <w:rsid w:val="000A3632"/>
    <w:rsid w:val="000C619F"/>
    <w:rsid w:val="000D1AB0"/>
    <w:rsid w:val="000F5D63"/>
    <w:rsid w:val="00111702"/>
    <w:rsid w:val="00112AE8"/>
    <w:rsid w:val="00116AC7"/>
    <w:rsid w:val="00131948"/>
    <w:rsid w:val="00140EBD"/>
    <w:rsid w:val="00153180"/>
    <w:rsid w:val="00153E69"/>
    <w:rsid w:val="001559E7"/>
    <w:rsid w:val="00155CDE"/>
    <w:rsid w:val="00161443"/>
    <w:rsid w:val="00165BDA"/>
    <w:rsid w:val="00171F98"/>
    <w:rsid w:val="001812E3"/>
    <w:rsid w:val="0018247C"/>
    <w:rsid w:val="00190B6D"/>
    <w:rsid w:val="001A0877"/>
    <w:rsid w:val="001A5284"/>
    <w:rsid w:val="001B48DE"/>
    <w:rsid w:val="001C052C"/>
    <w:rsid w:val="001C1196"/>
    <w:rsid w:val="001C6B68"/>
    <w:rsid w:val="001D51FA"/>
    <w:rsid w:val="001D550E"/>
    <w:rsid w:val="001E2899"/>
    <w:rsid w:val="0020095D"/>
    <w:rsid w:val="002017C7"/>
    <w:rsid w:val="00205E42"/>
    <w:rsid w:val="00214C3D"/>
    <w:rsid w:val="0025287A"/>
    <w:rsid w:val="002834B0"/>
    <w:rsid w:val="002874DA"/>
    <w:rsid w:val="002C2CF6"/>
    <w:rsid w:val="002D301B"/>
    <w:rsid w:val="002D4082"/>
    <w:rsid w:val="002D4C92"/>
    <w:rsid w:val="002E272C"/>
    <w:rsid w:val="002F22A4"/>
    <w:rsid w:val="00302137"/>
    <w:rsid w:val="00305065"/>
    <w:rsid w:val="00320449"/>
    <w:rsid w:val="0035210B"/>
    <w:rsid w:val="00356C1F"/>
    <w:rsid w:val="00364E23"/>
    <w:rsid w:val="00365397"/>
    <w:rsid w:val="003A5760"/>
    <w:rsid w:val="003B0751"/>
    <w:rsid w:val="003B51D8"/>
    <w:rsid w:val="003B6C24"/>
    <w:rsid w:val="003D0F56"/>
    <w:rsid w:val="003D14CC"/>
    <w:rsid w:val="003D1FCD"/>
    <w:rsid w:val="003E38FD"/>
    <w:rsid w:val="003F0399"/>
    <w:rsid w:val="003F193C"/>
    <w:rsid w:val="00402E63"/>
    <w:rsid w:val="00405465"/>
    <w:rsid w:val="00407D64"/>
    <w:rsid w:val="00411638"/>
    <w:rsid w:val="004124AC"/>
    <w:rsid w:val="0042712B"/>
    <w:rsid w:val="00427EC3"/>
    <w:rsid w:val="00432D1A"/>
    <w:rsid w:val="00460880"/>
    <w:rsid w:val="00472984"/>
    <w:rsid w:val="00481738"/>
    <w:rsid w:val="004825AE"/>
    <w:rsid w:val="004837EF"/>
    <w:rsid w:val="00495F06"/>
    <w:rsid w:val="004A24E5"/>
    <w:rsid w:val="004B36C8"/>
    <w:rsid w:val="004C1602"/>
    <w:rsid w:val="004D1E9D"/>
    <w:rsid w:val="004F2722"/>
    <w:rsid w:val="004F56D6"/>
    <w:rsid w:val="00507862"/>
    <w:rsid w:val="00510FDD"/>
    <w:rsid w:val="005355A2"/>
    <w:rsid w:val="00543FB6"/>
    <w:rsid w:val="0055044A"/>
    <w:rsid w:val="00550B95"/>
    <w:rsid w:val="00552A8B"/>
    <w:rsid w:val="00553E52"/>
    <w:rsid w:val="00560DCC"/>
    <w:rsid w:val="00562ED7"/>
    <w:rsid w:val="005740D3"/>
    <w:rsid w:val="00582D86"/>
    <w:rsid w:val="005853E2"/>
    <w:rsid w:val="005A7D05"/>
    <w:rsid w:val="005B4CC0"/>
    <w:rsid w:val="005C1BA7"/>
    <w:rsid w:val="005C1D02"/>
    <w:rsid w:val="005C2A4D"/>
    <w:rsid w:val="005D1E17"/>
    <w:rsid w:val="005D5A36"/>
    <w:rsid w:val="005E54C2"/>
    <w:rsid w:val="00601AD4"/>
    <w:rsid w:val="00604B12"/>
    <w:rsid w:val="00610871"/>
    <w:rsid w:val="006119D7"/>
    <w:rsid w:val="006134EE"/>
    <w:rsid w:val="0062443F"/>
    <w:rsid w:val="00636E3E"/>
    <w:rsid w:val="00641A0D"/>
    <w:rsid w:val="006452BD"/>
    <w:rsid w:val="00652865"/>
    <w:rsid w:val="0066046F"/>
    <w:rsid w:val="00677709"/>
    <w:rsid w:val="00681597"/>
    <w:rsid w:val="00685649"/>
    <w:rsid w:val="006871C5"/>
    <w:rsid w:val="00697418"/>
    <w:rsid w:val="006B022E"/>
    <w:rsid w:val="006D0255"/>
    <w:rsid w:val="006D1DE6"/>
    <w:rsid w:val="006D79C4"/>
    <w:rsid w:val="006E0180"/>
    <w:rsid w:val="006E78CC"/>
    <w:rsid w:val="006F7FB9"/>
    <w:rsid w:val="00701B62"/>
    <w:rsid w:val="00721914"/>
    <w:rsid w:val="00721A73"/>
    <w:rsid w:val="00723EEE"/>
    <w:rsid w:val="00727C10"/>
    <w:rsid w:val="00730B4B"/>
    <w:rsid w:val="00742688"/>
    <w:rsid w:val="00742E1D"/>
    <w:rsid w:val="00745F14"/>
    <w:rsid w:val="00747D1C"/>
    <w:rsid w:val="00755BB8"/>
    <w:rsid w:val="00757917"/>
    <w:rsid w:val="007602B1"/>
    <w:rsid w:val="0079199E"/>
    <w:rsid w:val="00793511"/>
    <w:rsid w:val="007A5FDF"/>
    <w:rsid w:val="007A77C9"/>
    <w:rsid w:val="007B2314"/>
    <w:rsid w:val="007B6655"/>
    <w:rsid w:val="007C5197"/>
    <w:rsid w:val="007D0735"/>
    <w:rsid w:val="007D17BF"/>
    <w:rsid w:val="007D46B7"/>
    <w:rsid w:val="007E3B2F"/>
    <w:rsid w:val="007F23E8"/>
    <w:rsid w:val="007F4BF6"/>
    <w:rsid w:val="00803A8F"/>
    <w:rsid w:val="00804BBB"/>
    <w:rsid w:val="008057B2"/>
    <w:rsid w:val="00815AEF"/>
    <w:rsid w:val="0082533E"/>
    <w:rsid w:val="0083134D"/>
    <w:rsid w:val="00845C41"/>
    <w:rsid w:val="00846066"/>
    <w:rsid w:val="00867174"/>
    <w:rsid w:val="00880CBC"/>
    <w:rsid w:val="00892814"/>
    <w:rsid w:val="008936A3"/>
    <w:rsid w:val="00897756"/>
    <w:rsid w:val="008A3FCC"/>
    <w:rsid w:val="008A53A8"/>
    <w:rsid w:val="008B3A2E"/>
    <w:rsid w:val="008B5BCE"/>
    <w:rsid w:val="008C0F29"/>
    <w:rsid w:val="008C475E"/>
    <w:rsid w:val="008C4B45"/>
    <w:rsid w:val="008C4ED4"/>
    <w:rsid w:val="008C77E0"/>
    <w:rsid w:val="008C7EDC"/>
    <w:rsid w:val="008E06A2"/>
    <w:rsid w:val="008E6A7B"/>
    <w:rsid w:val="008F39DE"/>
    <w:rsid w:val="008F3C74"/>
    <w:rsid w:val="008F7236"/>
    <w:rsid w:val="00900FB8"/>
    <w:rsid w:val="00904649"/>
    <w:rsid w:val="00911E55"/>
    <w:rsid w:val="0092350E"/>
    <w:rsid w:val="00940EFF"/>
    <w:rsid w:val="0095164A"/>
    <w:rsid w:val="00952922"/>
    <w:rsid w:val="0095341D"/>
    <w:rsid w:val="009540F1"/>
    <w:rsid w:val="00965E1B"/>
    <w:rsid w:val="00966892"/>
    <w:rsid w:val="0097120B"/>
    <w:rsid w:val="00974AD6"/>
    <w:rsid w:val="00982609"/>
    <w:rsid w:val="0099691D"/>
    <w:rsid w:val="00997C66"/>
    <w:rsid w:val="009A5309"/>
    <w:rsid w:val="009B6876"/>
    <w:rsid w:val="009D6632"/>
    <w:rsid w:val="009E2460"/>
    <w:rsid w:val="009E6795"/>
    <w:rsid w:val="009F18A8"/>
    <w:rsid w:val="009F6901"/>
    <w:rsid w:val="00A044E4"/>
    <w:rsid w:val="00A072E4"/>
    <w:rsid w:val="00A240DE"/>
    <w:rsid w:val="00A246E7"/>
    <w:rsid w:val="00A302D5"/>
    <w:rsid w:val="00A32EC4"/>
    <w:rsid w:val="00A41C3B"/>
    <w:rsid w:val="00A462DC"/>
    <w:rsid w:val="00A557A6"/>
    <w:rsid w:val="00A62C0D"/>
    <w:rsid w:val="00A7634E"/>
    <w:rsid w:val="00A80178"/>
    <w:rsid w:val="00A81954"/>
    <w:rsid w:val="00A82AE1"/>
    <w:rsid w:val="00A85B7F"/>
    <w:rsid w:val="00AB4904"/>
    <w:rsid w:val="00AC0DC4"/>
    <w:rsid w:val="00AD0C49"/>
    <w:rsid w:val="00AD15CD"/>
    <w:rsid w:val="00AD1DC6"/>
    <w:rsid w:val="00AD640C"/>
    <w:rsid w:val="00AD7B21"/>
    <w:rsid w:val="00AE418F"/>
    <w:rsid w:val="00AF0C69"/>
    <w:rsid w:val="00AF3389"/>
    <w:rsid w:val="00B12888"/>
    <w:rsid w:val="00B26314"/>
    <w:rsid w:val="00B40F8A"/>
    <w:rsid w:val="00B441E9"/>
    <w:rsid w:val="00B6061F"/>
    <w:rsid w:val="00B6197C"/>
    <w:rsid w:val="00B723CB"/>
    <w:rsid w:val="00B76865"/>
    <w:rsid w:val="00B83446"/>
    <w:rsid w:val="00B9018B"/>
    <w:rsid w:val="00B97090"/>
    <w:rsid w:val="00BA0B8A"/>
    <w:rsid w:val="00BA0CC4"/>
    <w:rsid w:val="00BC1A3D"/>
    <w:rsid w:val="00BD15D0"/>
    <w:rsid w:val="00BE19A1"/>
    <w:rsid w:val="00BE2B0B"/>
    <w:rsid w:val="00BF7CD7"/>
    <w:rsid w:val="00C04A60"/>
    <w:rsid w:val="00C06372"/>
    <w:rsid w:val="00C06468"/>
    <w:rsid w:val="00C138A9"/>
    <w:rsid w:val="00C146BC"/>
    <w:rsid w:val="00C206D7"/>
    <w:rsid w:val="00C34AA8"/>
    <w:rsid w:val="00C42BEA"/>
    <w:rsid w:val="00C42CD1"/>
    <w:rsid w:val="00C4775A"/>
    <w:rsid w:val="00C520E0"/>
    <w:rsid w:val="00C53C2D"/>
    <w:rsid w:val="00C54761"/>
    <w:rsid w:val="00C54B72"/>
    <w:rsid w:val="00C605C6"/>
    <w:rsid w:val="00C65255"/>
    <w:rsid w:val="00C65ED6"/>
    <w:rsid w:val="00C72E35"/>
    <w:rsid w:val="00C81D90"/>
    <w:rsid w:val="00C83873"/>
    <w:rsid w:val="00C8789A"/>
    <w:rsid w:val="00C92B26"/>
    <w:rsid w:val="00C9327B"/>
    <w:rsid w:val="00CB194D"/>
    <w:rsid w:val="00CB5748"/>
    <w:rsid w:val="00CC4743"/>
    <w:rsid w:val="00CC722C"/>
    <w:rsid w:val="00CD3711"/>
    <w:rsid w:val="00CF189E"/>
    <w:rsid w:val="00CF1C07"/>
    <w:rsid w:val="00CF4119"/>
    <w:rsid w:val="00CF4D63"/>
    <w:rsid w:val="00CF5A1D"/>
    <w:rsid w:val="00D02FD6"/>
    <w:rsid w:val="00D04B8C"/>
    <w:rsid w:val="00D23147"/>
    <w:rsid w:val="00D24405"/>
    <w:rsid w:val="00D27C11"/>
    <w:rsid w:val="00D3559E"/>
    <w:rsid w:val="00D4624A"/>
    <w:rsid w:val="00D47F64"/>
    <w:rsid w:val="00D56D2E"/>
    <w:rsid w:val="00D72EBB"/>
    <w:rsid w:val="00D756E1"/>
    <w:rsid w:val="00D75DF6"/>
    <w:rsid w:val="00D812BE"/>
    <w:rsid w:val="00D83716"/>
    <w:rsid w:val="00D870CC"/>
    <w:rsid w:val="00DA064D"/>
    <w:rsid w:val="00DA4469"/>
    <w:rsid w:val="00DB0216"/>
    <w:rsid w:val="00DC40BB"/>
    <w:rsid w:val="00DD0D96"/>
    <w:rsid w:val="00DD564D"/>
    <w:rsid w:val="00DE010C"/>
    <w:rsid w:val="00DF198C"/>
    <w:rsid w:val="00E04305"/>
    <w:rsid w:val="00E058E0"/>
    <w:rsid w:val="00E21A58"/>
    <w:rsid w:val="00E24197"/>
    <w:rsid w:val="00E2586C"/>
    <w:rsid w:val="00E3058F"/>
    <w:rsid w:val="00E341F2"/>
    <w:rsid w:val="00E37168"/>
    <w:rsid w:val="00E432A4"/>
    <w:rsid w:val="00E433B3"/>
    <w:rsid w:val="00E43915"/>
    <w:rsid w:val="00E50A15"/>
    <w:rsid w:val="00E63C92"/>
    <w:rsid w:val="00E65058"/>
    <w:rsid w:val="00E83C5B"/>
    <w:rsid w:val="00E8632A"/>
    <w:rsid w:val="00E955E1"/>
    <w:rsid w:val="00EB2670"/>
    <w:rsid w:val="00EB2F26"/>
    <w:rsid w:val="00EC194F"/>
    <w:rsid w:val="00EC49F0"/>
    <w:rsid w:val="00EC4D94"/>
    <w:rsid w:val="00EC5F23"/>
    <w:rsid w:val="00EC60C7"/>
    <w:rsid w:val="00ED01BD"/>
    <w:rsid w:val="00ED5BB1"/>
    <w:rsid w:val="00EF7F5F"/>
    <w:rsid w:val="00F011CF"/>
    <w:rsid w:val="00F148BD"/>
    <w:rsid w:val="00F1742A"/>
    <w:rsid w:val="00F310DF"/>
    <w:rsid w:val="00F420BC"/>
    <w:rsid w:val="00F45F9B"/>
    <w:rsid w:val="00F60DA2"/>
    <w:rsid w:val="00F661C4"/>
    <w:rsid w:val="00F7164E"/>
    <w:rsid w:val="00F7637B"/>
    <w:rsid w:val="00F774A0"/>
    <w:rsid w:val="00F814EA"/>
    <w:rsid w:val="00F81B8D"/>
    <w:rsid w:val="00F82862"/>
    <w:rsid w:val="00F938DA"/>
    <w:rsid w:val="00F949D6"/>
    <w:rsid w:val="00FA5F08"/>
    <w:rsid w:val="00FB2BA8"/>
    <w:rsid w:val="00FB3400"/>
    <w:rsid w:val="00FB3FE1"/>
    <w:rsid w:val="00FB5459"/>
    <w:rsid w:val="00FC3AD2"/>
    <w:rsid w:val="00FD12EE"/>
    <w:rsid w:val="00FD3686"/>
    <w:rsid w:val="00FD7B54"/>
    <w:rsid w:val="00FE32D6"/>
    <w:rsid w:val="00FF0094"/>
    <w:rsid w:val="00FF0D90"/>
    <w:rsid w:val="00FF7A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uiPriority="9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annotation text" w:locked="1" w:uiPriority="99"/>
    <w:lsdException w:name="header" w:locked="1" w:uiPriority="99"/>
    <w:lsdException w:name="footer" w:uiPriority="99"/>
    <w:lsdException w:name="caption" w:locked="1" w:semiHidden="1" w:unhideWhenUsed="1" w:qFormat="1"/>
    <w:lsdException w:name="annotation reference" w:locked="1" w:uiPriority="99"/>
    <w:lsdException w:name="page number" w:uiPriority="99"/>
    <w:lsdException w:name="Title" w:locked="1" w:qFormat="1"/>
    <w:lsdException w:name="Default Paragraph Font" w:uiPriority="1"/>
    <w:lsdException w:name="Body Text" w:uiPriority="99"/>
    <w:lsdException w:name="Subtitle" w:locked="1" w:qFormat="1"/>
    <w:lsdException w:name="Hyperlink" w:locked="1" w:uiPriority="99"/>
    <w:lsdException w:name="FollowedHyperlink" w:uiPriority="99"/>
    <w:lsdException w:name="Strong" w:locked="1" w:qFormat="1"/>
    <w:lsdException w:name="Emphasis" w:locked="1" w:qFormat="1"/>
    <w:lsdException w:name="HTML Preformatted" w:uiPriority="99"/>
    <w:lsdException w:name="annotation subject" w:uiPriority="99"/>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98C"/>
    <w:rPr>
      <w:sz w:val="24"/>
      <w:szCs w:val="24"/>
    </w:rPr>
  </w:style>
  <w:style w:type="paragraph" w:styleId="Heading3">
    <w:name w:val="heading 3"/>
    <w:basedOn w:val="Normal"/>
    <w:link w:val="Heading3Char"/>
    <w:uiPriority w:val="99"/>
    <w:qFormat/>
    <w:rsid w:val="004D1E9D"/>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Header"/>
    <w:link w:val="BodyTextChar"/>
    <w:uiPriority w:val="99"/>
    <w:rsid w:val="00DF198C"/>
    <w:pPr>
      <w:spacing w:after="120"/>
    </w:pPr>
    <w:rPr>
      <w:rFonts w:ascii="Arial" w:hAnsi="Arial" w:cs="Arial"/>
    </w:rPr>
  </w:style>
  <w:style w:type="paragraph" w:styleId="Header">
    <w:name w:val="header"/>
    <w:basedOn w:val="Normal"/>
    <w:link w:val="HeaderChar"/>
    <w:uiPriority w:val="99"/>
    <w:rsid w:val="00DF198C"/>
    <w:pPr>
      <w:tabs>
        <w:tab w:val="center" w:pos="4320"/>
        <w:tab w:val="right" w:pos="8640"/>
      </w:tabs>
    </w:pPr>
  </w:style>
  <w:style w:type="paragraph" w:styleId="Footer">
    <w:name w:val="footer"/>
    <w:basedOn w:val="Normal"/>
    <w:link w:val="FooterChar"/>
    <w:uiPriority w:val="99"/>
    <w:rsid w:val="00DF198C"/>
    <w:pPr>
      <w:tabs>
        <w:tab w:val="center" w:pos="4320"/>
        <w:tab w:val="right" w:pos="8640"/>
      </w:tabs>
    </w:pPr>
  </w:style>
  <w:style w:type="character" w:styleId="PageNumber">
    <w:name w:val="page number"/>
    <w:basedOn w:val="DefaultParagraphFont"/>
    <w:uiPriority w:val="99"/>
    <w:rsid w:val="00804BBB"/>
    <w:rPr>
      <w:rFonts w:cs="Times New Roman"/>
    </w:rPr>
  </w:style>
  <w:style w:type="paragraph" w:styleId="BalloonText">
    <w:name w:val="Balloon Text"/>
    <w:basedOn w:val="Normal"/>
    <w:link w:val="BalloonTextChar"/>
    <w:uiPriority w:val="99"/>
    <w:semiHidden/>
    <w:rsid w:val="00EC194F"/>
    <w:rPr>
      <w:rFonts w:ascii="Tahoma" w:hAnsi="Tahoma" w:cs="Tahoma"/>
      <w:sz w:val="16"/>
      <w:szCs w:val="16"/>
    </w:rPr>
  </w:style>
  <w:style w:type="paragraph" w:styleId="HTMLPreformatted">
    <w:name w:val="HTML Preformatted"/>
    <w:basedOn w:val="Normal"/>
    <w:link w:val="HTMLPreformattedChar"/>
    <w:uiPriority w:val="99"/>
    <w:rsid w:val="0065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M73">
    <w:name w:val="CM73"/>
    <w:basedOn w:val="Normal"/>
    <w:next w:val="Normal"/>
    <w:uiPriority w:val="99"/>
    <w:rsid w:val="00562ED7"/>
    <w:pPr>
      <w:autoSpaceDE w:val="0"/>
      <w:autoSpaceDN w:val="0"/>
      <w:adjustRightInd w:val="0"/>
    </w:pPr>
  </w:style>
  <w:style w:type="character" w:styleId="Hyperlink">
    <w:name w:val="Hyperlink"/>
    <w:basedOn w:val="DefaultParagraphFont"/>
    <w:uiPriority w:val="99"/>
    <w:rsid w:val="000D1AB0"/>
    <w:rPr>
      <w:rFonts w:cs="Times New Roman"/>
      <w:color w:val="000066"/>
      <w:u w:val="single"/>
    </w:rPr>
  </w:style>
  <w:style w:type="paragraph" w:customStyle="1" w:styleId="Default">
    <w:name w:val="Default"/>
    <w:uiPriority w:val="99"/>
    <w:rsid w:val="000D1AB0"/>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9"/>
    <w:locked/>
    <w:rsid w:val="004D1E9D"/>
    <w:rPr>
      <w:rFonts w:cs="Times New Roman"/>
      <w:b/>
      <w:bCs/>
      <w:sz w:val="24"/>
      <w:szCs w:val="24"/>
    </w:rPr>
  </w:style>
  <w:style w:type="paragraph" w:customStyle="1" w:styleId="nobottom">
    <w:name w:val="nobottom"/>
    <w:basedOn w:val="Normal"/>
    <w:uiPriority w:val="99"/>
    <w:rsid w:val="004D1E9D"/>
  </w:style>
  <w:style w:type="paragraph" w:styleId="ListParagraph">
    <w:name w:val="List Paragraph"/>
    <w:basedOn w:val="Normal"/>
    <w:uiPriority w:val="99"/>
    <w:qFormat/>
    <w:rsid w:val="00D24405"/>
    <w:pPr>
      <w:spacing w:after="200" w:line="276" w:lineRule="auto"/>
      <w:ind w:left="720"/>
      <w:contextualSpacing/>
    </w:pPr>
    <w:rPr>
      <w:rFonts w:ascii="Calibri" w:hAnsi="Calibri"/>
      <w:sz w:val="22"/>
      <w:szCs w:val="22"/>
    </w:rPr>
  </w:style>
  <w:style w:type="character" w:styleId="CommentReference">
    <w:name w:val="annotation reference"/>
    <w:basedOn w:val="DefaultParagraphFont"/>
    <w:uiPriority w:val="99"/>
    <w:rsid w:val="00D24405"/>
    <w:rPr>
      <w:rFonts w:cs="Times New Roman"/>
      <w:sz w:val="16"/>
      <w:szCs w:val="16"/>
    </w:rPr>
  </w:style>
  <w:style w:type="paragraph" w:styleId="CommentText">
    <w:name w:val="annotation text"/>
    <w:basedOn w:val="Normal"/>
    <w:link w:val="CommentTextChar"/>
    <w:uiPriority w:val="99"/>
    <w:rsid w:val="00D24405"/>
    <w:pPr>
      <w:spacing w:after="200"/>
    </w:pPr>
    <w:rPr>
      <w:rFonts w:ascii="Calibri" w:hAnsi="Calibri"/>
      <w:sz w:val="20"/>
      <w:szCs w:val="20"/>
    </w:rPr>
  </w:style>
  <w:style w:type="character" w:customStyle="1" w:styleId="CommentTextChar">
    <w:name w:val="Comment Text Char"/>
    <w:basedOn w:val="DefaultParagraphFont"/>
    <w:link w:val="CommentText"/>
    <w:uiPriority w:val="99"/>
    <w:locked/>
    <w:rsid w:val="00D24405"/>
    <w:rPr>
      <w:rFonts w:ascii="Calibri" w:eastAsia="Times New Roman" w:hAnsi="Calibri" w:cs="Times New Roman"/>
    </w:rPr>
  </w:style>
  <w:style w:type="character" w:customStyle="1" w:styleId="HeaderChar">
    <w:name w:val="Header Char"/>
    <w:basedOn w:val="DefaultParagraphFont"/>
    <w:link w:val="Header"/>
    <w:uiPriority w:val="99"/>
    <w:locked/>
    <w:rsid w:val="00046FC5"/>
    <w:rPr>
      <w:rFonts w:cs="Times New Roman"/>
      <w:sz w:val="24"/>
      <w:szCs w:val="24"/>
    </w:rPr>
  </w:style>
  <w:style w:type="character" w:styleId="FollowedHyperlink">
    <w:name w:val="FollowedHyperlink"/>
    <w:basedOn w:val="DefaultParagraphFont"/>
    <w:uiPriority w:val="99"/>
    <w:rsid w:val="007F23E8"/>
    <w:rPr>
      <w:rFonts w:cs="Times New Roman"/>
      <w:color w:val="800080"/>
      <w:u w:val="single"/>
    </w:rPr>
  </w:style>
  <w:style w:type="paragraph" w:styleId="CommentSubject">
    <w:name w:val="annotation subject"/>
    <w:basedOn w:val="CommentText"/>
    <w:next w:val="CommentText"/>
    <w:link w:val="CommentSubjectChar"/>
    <w:uiPriority w:val="99"/>
    <w:rsid w:val="00005C5C"/>
    <w:pPr>
      <w:spacing w:after="0"/>
    </w:pPr>
    <w:rPr>
      <w:rFonts w:ascii="Times New Roman" w:hAnsi="Times New Roman"/>
      <w:b/>
      <w:bCs/>
    </w:rPr>
  </w:style>
  <w:style w:type="character" w:customStyle="1" w:styleId="CommentSubjectChar">
    <w:name w:val="Comment Subject Char"/>
    <w:basedOn w:val="CommentTextChar"/>
    <w:link w:val="CommentSubject"/>
    <w:uiPriority w:val="99"/>
    <w:locked/>
    <w:rsid w:val="00005C5C"/>
    <w:rPr>
      <w:b/>
      <w:bCs/>
    </w:rPr>
  </w:style>
  <w:style w:type="table" w:styleId="TableGrid">
    <w:name w:val="Table Grid"/>
    <w:basedOn w:val="TableNormal"/>
    <w:rsid w:val="00153E69"/>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locked/>
    <w:rsid w:val="00685649"/>
    <w:rPr>
      <w:rFonts w:ascii="Arial" w:hAnsi="Arial" w:cs="Arial"/>
      <w:sz w:val="24"/>
      <w:szCs w:val="24"/>
    </w:rPr>
  </w:style>
  <w:style w:type="character" w:customStyle="1" w:styleId="FooterChar">
    <w:name w:val="Footer Char"/>
    <w:basedOn w:val="DefaultParagraphFont"/>
    <w:link w:val="Footer"/>
    <w:uiPriority w:val="99"/>
    <w:locked/>
    <w:rsid w:val="00685649"/>
    <w:rPr>
      <w:sz w:val="24"/>
      <w:szCs w:val="24"/>
    </w:rPr>
  </w:style>
  <w:style w:type="character" w:customStyle="1" w:styleId="BalloonTextChar">
    <w:name w:val="Balloon Text Char"/>
    <w:basedOn w:val="DefaultParagraphFont"/>
    <w:link w:val="BalloonText"/>
    <w:uiPriority w:val="99"/>
    <w:semiHidden/>
    <w:locked/>
    <w:rsid w:val="00685649"/>
    <w:rPr>
      <w:rFonts w:ascii="Tahoma" w:hAnsi="Tahoma" w:cs="Tahoma"/>
      <w:sz w:val="16"/>
      <w:szCs w:val="16"/>
    </w:rPr>
  </w:style>
  <w:style w:type="character" w:customStyle="1" w:styleId="HTMLPreformattedChar">
    <w:name w:val="HTML Preformatted Char"/>
    <w:basedOn w:val="DefaultParagraphFont"/>
    <w:link w:val="HTMLPreformatted"/>
    <w:uiPriority w:val="99"/>
    <w:locked/>
    <w:rsid w:val="00685649"/>
    <w:rPr>
      <w:rFonts w:ascii="Courier New" w:hAnsi="Courier New" w:cs="Courier New"/>
    </w:rPr>
  </w:style>
  <w:style w:type="paragraph" w:styleId="Revision">
    <w:name w:val="Revision"/>
    <w:hidden/>
    <w:uiPriority w:val="99"/>
    <w:semiHidden/>
    <w:rsid w:val="00685649"/>
    <w:rPr>
      <w:sz w:val="24"/>
      <w:szCs w:val="24"/>
    </w:rPr>
  </w:style>
  <w:style w:type="paragraph" w:styleId="FootnoteText">
    <w:name w:val="footnote text"/>
    <w:basedOn w:val="Normal"/>
    <w:link w:val="FootnoteTextChar"/>
    <w:uiPriority w:val="99"/>
    <w:rsid w:val="00F81B8D"/>
    <w:rPr>
      <w:rFonts w:ascii="Cambria" w:eastAsia="Calibri" w:hAnsi="Cambria"/>
    </w:rPr>
  </w:style>
  <w:style w:type="character" w:customStyle="1" w:styleId="FootnoteTextChar">
    <w:name w:val="Footnote Text Char"/>
    <w:basedOn w:val="DefaultParagraphFont"/>
    <w:link w:val="FootnoteText"/>
    <w:uiPriority w:val="99"/>
    <w:rsid w:val="00F81B8D"/>
    <w:rPr>
      <w:rFonts w:ascii="Cambria" w:eastAsia="Calibri" w:hAnsi="Cambria"/>
      <w:sz w:val="24"/>
      <w:szCs w:val="24"/>
    </w:rPr>
  </w:style>
  <w:style w:type="character" w:styleId="FootnoteReference">
    <w:name w:val="footnote reference"/>
    <w:basedOn w:val="DefaultParagraphFont"/>
    <w:rsid w:val="00AD1DC6"/>
    <w:rPr>
      <w:vertAlign w:val="superscript"/>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204876789">
      <w:marLeft w:val="0"/>
      <w:marRight w:val="0"/>
      <w:marTop w:val="0"/>
      <w:marBottom w:val="0"/>
      <w:divBdr>
        <w:top w:val="none" w:sz="0" w:space="0" w:color="auto"/>
        <w:left w:val="none" w:sz="0" w:space="0" w:color="auto"/>
        <w:bottom w:val="none" w:sz="0" w:space="0" w:color="auto"/>
        <w:right w:val="none" w:sz="0" w:space="0" w:color="auto"/>
      </w:divBdr>
      <w:divsChild>
        <w:div w:id="204876790">
          <w:marLeft w:val="0"/>
          <w:marRight w:val="0"/>
          <w:marTop w:val="0"/>
          <w:marBottom w:val="0"/>
          <w:divBdr>
            <w:top w:val="none" w:sz="0" w:space="0" w:color="auto"/>
            <w:left w:val="none" w:sz="0" w:space="0" w:color="auto"/>
            <w:bottom w:val="none" w:sz="0" w:space="0" w:color="auto"/>
            <w:right w:val="none" w:sz="0" w:space="0" w:color="auto"/>
          </w:divBdr>
        </w:div>
      </w:divsChild>
    </w:div>
    <w:div w:id="768698753">
      <w:bodyDiv w:val="1"/>
      <w:marLeft w:val="0"/>
      <w:marRight w:val="0"/>
      <w:marTop w:val="0"/>
      <w:marBottom w:val="0"/>
      <w:divBdr>
        <w:top w:val="none" w:sz="0" w:space="0" w:color="auto"/>
        <w:left w:val="none" w:sz="0" w:space="0" w:color="auto"/>
        <w:bottom w:val="none" w:sz="0" w:space="0" w:color="auto"/>
        <w:right w:val="none" w:sz="0" w:space="0" w:color="auto"/>
      </w:divBdr>
    </w:div>
    <w:div w:id="107875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ergy.gov/recovery/ARRA_Reporting_Requirements.htm" TargetMode="External"/><Relationship Id="rId18" Type="http://schemas.openxmlformats.org/officeDocument/2006/relationships/hyperlink" Target="http://www.page.energy.gov"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nergy.gov/recovery/ARRA_Reporting_Requirements.htm" TargetMode="External"/><Relationship Id="rId17" Type="http://schemas.openxmlformats.org/officeDocument/2006/relationships/hyperlink" Target="http://www.eecbg.energy.gov/Downloads/ARRA_Benefits_Reporting_Calculator.xls" TargetMode="External"/><Relationship Id="rId2" Type="http://schemas.openxmlformats.org/officeDocument/2006/relationships/numbering" Target="numbering.xml"/><Relationship Id="rId16" Type="http://schemas.openxmlformats.org/officeDocument/2006/relationships/hyperlink" Target="http://www.FederalReporting.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deralReporting.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covery.gov/?q=content/recipient-reporting" TargetMode="External"/><Relationship Id="rId23" Type="http://schemas.openxmlformats.org/officeDocument/2006/relationships/fontTable" Target="fontTable.xml"/><Relationship Id="rId10" Type="http://schemas.openxmlformats.org/officeDocument/2006/relationships/hyperlink" Target="http://www.Recovery.gov"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FederalReporting.gov" TargetMode="External"/><Relationship Id="rId14" Type="http://schemas.openxmlformats.org/officeDocument/2006/relationships/hyperlink" Target="https://recoveryclearinghouse.energy.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978BF-C9C9-4A72-9834-D874BB03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3579</Words>
  <Characters>20993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STATE ENERGY PROGRAM NOTICE</vt:lpstr>
    </vt:vector>
  </TitlesOfParts>
  <Company>EERE</Company>
  <LinksUpToDate>false</LinksUpToDate>
  <CharactersWithSpaces>24523</CharactersWithSpaces>
  <SharedDoc>false</SharedDoc>
  <HLinks>
    <vt:vector size="60" baseType="variant">
      <vt:variant>
        <vt:i4>6684786</vt:i4>
      </vt:variant>
      <vt:variant>
        <vt:i4>27</vt:i4>
      </vt:variant>
      <vt:variant>
        <vt:i4>0</vt:i4>
      </vt:variant>
      <vt:variant>
        <vt:i4>5</vt:i4>
      </vt:variant>
      <vt:variant>
        <vt:lpwstr>http://www.page.energy.gov/</vt:lpwstr>
      </vt:variant>
      <vt:variant>
        <vt:lpwstr/>
      </vt:variant>
      <vt:variant>
        <vt:i4>1572990</vt:i4>
      </vt:variant>
      <vt:variant>
        <vt:i4>24</vt:i4>
      </vt:variant>
      <vt:variant>
        <vt:i4>0</vt:i4>
      </vt:variant>
      <vt:variant>
        <vt:i4>5</vt:i4>
      </vt:variant>
      <vt:variant>
        <vt:lpwstr>http://www.eecbg.energy.gov/Downloads/ARRA_Benefits_Reporting_Calculator.xls</vt:lpwstr>
      </vt:variant>
      <vt:variant>
        <vt:lpwstr/>
      </vt:variant>
      <vt:variant>
        <vt:i4>4784222</vt:i4>
      </vt:variant>
      <vt:variant>
        <vt:i4>21</vt:i4>
      </vt:variant>
      <vt:variant>
        <vt:i4>0</vt:i4>
      </vt:variant>
      <vt:variant>
        <vt:i4>5</vt:i4>
      </vt:variant>
      <vt:variant>
        <vt:lpwstr>http://www.federalreporting.gov/</vt:lpwstr>
      </vt:variant>
      <vt:variant>
        <vt:lpwstr/>
      </vt:variant>
      <vt:variant>
        <vt:i4>3342393</vt:i4>
      </vt:variant>
      <vt:variant>
        <vt:i4>18</vt:i4>
      </vt:variant>
      <vt:variant>
        <vt:i4>0</vt:i4>
      </vt:variant>
      <vt:variant>
        <vt:i4>5</vt:i4>
      </vt:variant>
      <vt:variant>
        <vt:lpwstr>http://www.recovery.gov/?q=content/recipient-reporting</vt:lpwstr>
      </vt:variant>
      <vt:variant>
        <vt:lpwstr/>
      </vt:variant>
      <vt:variant>
        <vt:i4>4325393</vt:i4>
      </vt:variant>
      <vt:variant>
        <vt:i4>15</vt:i4>
      </vt:variant>
      <vt:variant>
        <vt:i4>0</vt:i4>
      </vt:variant>
      <vt:variant>
        <vt:i4>5</vt:i4>
      </vt:variant>
      <vt:variant>
        <vt:lpwstr>https://recoveryclearinghouse.energy.gov/</vt:lpwstr>
      </vt:variant>
      <vt:variant>
        <vt:lpwstr/>
      </vt:variant>
      <vt:variant>
        <vt:i4>2097207</vt:i4>
      </vt:variant>
      <vt:variant>
        <vt:i4>12</vt:i4>
      </vt:variant>
      <vt:variant>
        <vt:i4>0</vt:i4>
      </vt:variant>
      <vt:variant>
        <vt:i4>5</vt:i4>
      </vt:variant>
      <vt:variant>
        <vt:lpwstr>http://www.energy.gov/recovery/ARRA_Reporting_Requirements.htm</vt:lpwstr>
      </vt:variant>
      <vt:variant>
        <vt:lpwstr/>
      </vt:variant>
      <vt:variant>
        <vt:i4>2097207</vt:i4>
      </vt:variant>
      <vt:variant>
        <vt:i4>9</vt:i4>
      </vt:variant>
      <vt:variant>
        <vt:i4>0</vt:i4>
      </vt:variant>
      <vt:variant>
        <vt:i4>5</vt:i4>
      </vt:variant>
      <vt:variant>
        <vt:lpwstr>http://www.energy.gov/recovery/ARRA_Reporting_Requirements.htm</vt:lpwstr>
      </vt:variant>
      <vt:variant>
        <vt:lpwstr/>
      </vt:variant>
      <vt:variant>
        <vt:i4>4784222</vt:i4>
      </vt:variant>
      <vt:variant>
        <vt:i4>6</vt:i4>
      </vt:variant>
      <vt:variant>
        <vt:i4>0</vt:i4>
      </vt:variant>
      <vt:variant>
        <vt:i4>5</vt:i4>
      </vt:variant>
      <vt:variant>
        <vt:lpwstr>http://www.federalreporting.gov/</vt:lpwstr>
      </vt:variant>
      <vt:variant>
        <vt:lpwstr/>
      </vt:variant>
      <vt:variant>
        <vt:i4>5242967</vt:i4>
      </vt:variant>
      <vt:variant>
        <vt:i4>3</vt:i4>
      </vt:variant>
      <vt:variant>
        <vt:i4>0</vt:i4>
      </vt:variant>
      <vt:variant>
        <vt:i4>5</vt:i4>
      </vt:variant>
      <vt:variant>
        <vt:lpwstr>http://www.recovery.gov/</vt:lpwstr>
      </vt:variant>
      <vt:variant>
        <vt:lpwstr/>
      </vt:variant>
      <vt:variant>
        <vt:i4>4784222</vt:i4>
      </vt:variant>
      <vt:variant>
        <vt:i4>0</vt:i4>
      </vt:variant>
      <vt:variant>
        <vt:i4>0</vt:i4>
      </vt:variant>
      <vt:variant>
        <vt:i4>5</vt:i4>
      </vt:variant>
      <vt:variant>
        <vt:lpwstr>http://www.federalreporting.gov/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ENERGY PROGRAM NOTICE</dc:title>
  <dc:subject/>
  <dc:creator>Eric Thomas</dc:creator>
  <cp:keywords/>
  <dc:description/>
  <cp:lastModifiedBy>bryantl</cp:lastModifiedBy>
  <cp:revision>2</cp:revision>
  <cp:lastPrinted>2009-12-31T14:10:00Z</cp:lastPrinted>
  <dcterms:created xsi:type="dcterms:W3CDTF">2010-03-03T18:13:00Z</dcterms:created>
  <dcterms:modified xsi:type="dcterms:W3CDTF">2010-03-03T18:13:00Z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-1713831471</vt:i4>
  </property>
  <property fmtid="{D5CDD505-2E9C-101B-9397-08002B2CF9AE}" pid="3" name="_NewReviewCycle">
    <vt:lpwstr/>
  </property>
  <property fmtid="{D5CDD505-2E9C-101B-9397-08002B2CF9AE}" pid="4" name="_EmailSubject">
    <vt:lpwstr>Revised EECBG supporting statement and Draft EECBG program guidance</vt:lpwstr>
  </property>
  <property fmtid="{D5CDD505-2E9C-101B-9397-08002B2CF9AE}" pid="5" name="_AuthorEmail">
    <vt:lpwstr>Christine_J._Kymn@omb.eop.gov</vt:lpwstr>
  </property>
  <property fmtid="{D5CDD505-2E9C-101B-9397-08002B2CF9AE}" pid="6" name="_AuthorEmailDisplayName">
    <vt:lpwstr>Kymn, Christine J.</vt:lpwstr>
  </property>
  <property fmtid="{D5CDD505-2E9C-101B-9397-08002B2CF9AE}" pid="7" name="_ReviewingToolsShownOnce">
    <vt:lpwstr/>
  </property>
</Properties>
</file>