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AE" w:rsidRPr="00AA0B65" w:rsidRDefault="000024AE" w:rsidP="000024AE">
      <w:pPr>
        <w:jc w:val="center"/>
        <w:rPr>
          <w:b/>
          <w:bCs/>
          <w:sz w:val="24"/>
          <w:szCs w:val="24"/>
        </w:rPr>
      </w:pPr>
      <w:r w:rsidRPr="00AA0B65">
        <w:rPr>
          <w:b/>
          <w:bCs/>
          <w:sz w:val="24"/>
          <w:szCs w:val="24"/>
        </w:rPr>
        <w:t>Supporting Statement for the</w:t>
      </w:r>
    </w:p>
    <w:p w:rsidR="000024AE" w:rsidRPr="00D873D9" w:rsidRDefault="000024AE" w:rsidP="000024AE">
      <w:pPr>
        <w:pStyle w:val="Heading1"/>
        <w:jc w:val="center"/>
        <w:rPr>
          <w:b/>
          <w:szCs w:val="24"/>
        </w:rPr>
      </w:pPr>
      <w:r w:rsidRPr="00D873D9">
        <w:rPr>
          <w:b/>
          <w:szCs w:val="24"/>
        </w:rPr>
        <w:t>Central Bank Survey of Foreign Exchange and Derivatives Market Activity</w:t>
      </w:r>
    </w:p>
    <w:p w:rsidR="000024AE" w:rsidRPr="00D873D9" w:rsidRDefault="000024AE" w:rsidP="000024AE">
      <w:pPr>
        <w:jc w:val="center"/>
        <w:rPr>
          <w:b/>
          <w:sz w:val="24"/>
          <w:szCs w:val="24"/>
        </w:rPr>
      </w:pPr>
      <w:r w:rsidRPr="00D873D9">
        <w:rPr>
          <w:b/>
          <w:bCs/>
          <w:sz w:val="24"/>
          <w:szCs w:val="24"/>
        </w:rPr>
        <w:t>(FR 3036; OMB No. 7100</w:t>
      </w:r>
      <w:r w:rsidRPr="00D873D9">
        <w:rPr>
          <w:b/>
          <w:bCs/>
          <w:sz w:val="24"/>
          <w:szCs w:val="24"/>
        </w:rPr>
        <w:noBreakHyphen/>
        <w:t>0285)</w:t>
      </w:r>
    </w:p>
    <w:p w:rsidR="000024AE" w:rsidRPr="00D873D9" w:rsidRDefault="000024AE">
      <w:pPr>
        <w:pStyle w:val="Heading4"/>
        <w:widowControl/>
        <w:spacing w:before="0" w:after="0"/>
        <w:rPr>
          <w:rFonts w:ascii="Times New Roman" w:hAnsi="Times New Roman"/>
          <w:snapToGrid/>
        </w:rPr>
      </w:pPr>
    </w:p>
    <w:p w:rsidR="00480CDC" w:rsidRPr="00D873D9" w:rsidRDefault="00480CDC">
      <w:pPr>
        <w:pStyle w:val="Heading4"/>
        <w:widowControl/>
        <w:spacing w:before="0" w:after="0"/>
        <w:rPr>
          <w:rFonts w:ascii="Times New Roman" w:hAnsi="Times New Roman"/>
          <w:snapToGrid/>
        </w:rPr>
      </w:pPr>
      <w:r w:rsidRPr="00D873D9">
        <w:rPr>
          <w:rFonts w:ascii="Times New Roman" w:hAnsi="Times New Roman"/>
          <w:snapToGrid/>
        </w:rPr>
        <w:t>Summary</w:t>
      </w:r>
    </w:p>
    <w:p w:rsidR="00480CDC" w:rsidRPr="00D873D9" w:rsidRDefault="00480CDC">
      <w:pPr>
        <w:rPr>
          <w:b/>
          <w:sz w:val="24"/>
        </w:rPr>
      </w:pPr>
    </w:p>
    <w:p w:rsidR="00480CDC" w:rsidRPr="00D873D9" w:rsidRDefault="00480CDC">
      <w:pPr>
        <w:tabs>
          <w:tab w:val="left" w:pos="360"/>
        </w:tabs>
        <w:rPr>
          <w:sz w:val="24"/>
        </w:rPr>
      </w:pPr>
      <w:r w:rsidRPr="00D873D9">
        <w:rPr>
          <w:b/>
          <w:sz w:val="24"/>
        </w:rPr>
        <w:t xml:space="preserve">     </w:t>
      </w:r>
      <w:r w:rsidRPr="00D873D9">
        <w:rPr>
          <w:b/>
          <w:sz w:val="24"/>
        </w:rPr>
        <w:tab/>
      </w:r>
      <w:r w:rsidR="005D5A6E" w:rsidRPr="00D873D9">
        <w:rPr>
          <w:b/>
          <w:sz w:val="24"/>
        </w:rPr>
        <w:tab/>
      </w:r>
      <w:r w:rsidR="000024AE" w:rsidRPr="00D873D9">
        <w:rPr>
          <w:sz w:val="24"/>
          <w:szCs w:val="24"/>
        </w:rPr>
        <w:t>The Board of Governors of the Federal Reserve System, under delegated authority from the Office of Management and Budget (OMB),</w:t>
      </w:r>
      <w:r w:rsidR="000024AE" w:rsidRPr="00D873D9">
        <w:rPr>
          <w:sz w:val="24"/>
        </w:rPr>
        <w:t xml:space="preserve"> </w:t>
      </w:r>
      <w:r w:rsidRPr="00D873D9">
        <w:rPr>
          <w:sz w:val="24"/>
        </w:rPr>
        <w:t xml:space="preserve">proposes to conduct a voluntary survey of the foreign exchange and derivatives markets, the Central Bank Survey of Foreign Exchange and Derivatives Market Activity (FR 3036; OMB 7100-0285).  The FR 3036 is the U.S. part of a global data collection that is conducted by central banks </w:t>
      </w:r>
      <w:r w:rsidR="00F21CE5" w:rsidRPr="00D873D9">
        <w:rPr>
          <w:sz w:val="24"/>
        </w:rPr>
        <w:t xml:space="preserve">once </w:t>
      </w:r>
      <w:r w:rsidRPr="00D873D9">
        <w:rPr>
          <w:sz w:val="24"/>
        </w:rPr>
        <w:t xml:space="preserve">every three years.  More than </w:t>
      </w:r>
      <w:r w:rsidR="00345152" w:rsidRPr="00D873D9">
        <w:rPr>
          <w:sz w:val="24"/>
        </w:rPr>
        <w:t xml:space="preserve">50 </w:t>
      </w:r>
      <w:r w:rsidRPr="00D873D9">
        <w:rPr>
          <w:sz w:val="24"/>
        </w:rPr>
        <w:t>central banks plan to conduct the survey in 20</w:t>
      </w:r>
      <w:r w:rsidR="00926B45" w:rsidRPr="00D873D9">
        <w:rPr>
          <w:sz w:val="24"/>
        </w:rPr>
        <w:t>1</w:t>
      </w:r>
      <w:r w:rsidRPr="00D873D9">
        <w:rPr>
          <w:sz w:val="24"/>
        </w:rPr>
        <w:t>0.  The Bank for International Settlements (BIS) compiles national data from each central bank to produce global market statistics.</w:t>
      </w:r>
    </w:p>
    <w:p w:rsidR="00480CDC" w:rsidRPr="00D873D9" w:rsidRDefault="00480CDC">
      <w:pPr>
        <w:rPr>
          <w:sz w:val="24"/>
        </w:rPr>
      </w:pPr>
    </w:p>
    <w:p w:rsidR="00480CDC" w:rsidRPr="00D873D9" w:rsidRDefault="00480CDC">
      <w:pPr>
        <w:rPr>
          <w:sz w:val="24"/>
        </w:rPr>
      </w:pPr>
      <w:r w:rsidRPr="00D873D9">
        <w:rPr>
          <w:sz w:val="24"/>
        </w:rPr>
        <w:t xml:space="preserve">     </w:t>
      </w:r>
      <w:r w:rsidRPr="00D873D9">
        <w:rPr>
          <w:sz w:val="24"/>
        </w:rPr>
        <w:tab/>
      </w:r>
      <w:r w:rsidR="005D5A6E" w:rsidRPr="00D873D9">
        <w:rPr>
          <w:sz w:val="24"/>
        </w:rPr>
        <w:tab/>
      </w:r>
      <w:r w:rsidRPr="00D873D9">
        <w:rPr>
          <w:sz w:val="24"/>
        </w:rPr>
        <w:t xml:space="preserve">The Federal Reserve System and other government agencies use the survey to monitor activity in the foreign exchange and derivatives markets.  Respondents </w:t>
      </w:r>
      <w:r w:rsidR="007109A0" w:rsidRPr="00D873D9">
        <w:rPr>
          <w:sz w:val="24"/>
        </w:rPr>
        <w:t xml:space="preserve">also </w:t>
      </w:r>
      <w:r w:rsidRPr="00D873D9">
        <w:rPr>
          <w:sz w:val="24"/>
        </w:rPr>
        <w:t xml:space="preserve">use the published data to gauge their market share. </w:t>
      </w:r>
    </w:p>
    <w:p w:rsidR="00480CDC" w:rsidRPr="00D873D9" w:rsidRDefault="00480CDC">
      <w:pPr>
        <w:rPr>
          <w:sz w:val="24"/>
        </w:rPr>
      </w:pPr>
    </w:p>
    <w:p w:rsidR="00480CDC" w:rsidRPr="00D873D9" w:rsidRDefault="00480CDC" w:rsidP="005D5A6E">
      <w:pPr>
        <w:pStyle w:val="BodyText"/>
        <w:ind w:firstLine="720"/>
        <w:rPr>
          <w:rFonts w:ascii="Times New Roman" w:hAnsi="Times New Roman"/>
        </w:rPr>
      </w:pPr>
      <w:r w:rsidRPr="00D873D9">
        <w:rPr>
          <w:rFonts w:ascii="Times New Roman" w:hAnsi="Times New Roman"/>
        </w:rPr>
        <w:t xml:space="preserve">The proposed survey has two parts: a Turnover </w:t>
      </w:r>
      <w:r w:rsidR="00DF4114" w:rsidRPr="00D873D9">
        <w:rPr>
          <w:rFonts w:ascii="Times New Roman" w:hAnsi="Times New Roman"/>
        </w:rPr>
        <w:t xml:space="preserve">(volume of transactions) </w:t>
      </w:r>
      <w:r w:rsidR="00B93591" w:rsidRPr="00D873D9">
        <w:rPr>
          <w:rFonts w:ascii="Times New Roman" w:hAnsi="Times New Roman"/>
        </w:rPr>
        <w:t>survey</w:t>
      </w:r>
      <w:r w:rsidR="005B1C30" w:rsidRPr="00D873D9">
        <w:rPr>
          <w:rFonts w:ascii="Times New Roman" w:hAnsi="Times New Roman"/>
        </w:rPr>
        <w:t xml:space="preserve"> collected in</w:t>
      </w:r>
      <w:r w:rsidR="005D5A6E" w:rsidRPr="00D873D9">
        <w:rPr>
          <w:rFonts w:ascii="Times New Roman" w:hAnsi="Times New Roman"/>
        </w:rPr>
        <w:t xml:space="preserve"> April and a </w:t>
      </w:r>
      <w:r w:rsidRPr="00D873D9">
        <w:rPr>
          <w:rFonts w:ascii="Times New Roman" w:hAnsi="Times New Roman"/>
        </w:rPr>
        <w:t>Derivatives Outstanding survey co</w:t>
      </w:r>
      <w:r w:rsidR="007109A0" w:rsidRPr="00D873D9">
        <w:rPr>
          <w:rFonts w:ascii="Times New Roman" w:hAnsi="Times New Roman"/>
        </w:rPr>
        <w:t>llected</w:t>
      </w:r>
      <w:r w:rsidRPr="00D873D9">
        <w:rPr>
          <w:rFonts w:ascii="Times New Roman" w:hAnsi="Times New Roman"/>
        </w:rPr>
        <w:t xml:space="preserve"> at the end of June.  The Turnover portion (Attachment 1) would cover approximately </w:t>
      </w:r>
      <w:r w:rsidR="00345152" w:rsidRPr="00D873D9">
        <w:rPr>
          <w:rFonts w:ascii="Times New Roman" w:hAnsi="Times New Roman"/>
        </w:rPr>
        <w:t>35</w:t>
      </w:r>
      <w:r w:rsidR="00AE4CF7" w:rsidRPr="00D873D9">
        <w:rPr>
          <w:rFonts w:ascii="Times New Roman" w:hAnsi="Times New Roman"/>
        </w:rPr>
        <w:t xml:space="preserve"> </w:t>
      </w:r>
      <w:r w:rsidRPr="00D873D9">
        <w:rPr>
          <w:rFonts w:ascii="Times New Roman" w:hAnsi="Times New Roman"/>
        </w:rPr>
        <w:t xml:space="preserve">market-making financial institutions.  The Derivatives Outstanding portion (Attachment 2) would cover a smaller set of </w:t>
      </w:r>
      <w:r w:rsidR="00345152" w:rsidRPr="00D873D9">
        <w:rPr>
          <w:rFonts w:ascii="Times New Roman" w:hAnsi="Times New Roman"/>
        </w:rPr>
        <w:t xml:space="preserve">4 </w:t>
      </w:r>
      <w:r w:rsidRPr="00D873D9">
        <w:rPr>
          <w:rFonts w:ascii="Times New Roman" w:hAnsi="Times New Roman"/>
        </w:rPr>
        <w:t xml:space="preserve">firms since it is collected on a </w:t>
      </w:r>
      <w:r w:rsidR="005B1C30" w:rsidRPr="00D873D9">
        <w:rPr>
          <w:rFonts w:ascii="Times New Roman" w:hAnsi="Times New Roman"/>
        </w:rPr>
        <w:t xml:space="preserve">worldwide </w:t>
      </w:r>
      <w:r w:rsidRPr="00D873D9">
        <w:rPr>
          <w:rFonts w:ascii="Times New Roman" w:hAnsi="Times New Roman"/>
        </w:rPr>
        <w:t xml:space="preserve">consolidated basis and market making in derivatives is more concentrated.  The Derivatives Outstanding portion of the survey is coordinated with the Semiannual Report of Derivatives Activity (FR 2436; OMB No. 7100-0286), which is filed by a subset of the FR 3036 respondents.  </w:t>
      </w:r>
      <w:r w:rsidR="000A79D6" w:rsidRPr="00D873D9">
        <w:rPr>
          <w:rFonts w:ascii="Times New Roman" w:hAnsi="Times New Roman"/>
        </w:rPr>
        <w:t>The FR 2436 collects similar data on the outstanding volume of derivatives, but not on deriva</w:t>
      </w:r>
      <w:r w:rsidR="000A79D6" w:rsidRPr="00D873D9">
        <w:rPr>
          <w:rFonts w:ascii="Times New Roman" w:hAnsi="Times New Roman"/>
        </w:rPr>
        <w:softHyphen/>
        <w:t xml:space="preserve">tives turnover.  </w:t>
      </w:r>
      <w:r w:rsidRPr="00D873D9">
        <w:rPr>
          <w:rFonts w:ascii="Times New Roman" w:hAnsi="Times New Roman"/>
        </w:rPr>
        <w:t xml:space="preserve">Those respondents that file the FR 2436 would </w:t>
      </w:r>
      <w:r w:rsidR="00FF6A19" w:rsidRPr="00D873D9">
        <w:rPr>
          <w:rFonts w:ascii="Times New Roman" w:hAnsi="Times New Roman"/>
        </w:rPr>
        <w:t>not</w:t>
      </w:r>
      <w:r w:rsidRPr="00D873D9">
        <w:rPr>
          <w:rFonts w:ascii="Times New Roman" w:hAnsi="Times New Roman"/>
        </w:rPr>
        <w:t xml:space="preserve"> </w:t>
      </w:r>
      <w:r w:rsidR="007109A0" w:rsidRPr="00D873D9">
        <w:rPr>
          <w:rFonts w:ascii="Times New Roman" w:hAnsi="Times New Roman"/>
        </w:rPr>
        <w:t xml:space="preserve">be required to </w:t>
      </w:r>
      <w:r w:rsidRPr="00D873D9">
        <w:rPr>
          <w:rFonts w:ascii="Times New Roman" w:hAnsi="Times New Roman"/>
        </w:rPr>
        <w:t>file the FR 3036</w:t>
      </w:r>
      <w:r w:rsidR="00C45451" w:rsidRPr="00D873D9">
        <w:rPr>
          <w:rFonts w:ascii="Times New Roman" w:hAnsi="Times New Roman"/>
        </w:rPr>
        <w:t xml:space="preserve"> during the overlapping reporting period</w:t>
      </w:r>
      <w:r w:rsidRPr="00D873D9">
        <w:rPr>
          <w:rFonts w:ascii="Times New Roman" w:hAnsi="Times New Roman"/>
        </w:rPr>
        <w:t xml:space="preserve">, thus </w:t>
      </w:r>
      <w:r w:rsidR="00477E00" w:rsidRPr="00D873D9">
        <w:rPr>
          <w:rFonts w:ascii="Times New Roman" w:hAnsi="Times New Roman"/>
        </w:rPr>
        <w:t xml:space="preserve">creating a subset of respondents </w:t>
      </w:r>
      <w:r w:rsidRPr="00D873D9">
        <w:rPr>
          <w:rFonts w:ascii="Times New Roman" w:hAnsi="Times New Roman"/>
        </w:rPr>
        <w:t xml:space="preserve">limiting the reporting burden associated with this survey.  The estimated burden for this information collection is </w:t>
      </w:r>
      <w:r w:rsidR="005F6014" w:rsidRPr="00D873D9">
        <w:rPr>
          <w:rFonts w:ascii="Times New Roman" w:hAnsi="Times New Roman"/>
        </w:rPr>
        <w:t>2</w:t>
      </w:r>
      <w:r w:rsidR="00611E83" w:rsidRPr="00D873D9">
        <w:rPr>
          <w:rFonts w:ascii="Times New Roman" w:hAnsi="Times New Roman"/>
        </w:rPr>
        <w:t>,</w:t>
      </w:r>
      <w:r w:rsidR="005F6014" w:rsidRPr="00D873D9">
        <w:rPr>
          <w:rFonts w:ascii="Times New Roman" w:hAnsi="Times New Roman"/>
        </w:rPr>
        <w:t>165</w:t>
      </w:r>
      <w:r w:rsidR="007C2296" w:rsidRPr="00D873D9">
        <w:rPr>
          <w:rFonts w:ascii="Times New Roman" w:hAnsi="Times New Roman"/>
        </w:rPr>
        <w:t xml:space="preserve"> </w:t>
      </w:r>
      <w:r w:rsidRPr="00D873D9">
        <w:rPr>
          <w:rFonts w:ascii="Times New Roman" w:hAnsi="Times New Roman"/>
        </w:rPr>
        <w:t>hours.</w:t>
      </w:r>
      <w:r w:rsidR="009D1DD4" w:rsidRPr="00D873D9">
        <w:rPr>
          <w:rFonts w:ascii="Times New Roman" w:hAnsi="Times New Roman"/>
        </w:rPr>
        <w:t xml:space="preserve">  Attached are copies of the 2007 and 2010 survey forms and instructions.</w:t>
      </w:r>
    </w:p>
    <w:p w:rsidR="00480CDC" w:rsidRPr="00D873D9" w:rsidRDefault="00480CDC">
      <w:pPr>
        <w:rPr>
          <w:b/>
          <w:sz w:val="24"/>
        </w:rPr>
      </w:pPr>
    </w:p>
    <w:p w:rsidR="00480CDC" w:rsidRPr="00D873D9" w:rsidRDefault="00480CDC">
      <w:pPr>
        <w:rPr>
          <w:b/>
          <w:sz w:val="24"/>
        </w:rPr>
      </w:pPr>
      <w:r w:rsidRPr="00D873D9">
        <w:rPr>
          <w:b/>
          <w:sz w:val="24"/>
        </w:rPr>
        <w:t>Background and Justification</w:t>
      </w:r>
    </w:p>
    <w:p w:rsidR="00480CDC" w:rsidRPr="00D873D9" w:rsidRDefault="00480CDC">
      <w:pPr>
        <w:rPr>
          <w:b/>
          <w:sz w:val="24"/>
        </w:rPr>
      </w:pPr>
    </w:p>
    <w:p w:rsidR="00480CDC" w:rsidRPr="00D873D9" w:rsidRDefault="00480CDC" w:rsidP="005D5A6E">
      <w:pPr>
        <w:ind w:firstLine="720"/>
        <w:rPr>
          <w:sz w:val="24"/>
        </w:rPr>
      </w:pPr>
      <w:r w:rsidRPr="00D873D9">
        <w:rPr>
          <w:sz w:val="24"/>
        </w:rPr>
        <w:t>The survey has been conducted every three years</w:t>
      </w:r>
      <w:r w:rsidR="00F21CE5" w:rsidRPr="00D873D9">
        <w:rPr>
          <w:sz w:val="24"/>
        </w:rPr>
        <w:t xml:space="preserve"> by the F</w:t>
      </w:r>
      <w:r w:rsidR="00FC512D" w:rsidRPr="00D873D9">
        <w:rPr>
          <w:sz w:val="24"/>
        </w:rPr>
        <w:t xml:space="preserve">ederal </w:t>
      </w:r>
      <w:r w:rsidR="00F21CE5" w:rsidRPr="00D873D9">
        <w:rPr>
          <w:sz w:val="24"/>
        </w:rPr>
        <w:t>R</w:t>
      </w:r>
      <w:r w:rsidR="00FC512D" w:rsidRPr="00D873D9">
        <w:rPr>
          <w:sz w:val="24"/>
        </w:rPr>
        <w:t xml:space="preserve">eserve </w:t>
      </w:r>
      <w:r w:rsidR="00F21CE5" w:rsidRPr="00D873D9">
        <w:rPr>
          <w:sz w:val="24"/>
        </w:rPr>
        <w:t>B</w:t>
      </w:r>
      <w:r w:rsidR="00FC512D" w:rsidRPr="00D873D9">
        <w:rPr>
          <w:sz w:val="24"/>
        </w:rPr>
        <w:t xml:space="preserve">ank </w:t>
      </w:r>
      <w:r w:rsidR="00F21CE5" w:rsidRPr="00D873D9">
        <w:rPr>
          <w:sz w:val="24"/>
        </w:rPr>
        <w:t>N</w:t>
      </w:r>
      <w:r w:rsidR="00FC512D" w:rsidRPr="00D873D9">
        <w:rPr>
          <w:sz w:val="24"/>
        </w:rPr>
        <w:t xml:space="preserve">ew </w:t>
      </w:r>
      <w:r w:rsidR="00F21CE5" w:rsidRPr="00D873D9">
        <w:rPr>
          <w:sz w:val="24"/>
        </w:rPr>
        <w:t>Y</w:t>
      </w:r>
      <w:r w:rsidR="00FC512D" w:rsidRPr="00D873D9">
        <w:rPr>
          <w:sz w:val="24"/>
        </w:rPr>
        <w:t>ork (FRBNY)</w:t>
      </w:r>
      <w:r w:rsidRPr="00D873D9">
        <w:rPr>
          <w:sz w:val="24"/>
        </w:rPr>
        <w:t xml:space="preserve">, beginning informally in the 1960s as </w:t>
      </w:r>
      <w:r w:rsidR="004A24FF" w:rsidRPr="00D873D9">
        <w:rPr>
          <w:sz w:val="24"/>
        </w:rPr>
        <w:t xml:space="preserve">a </w:t>
      </w:r>
      <w:r w:rsidRPr="00D873D9">
        <w:rPr>
          <w:sz w:val="24"/>
        </w:rPr>
        <w:t xml:space="preserve">survey of the New York foreign exchange market.  The survey expanded beyond foreign exchange in the 1980s to include interest rate and other types of derivatives.  It also became part of a global data collection effort, with participation growing to </w:t>
      </w:r>
      <w:r w:rsidR="00345152" w:rsidRPr="00D873D9">
        <w:rPr>
          <w:sz w:val="24"/>
        </w:rPr>
        <w:t>48</w:t>
      </w:r>
      <w:r w:rsidRPr="00D873D9">
        <w:rPr>
          <w:sz w:val="24"/>
        </w:rPr>
        <w:t xml:space="preserve"> central banks in 2001 and more than </w:t>
      </w:r>
      <w:r w:rsidR="00345152" w:rsidRPr="00D873D9">
        <w:rPr>
          <w:sz w:val="24"/>
        </w:rPr>
        <w:t xml:space="preserve">50 </w:t>
      </w:r>
      <w:r w:rsidRPr="00D873D9">
        <w:rPr>
          <w:sz w:val="24"/>
        </w:rPr>
        <w:t xml:space="preserve">in the coming year. The global nature of financial markets requires a global, coordinated </w:t>
      </w:r>
      <w:r w:rsidR="00F21CE5" w:rsidRPr="00D873D9">
        <w:rPr>
          <w:sz w:val="24"/>
        </w:rPr>
        <w:t>effort</w:t>
      </w:r>
      <w:r w:rsidRPr="00D873D9">
        <w:rPr>
          <w:sz w:val="24"/>
        </w:rPr>
        <w:t xml:space="preserve"> to obtain data on the size and structure of these markets.  </w:t>
      </w:r>
      <w:r w:rsidR="00FF6A19" w:rsidRPr="00D873D9">
        <w:rPr>
          <w:sz w:val="24"/>
        </w:rPr>
        <w:t>T</w:t>
      </w:r>
      <w:r w:rsidRPr="00D873D9">
        <w:rPr>
          <w:sz w:val="24"/>
        </w:rPr>
        <w:t>he BIS will use the aggregate data of each central bank to produce global market estimates.</w:t>
      </w:r>
    </w:p>
    <w:p w:rsidR="00480CDC" w:rsidRPr="00D873D9" w:rsidRDefault="00480CDC">
      <w:pPr>
        <w:rPr>
          <w:sz w:val="24"/>
        </w:rPr>
      </w:pPr>
    </w:p>
    <w:p w:rsidR="00480CDC" w:rsidRPr="00D873D9" w:rsidRDefault="00480CDC" w:rsidP="005D5A6E">
      <w:pPr>
        <w:pStyle w:val="BodyTextIndent"/>
        <w:rPr>
          <w:rFonts w:ascii="Times New Roman" w:hAnsi="Times New Roman"/>
          <w:szCs w:val="24"/>
        </w:rPr>
      </w:pPr>
      <w:r w:rsidRPr="00D873D9">
        <w:rPr>
          <w:rFonts w:ascii="Times New Roman" w:hAnsi="Times New Roman"/>
        </w:rPr>
        <w:t>The survey is</w:t>
      </w:r>
      <w:r w:rsidR="00B74E6F" w:rsidRPr="00D873D9">
        <w:rPr>
          <w:rFonts w:ascii="Times New Roman" w:hAnsi="Times New Roman"/>
        </w:rPr>
        <w:t xml:space="preserve"> a</w:t>
      </w:r>
      <w:r w:rsidRPr="00D873D9">
        <w:rPr>
          <w:rFonts w:ascii="Times New Roman" w:hAnsi="Times New Roman"/>
        </w:rPr>
        <w:t xml:space="preserve"> comprehensive source of global information on the volume of foreign exchange and derivatives trading and</w:t>
      </w:r>
      <w:r w:rsidR="00E730F2" w:rsidRPr="00D873D9">
        <w:rPr>
          <w:rFonts w:ascii="Times New Roman" w:hAnsi="Times New Roman"/>
        </w:rPr>
        <w:t>,</w:t>
      </w:r>
      <w:r w:rsidRPr="00D873D9">
        <w:rPr>
          <w:rFonts w:ascii="Times New Roman" w:hAnsi="Times New Roman"/>
        </w:rPr>
        <w:t xml:space="preserve"> as such, is useful to the Federal Reserve System and other</w:t>
      </w:r>
      <w:r>
        <w:t xml:space="preserve"> </w:t>
      </w:r>
      <w:r w:rsidRPr="00D873D9">
        <w:rPr>
          <w:rFonts w:ascii="Times New Roman" w:hAnsi="Times New Roman"/>
          <w:szCs w:val="24"/>
        </w:rPr>
        <w:lastRenderedPageBreak/>
        <w:t>government agencies in understanding market developments and trends. The data also provide</w:t>
      </w:r>
      <w:r w:rsidR="00484040" w:rsidRPr="00D873D9">
        <w:rPr>
          <w:rFonts w:ascii="Times New Roman" w:hAnsi="Times New Roman"/>
          <w:szCs w:val="24"/>
        </w:rPr>
        <w:t xml:space="preserve"> </w:t>
      </w:r>
      <w:r w:rsidRPr="00D873D9">
        <w:rPr>
          <w:rFonts w:ascii="Times New Roman" w:hAnsi="Times New Roman"/>
          <w:szCs w:val="24"/>
        </w:rPr>
        <w:t>information for analyzing market developments and conducting Federal Reserve and U.S. Treasury foreign exchange operations.  Survey data are also used by market participants to gain a perspective on the market that is not available from data at the firm level.  Academics and the general public also use the survey’s data for research and analysis.</w:t>
      </w:r>
    </w:p>
    <w:p w:rsidR="00480CDC" w:rsidRPr="00D873D9" w:rsidRDefault="00480CDC">
      <w:pPr>
        <w:rPr>
          <w:sz w:val="24"/>
          <w:szCs w:val="24"/>
        </w:rPr>
      </w:pPr>
    </w:p>
    <w:p w:rsidR="004A24FF" w:rsidRPr="00D873D9" w:rsidRDefault="00480CDC" w:rsidP="007E460A">
      <w:pPr>
        <w:ind w:firstLine="720"/>
        <w:rPr>
          <w:bCs/>
          <w:sz w:val="24"/>
          <w:szCs w:val="24"/>
        </w:rPr>
      </w:pPr>
      <w:r w:rsidRPr="00D873D9">
        <w:rPr>
          <w:sz w:val="24"/>
          <w:szCs w:val="24"/>
        </w:rPr>
        <w:t xml:space="preserve">The proposed survey </w:t>
      </w:r>
      <w:r w:rsidR="00345152" w:rsidRPr="00D873D9">
        <w:rPr>
          <w:sz w:val="24"/>
          <w:szCs w:val="24"/>
        </w:rPr>
        <w:t xml:space="preserve">would </w:t>
      </w:r>
      <w:r w:rsidRPr="00D873D9">
        <w:rPr>
          <w:sz w:val="24"/>
          <w:szCs w:val="24"/>
        </w:rPr>
        <w:t xml:space="preserve">cover the spot foreign exchange market and over-the-counter derivatives markets in foreign exchange, interest rates, equities, and commodities in the United States.  </w:t>
      </w:r>
      <w:r w:rsidR="00B93591" w:rsidRPr="00D873D9">
        <w:rPr>
          <w:sz w:val="24"/>
          <w:szCs w:val="24"/>
        </w:rPr>
        <w:t xml:space="preserve">Although </w:t>
      </w:r>
      <w:r w:rsidR="00C45451" w:rsidRPr="00D873D9">
        <w:rPr>
          <w:sz w:val="24"/>
          <w:szCs w:val="24"/>
        </w:rPr>
        <w:t xml:space="preserve">the </w:t>
      </w:r>
      <w:r w:rsidR="00B93591" w:rsidRPr="00D873D9">
        <w:rPr>
          <w:sz w:val="24"/>
          <w:szCs w:val="24"/>
        </w:rPr>
        <w:t>U.S. Treasury collect</w:t>
      </w:r>
      <w:r w:rsidR="009D1DD4" w:rsidRPr="00D873D9">
        <w:rPr>
          <w:sz w:val="24"/>
          <w:szCs w:val="24"/>
        </w:rPr>
        <w:t>s</w:t>
      </w:r>
      <w:r w:rsidR="00B93591" w:rsidRPr="00D873D9">
        <w:rPr>
          <w:sz w:val="24"/>
          <w:szCs w:val="24"/>
        </w:rPr>
        <w:t xml:space="preserve"> information on outstanding foreign exchange contracts of banks and some nonbanks</w:t>
      </w:r>
      <w:r w:rsidR="00D0015D" w:rsidRPr="00D873D9">
        <w:rPr>
          <w:sz w:val="24"/>
          <w:szCs w:val="24"/>
        </w:rPr>
        <w:t xml:space="preserve"> on the Treasury Foreign Currency Reports (</w:t>
      </w:r>
      <w:r w:rsidR="00080376" w:rsidRPr="00D873D9">
        <w:rPr>
          <w:sz w:val="24"/>
          <w:szCs w:val="24"/>
        </w:rPr>
        <w:t>OMB No.</w:t>
      </w:r>
      <w:r w:rsidR="00D0015D" w:rsidRPr="00D873D9">
        <w:rPr>
          <w:sz w:val="24"/>
          <w:szCs w:val="24"/>
        </w:rPr>
        <w:t xml:space="preserve"> 1505-0010, 1505-0012, and 1505-0014) and the Consolidated Reports of Condition and Income (FFIEC 031and 041; OMB No. 7100-0036)</w:t>
      </w:r>
      <w:r w:rsidR="00B93591" w:rsidRPr="00D873D9">
        <w:rPr>
          <w:sz w:val="24"/>
          <w:szCs w:val="24"/>
        </w:rPr>
        <w:t xml:space="preserve">, </w:t>
      </w:r>
      <w:r w:rsidR="007E460A" w:rsidRPr="00D873D9">
        <w:rPr>
          <w:bCs/>
          <w:sz w:val="24"/>
          <w:szCs w:val="24"/>
        </w:rPr>
        <w:t xml:space="preserve">these </w:t>
      </w:r>
      <w:r w:rsidR="00345152" w:rsidRPr="00D873D9">
        <w:rPr>
          <w:bCs/>
          <w:sz w:val="24"/>
          <w:szCs w:val="24"/>
        </w:rPr>
        <w:t>data</w:t>
      </w:r>
      <w:r w:rsidR="000A6470" w:rsidRPr="00D873D9">
        <w:rPr>
          <w:bCs/>
          <w:sz w:val="24"/>
          <w:szCs w:val="24"/>
        </w:rPr>
        <w:t xml:space="preserve"> are </w:t>
      </w:r>
      <w:r w:rsidR="007E460A" w:rsidRPr="00D873D9">
        <w:rPr>
          <w:bCs/>
          <w:sz w:val="24"/>
          <w:szCs w:val="24"/>
        </w:rPr>
        <w:t>narrow</w:t>
      </w:r>
      <w:r w:rsidR="000A6470" w:rsidRPr="00D873D9">
        <w:rPr>
          <w:bCs/>
          <w:sz w:val="24"/>
          <w:szCs w:val="24"/>
        </w:rPr>
        <w:t>er in</w:t>
      </w:r>
      <w:r w:rsidR="007E460A" w:rsidRPr="00D873D9">
        <w:rPr>
          <w:bCs/>
          <w:sz w:val="24"/>
          <w:szCs w:val="24"/>
        </w:rPr>
        <w:t xml:space="preserve"> scope and cover </w:t>
      </w:r>
      <w:r w:rsidR="00345152" w:rsidRPr="00D873D9">
        <w:rPr>
          <w:bCs/>
          <w:sz w:val="24"/>
          <w:szCs w:val="24"/>
        </w:rPr>
        <w:t xml:space="preserve">more limited </w:t>
      </w:r>
      <w:r w:rsidR="007E460A" w:rsidRPr="00D873D9">
        <w:rPr>
          <w:bCs/>
          <w:sz w:val="24"/>
          <w:szCs w:val="24"/>
        </w:rPr>
        <w:t>markets.</w:t>
      </w:r>
    </w:p>
    <w:p w:rsidR="00480CDC" w:rsidRPr="00D873D9" w:rsidRDefault="00480CDC" w:rsidP="007E460A">
      <w:pPr>
        <w:ind w:firstLine="720"/>
        <w:rPr>
          <w:sz w:val="24"/>
          <w:szCs w:val="24"/>
        </w:rPr>
      </w:pPr>
    </w:p>
    <w:p w:rsidR="00480CDC" w:rsidRPr="00D873D9" w:rsidRDefault="00480CDC">
      <w:pPr>
        <w:pStyle w:val="Heading4"/>
        <w:spacing w:before="0" w:after="0"/>
        <w:rPr>
          <w:rFonts w:ascii="Times New Roman" w:hAnsi="Times New Roman"/>
          <w:szCs w:val="24"/>
        </w:rPr>
      </w:pPr>
      <w:r w:rsidRPr="00D873D9">
        <w:rPr>
          <w:rFonts w:ascii="Times New Roman" w:hAnsi="Times New Roman"/>
          <w:szCs w:val="24"/>
        </w:rPr>
        <w:t>Description of Information Collection</w:t>
      </w:r>
    </w:p>
    <w:p w:rsidR="00480CDC" w:rsidRPr="00D873D9" w:rsidRDefault="00480CDC">
      <w:pPr>
        <w:rPr>
          <w:b/>
          <w:sz w:val="24"/>
          <w:szCs w:val="24"/>
        </w:rPr>
      </w:pPr>
    </w:p>
    <w:p w:rsidR="00480CDC" w:rsidRPr="00D873D9" w:rsidRDefault="00480CDC" w:rsidP="005D5A6E">
      <w:pPr>
        <w:ind w:firstLine="720"/>
        <w:rPr>
          <w:sz w:val="24"/>
          <w:szCs w:val="24"/>
        </w:rPr>
      </w:pPr>
      <w:r w:rsidRPr="00D873D9">
        <w:rPr>
          <w:sz w:val="24"/>
          <w:szCs w:val="24"/>
        </w:rPr>
        <w:t xml:space="preserve">The proposed survey would collect information on the size and structure of the foreign exchange and over-the-counter derivatives markets.  The survey would cover the turnover in the foreign exchange spot market, the foreign exchange derivatives market, and interest rate derivatives markets (forwards, swaps, and options).  In addition, the survey would gather data on the notional amounts and gross positive and negative market values of outstanding derivatives contracts for over-the-counter foreign exchange, interest rates, equities, and commodities. </w:t>
      </w:r>
    </w:p>
    <w:p w:rsidR="00480CDC" w:rsidRPr="00D873D9" w:rsidRDefault="00480CDC">
      <w:pPr>
        <w:rPr>
          <w:sz w:val="24"/>
          <w:szCs w:val="24"/>
        </w:rPr>
      </w:pPr>
    </w:p>
    <w:p w:rsidR="00480CDC" w:rsidRPr="00D873D9" w:rsidRDefault="00480CDC">
      <w:pPr>
        <w:ind w:left="360"/>
        <w:rPr>
          <w:sz w:val="24"/>
          <w:szCs w:val="24"/>
        </w:rPr>
      </w:pPr>
      <w:r w:rsidRPr="00D873D9">
        <w:rPr>
          <w:sz w:val="24"/>
          <w:szCs w:val="24"/>
        </w:rPr>
        <w:t>Differences betwe</w:t>
      </w:r>
      <w:r w:rsidR="00DF4114" w:rsidRPr="00D873D9">
        <w:rPr>
          <w:sz w:val="24"/>
          <w:szCs w:val="24"/>
        </w:rPr>
        <w:t xml:space="preserve">en the proposed survey and the </w:t>
      </w:r>
      <w:r w:rsidR="005B1C30" w:rsidRPr="00D873D9">
        <w:rPr>
          <w:sz w:val="24"/>
          <w:szCs w:val="24"/>
        </w:rPr>
        <w:t>2007</w:t>
      </w:r>
      <w:r w:rsidRPr="00D873D9">
        <w:rPr>
          <w:sz w:val="24"/>
          <w:szCs w:val="24"/>
        </w:rPr>
        <w:t xml:space="preserve"> survey are:</w:t>
      </w:r>
    </w:p>
    <w:p w:rsidR="007F3215" w:rsidRPr="00D873D9" w:rsidRDefault="007F3215" w:rsidP="00113C56">
      <w:pPr>
        <w:pStyle w:val="Header"/>
        <w:widowControl/>
        <w:tabs>
          <w:tab w:val="clear" w:pos="4320"/>
          <w:tab w:val="clear" w:pos="8640"/>
        </w:tabs>
        <w:rPr>
          <w:rFonts w:ascii="Times New Roman" w:hAnsi="Times New Roman"/>
          <w:snapToGrid/>
          <w:szCs w:val="24"/>
        </w:rPr>
      </w:pPr>
    </w:p>
    <w:p w:rsidR="007F3215" w:rsidRPr="00D873D9" w:rsidRDefault="007F3215" w:rsidP="00113C56">
      <w:pPr>
        <w:pStyle w:val="Header"/>
        <w:widowControl/>
        <w:numPr>
          <w:ilvl w:val="0"/>
          <w:numId w:val="3"/>
        </w:numPr>
        <w:tabs>
          <w:tab w:val="clear" w:pos="4320"/>
          <w:tab w:val="clear" w:pos="8640"/>
        </w:tabs>
        <w:rPr>
          <w:rFonts w:ascii="Times New Roman" w:hAnsi="Times New Roman"/>
          <w:snapToGrid/>
          <w:szCs w:val="24"/>
        </w:rPr>
      </w:pPr>
      <w:r w:rsidRPr="00D873D9">
        <w:rPr>
          <w:rFonts w:ascii="Times New Roman" w:hAnsi="Times New Roman"/>
          <w:snapToGrid/>
          <w:szCs w:val="24"/>
        </w:rPr>
        <w:t xml:space="preserve">Data items to capture </w:t>
      </w:r>
      <w:r w:rsidR="00413CE7" w:rsidRPr="00D873D9">
        <w:rPr>
          <w:rFonts w:ascii="Times New Roman" w:hAnsi="Times New Roman"/>
          <w:snapToGrid/>
          <w:szCs w:val="24"/>
        </w:rPr>
        <w:t xml:space="preserve">credit default swaps </w:t>
      </w:r>
      <w:r w:rsidR="00E73601" w:rsidRPr="00D873D9">
        <w:rPr>
          <w:rFonts w:ascii="Times New Roman" w:hAnsi="Times New Roman"/>
          <w:snapToGrid/>
          <w:szCs w:val="24"/>
        </w:rPr>
        <w:t xml:space="preserve">with central counterparties </w:t>
      </w:r>
      <w:r w:rsidR="00345152" w:rsidRPr="00D873D9">
        <w:rPr>
          <w:rFonts w:ascii="Times New Roman" w:hAnsi="Times New Roman"/>
          <w:snapToGrid/>
          <w:szCs w:val="24"/>
        </w:rPr>
        <w:t>would be</w:t>
      </w:r>
      <w:r w:rsidRPr="00D873D9">
        <w:rPr>
          <w:rFonts w:ascii="Times New Roman" w:hAnsi="Times New Roman"/>
          <w:snapToGrid/>
          <w:szCs w:val="24"/>
        </w:rPr>
        <w:t xml:space="preserve"> added to </w:t>
      </w:r>
      <w:r w:rsidR="00AE4CF7" w:rsidRPr="00D873D9">
        <w:rPr>
          <w:rFonts w:ascii="Times New Roman" w:hAnsi="Times New Roman"/>
          <w:snapToGrid/>
          <w:szCs w:val="24"/>
        </w:rPr>
        <w:t xml:space="preserve">the </w:t>
      </w:r>
      <w:proofErr w:type="gramStart"/>
      <w:r w:rsidR="00345152" w:rsidRPr="00D873D9">
        <w:rPr>
          <w:rFonts w:ascii="Times New Roman" w:hAnsi="Times New Roman"/>
          <w:snapToGrid/>
          <w:szCs w:val="24"/>
        </w:rPr>
        <w:t>O</w:t>
      </w:r>
      <w:r w:rsidR="005B1C30" w:rsidRPr="00D873D9">
        <w:rPr>
          <w:rFonts w:ascii="Times New Roman" w:hAnsi="Times New Roman"/>
          <w:snapToGrid/>
          <w:szCs w:val="24"/>
        </w:rPr>
        <w:t>utstanding</w:t>
      </w:r>
      <w:proofErr w:type="gramEnd"/>
      <w:r w:rsidRPr="00D873D9">
        <w:rPr>
          <w:rFonts w:ascii="Times New Roman" w:hAnsi="Times New Roman"/>
          <w:snapToGrid/>
          <w:szCs w:val="24"/>
        </w:rPr>
        <w:t xml:space="preserve"> survey to be consistent with the FR 2436.  </w:t>
      </w:r>
      <w:r w:rsidR="005B1C30" w:rsidRPr="00D873D9">
        <w:rPr>
          <w:rFonts w:ascii="Times New Roman" w:hAnsi="Times New Roman"/>
          <w:snapToGrid/>
          <w:szCs w:val="24"/>
        </w:rPr>
        <w:t>T</w:t>
      </w:r>
      <w:r w:rsidRPr="00D873D9">
        <w:rPr>
          <w:rFonts w:ascii="Times New Roman" w:hAnsi="Times New Roman"/>
          <w:snapToGrid/>
          <w:szCs w:val="24"/>
        </w:rPr>
        <w:t xml:space="preserve">he growth in the </w:t>
      </w:r>
      <w:r w:rsidR="00413CE7" w:rsidRPr="00D873D9">
        <w:rPr>
          <w:rFonts w:ascii="Times New Roman" w:hAnsi="Times New Roman"/>
          <w:snapToGrid/>
          <w:szCs w:val="24"/>
        </w:rPr>
        <w:t xml:space="preserve">credit derivative </w:t>
      </w:r>
      <w:r w:rsidRPr="00D873D9">
        <w:rPr>
          <w:rFonts w:ascii="Times New Roman" w:hAnsi="Times New Roman"/>
          <w:snapToGrid/>
          <w:szCs w:val="24"/>
        </w:rPr>
        <w:t>market</w:t>
      </w:r>
      <w:r w:rsidR="005B1C30" w:rsidRPr="00D873D9">
        <w:rPr>
          <w:rFonts w:ascii="Times New Roman" w:hAnsi="Times New Roman"/>
          <w:snapToGrid/>
          <w:szCs w:val="24"/>
        </w:rPr>
        <w:t xml:space="preserve"> has made</w:t>
      </w:r>
      <w:r w:rsidRPr="00D873D9">
        <w:rPr>
          <w:rFonts w:ascii="Times New Roman" w:hAnsi="Times New Roman"/>
          <w:snapToGrid/>
          <w:szCs w:val="24"/>
        </w:rPr>
        <w:t xml:space="preserve"> these </w:t>
      </w:r>
      <w:r w:rsidR="005B1C30" w:rsidRPr="00D873D9">
        <w:rPr>
          <w:rFonts w:ascii="Times New Roman" w:hAnsi="Times New Roman"/>
          <w:snapToGrid/>
          <w:szCs w:val="24"/>
        </w:rPr>
        <w:t>data an</w:t>
      </w:r>
      <w:r w:rsidRPr="00D873D9">
        <w:rPr>
          <w:rFonts w:ascii="Times New Roman" w:hAnsi="Times New Roman"/>
          <w:snapToGrid/>
          <w:szCs w:val="24"/>
        </w:rPr>
        <w:t xml:space="preserve"> important </w:t>
      </w:r>
      <w:r w:rsidR="00E31B00" w:rsidRPr="00D873D9">
        <w:rPr>
          <w:rFonts w:ascii="Times New Roman" w:hAnsi="Times New Roman"/>
          <w:snapToGrid/>
          <w:szCs w:val="24"/>
        </w:rPr>
        <w:t>component</w:t>
      </w:r>
      <w:r w:rsidRPr="00D873D9">
        <w:rPr>
          <w:rFonts w:ascii="Times New Roman" w:hAnsi="Times New Roman"/>
          <w:snapToGrid/>
          <w:szCs w:val="24"/>
        </w:rPr>
        <w:t xml:space="preserve"> of understanding the </w:t>
      </w:r>
      <w:r w:rsidR="00E730F2" w:rsidRPr="00D873D9">
        <w:rPr>
          <w:rFonts w:ascii="Times New Roman" w:hAnsi="Times New Roman"/>
          <w:snapToGrid/>
          <w:szCs w:val="24"/>
        </w:rPr>
        <w:t xml:space="preserve">structure and activity of the </w:t>
      </w:r>
      <w:r w:rsidRPr="00D873D9">
        <w:rPr>
          <w:rFonts w:ascii="Times New Roman" w:hAnsi="Times New Roman"/>
          <w:snapToGrid/>
          <w:szCs w:val="24"/>
        </w:rPr>
        <w:t xml:space="preserve">overall </w:t>
      </w:r>
      <w:r w:rsidR="00413CE7" w:rsidRPr="00D873D9">
        <w:rPr>
          <w:rFonts w:ascii="Times New Roman" w:hAnsi="Times New Roman"/>
          <w:snapToGrid/>
          <w:szCs w:val="24"/>
        </w:rPr>
        <w:t xml:space="preserve">over-the-counter </w:t>
      </w:r>
      <w:r w:rsidRPr="00D873D9">
        <w:rPr>
          <w:rFonts w:ascii="Times New Roman" w:hAnsi="Times New Roman"/>
          <w:snapToGrid/>
          <w:szCs w:val="24"/>
        </w:rPr>
        <w:t>derivatives market.</w:t>
      </w:r>
      <w:r w:rsidR="005B1C30" w:rsidRPr="00D873D9">
        <w:rPr>
          <w:rFonts w:ascii="Times New Roman" w:hAnsi="Times New Roman"/>
          <w:snapToGrid/>
          <w:szCs w:val="24"/>
        </w:rPr>
        <w:t xml:space="preserve"> </w:t>
      </w:r>
      <w:r w:rsidR="00345152" w:rsidRPr="00D873D9">
        <w:rPr>
          <w:rFonts w:ascii="Times New Roman" w:hAnsi="Times New Roman"/>
          <w:snapToGrid/>
          <w:szCs w:val="24"/>
        </w:rPr>
        <w:t xml:space="preserve"> </w:t>
      </w:r>
      <w:r w:rsidR="005B1C30" w:rsidRPr="00D873D9">
        <w:rPr>
          <w:rFonts w:ascii="Times New Roman" w:hAnsi="Times New Roman"/>
          <w:snapToGrid/>
          <w:szCs w:val="24"/>
        </w:rPr>
        <w:t xml:space="preserve">This has become particularly evident during the recent financial </w:t>
      </w:r>
      <w:r w:rsidR="00345152" w:rsidRPr="00D873D9">
        <w:rPr>
          <w:rFonts w:ascii="Times New Roman" w:hAnsi="Times New Roman"/>
          <w:snapToGrid/>
          <w:szCs w:val="24"/>
        </w:rPr>
        <w:t>crisis</w:t>
      </w:r>
      <w:r w:rsidR="005B1C30" w:rsidRPr="00D873D9">
        <w:rPr>
          <w:rFonts w:ascii="Times New Roman" w:hAnsi="Times New Roman"/>
          <w:snapToGrid/>
          <w:szCs w:val="24"/>
        </w:rPr>
        <w:t>.</w:t>
      </w:r>
    </w:p>
    <w:p w:rsidR="00F01B64" w:rsidRPr="00D873D9" w:rsidRDefault="00F01B64">
      <w:pPr>
        <w:pStyle w:val="ListParagraph"/>
        <w:rPr>
          <w:sz w:val="24"/>
          <w:szCs w:val="24"/>
        </w:rPr>
      </w:pPr>
    </w:p>
    <w:p w:rsidR="00117124" w:rsidRPr="00D873D9" w:rsidRDefault="00317250" w:rsidP="00113C56">
      <w:pPr>
        <w:pStyle w:val="Bulletpoint"/>
        <w:numPr>
          <w:ilvl w:val="0"/>
          <w:numId w:val="3"/>
        </w:numPr>
        <w:jc w:val="left"/>
        <w:rPr>
          <w:rFonts w:ascii="Times New Roman" w:hAnsi="Times New Roman"/>
          <w:sz w:val="24"/>
          <w:szCs w:val="24"/>
        </w:rPr>
      </w:pPr>
      <w:r w:rsidRPr="00D873D9">
        <w:rPr>
          <w:rFonts w:ascii="Times New Roman" w:hAnsi="Times New Roman"/>
          <w:sz w:val="24"/>
          <w:szCs w:val="24"/>
        </w:rPr>
        <w:t xml:space="preserve">Additional currencies </w:t>
      </w:r>
      <w:r w:rsidR="009F3AD8" w:rsidRPr="00D873D9">
        <w:rPr>
          <w:rFonts w:ascii="Times New Roman" w:hAnsi="Times New Roman"/>
          <w:sz w:val="24"/>
          <w:szCs w:val="24"/>
        </w:rPr>
        <w:t xml:space="preserve">would </w:t>
      </w:r>
      <w:r w:rsidRPr="00D873D9">
        <w:rPr>
          <w:rFonts w:ascii="Times New Roman" w:hAnsi="Times New Roman"/>
          <w:sz w:val="24"/>
          <w:szCs w:val="24"/>
        </w:rPr>
        <w:t xml:space="preserve">be identified in tables </w:t>
      </w:r>
      <w:r w:rsidR="005B1C30" w:rsidRPr="00D873D9">
        <w:rPr>
          <w:rFonts w:ascii="Times New Roman" w:hAnsi="Times New Roman"/>
          <w:sz w:val="24"/>
          <w:szCs w:val="24"/>
        </w:rPr>
        <w:t>for</w:t>
      </w:r>
      <w:r w:rsidRPr="00D873D9">
        <w:rPr>
          <w:rFonts w:ascii="Times New Roman" w:hAnsi="Times New Roman"/>
          <w:sz w:val="24"/>
          <w:szCs w:val="24"/>
        </w:rPr>
        <w:t xml:space="preserve"> </w:t>
      </w:r>
      <w:r w:rsidR="00A021D1" w:rsidRPr="00D873D9">
        <w:rPr>
          <w:rFonts w:ascii="Times New Roman" w:hAnsi="Times New Roman"/>
          <w:sz w:val="24"/>
          <w:szCs w:val="24"/>
        </w:rPr>
        <w:t>foreign exchange transactions and for interest rate derivatives on the Turnover survey.  This change would facilitate reporting of currency pairs in carry trade strategies</w:t>
      </w:r>
      <w:r w:rsidR="007F5FC0" w:rsidRPr="00D873D9">
        <w:rPr>
          <w:rFonts w:ascii="Times New Roman" w:hAnsi="Times New Roman"/>
          <w:sz w:val="24"/>
          <w:szCs w:val="24"/>
        </w:rPr>
        <w:t xml:space="preserve"> </w:t>
      </w:r>
      <w:r w:rsidRPr="00D873D9">
        <w:rPr>
          <w:rFonts w:ascii="Times New Roman" w:hAnsi="Times New Roman"/>
          <w:sz w:val="24"/>
          <w:szCs w:val="24"/>
        </w:rPr>
        <w:t xml:space="preserve">and ensure comprehensive identification of turnover in all participating countries’ currencies.  </w:t>
      </w:r>
    </w:p>
    <w:p w:rsidR="00D873D9" w:rsidRDefault="00D873D9" w:rsidP="005D5A6E">
      <w:pPr>
        <w:pStyle w:val="Heading4"/>
        <w:spacing w:before="0" w:after="0"/>
        <w:ind w:firstLine="720"/>
        <w:rPr>
          <w:rFonts w:ascii="Times New Roman" w:hAnsi="Times New Roman"/>
          <w:szCs w:val="24"/>
        </w:rPr>
      </w:pPr>
    </w:p>
    <w:p w:rsidR="00480CDC" w:rsidRPr="00D873D9" w:rsidRDefault="00480CDC" w:rsidP="005D5A6E">
      <w:pPr>
        <w:pStyle w:val="Heading4"/>
        <w:spacing w:before="0" w:after="0"/>
        <w:ind w:firstLine="720"/>
        <w:rPr>
          <w:rFonts w:ascii="Times New Roman" w:hAnsi="Times New Roman"/>
          <w:szCs w:val="24"/>
        </w:rPr>
      </w:pPr>
      <w:r w:rsidRPr="00D873D9">
        <w:rPr>
          <w:rFonts w:ascii="Times New Roman" w:hAnsi="Times New Roman"/>
          <w:szCs w:val="24"/>
        </w:rPr>
        <w:t>Reporting Panel</w:t>
      </w:r>
    </w:p>
    <w:p w:rsidR="00480CDC" w:rsidRPr="00D873D9" w:rsidRDefault="00480CDC">
      <w:pPr>
        <w:rPr>
          <w:sz w:val="24"/>
          <w:szCs w:val="24"/>
        </w:rPr>
      </w:pPr>
    </w:p>
    <w:p w:rsidR="00480CDC" w:rsidRPr="00D873D9" w:rsidRDefault="00480CDC" w:rsidP="005D5A6E">
      <w:pPr>
        <w:ind w:firstLine="720"/>
        <w:rPr>
          <w:sz w:val="24"/>
          <w:szCs w:val="24"/>
        </w:rPr>
      </w:pPr>
      <w:r w:rsidRPr="00D873D9">
        <w:rPr>
          <w:sz w:val="24"/>
          <w:szCs w:val="24"/>
        </w:rPr>
        <w:t xml:space="preserve">The reporting panel for the Turnover portion of the survey would </w:t>
      </w:r>
      <w:r w:rsidR="009F3AD8" w:rsidRPr="00D873D9">
        <w:rPr>
          <w:sz w:val="24"/>
          <w:szCs w:val="24"/>
        </w:rPr>
        <w:t>decline to</w:t>
      </w:r>
      <w:r w:rsidR="006A160C" w:rsidRPr="00D873D9">
        <w:rPr>
          <w:sz w:val="24"/>
          <w:szCs w:val="24"/>
        </w:rPr>
        <w:t xml:space="preserve"> roughly </w:t>
      </w:r>
      <w:r w:rsidR="009F3AD8" w:rsidRPr="00D873D9">
        <w:rPr>
          <w:sz w:val="24"/>
          <w:szCs w:val="24"/>
        </w:rPr>
        <w:t>35</w:t>
      </w:r>
      <w:r w:rsidRPr="00D873D9">
        <w:rPr>
          <w:sz w:val="24"/>
          <w:szCs w:val="24"/>
        </w:rPr>
        <w:t xml:space="preserve"> institutions in 20</w:t>
      </w:r>
      <w:r w:rsidR="005F5CC4" w:rsidRPr="00D873D9">
        <w:rPr>
          <w:sz w:val="24"/>
          <w:szCs w:val="24"/>
        </w:rPr>
        <w:t>10</w:t>
      </w:r>
      <w:r w:rsidR="009F3AD8" w:rsidRPr="00D873D9">
        <w:rPr>
          <w:sz w:val="24"/>
          <w:szCs w:val="24"/>
        </w:rPr>
        <w:t xml:space="preserve"> from the 50 that participated in 2007</w:t>
      </w:r>
      <w:r w:rsidR="005441C7" w:rsidRPr="00D873D9">
        <w:rPr>
          <w:sz w:val="24"/>
          <w:szCs w:val="24"/>
        </w:rPr>
        <w:t>.</w:t>
      </w:r>
      <w:r w:rsidR="00A8346A" w:rsidRPr="00D873D9">
        <w:rPr>
          <w:sz w:val="24"/>
          <w:szCs w:val="24"/>
        </w:rPr>
        <w:t xml:space="preserve">  </w:t>
      </w:r>
      <w:r w:rsidR="000A79D6" w:rsidRPr="00D873D9">
        <w:rPr>
          <w:sz w:val="24"/>
          <w:szCs w:val="24"/>
        </w:rPr>
        <w:t xml:space="preserve">This decline reflects the continued consolidation in the market.  </w:t>
      </w:r>
      <w:r w:rsidRPr="00D873D9">
        <w:rPr>
          <w:sz w:val="24"/>
          <w:szCs w:val="24"/>
        </w:rPr>
        <w:t xml:space="preserve">Dealers were identified for the survey based on 1) </w:t>
      </w:r>
      <w:r w:rsidR="00642ED4" w:rsidRPr="00D873D9">
        <w:rPr>
          <w:bCs/>
          <w:sz w:val="24"/>
          <w:szCs w:val="24"/>
        </w:rPr>
        <w:t>Survey of North American Foreign Exchange Volume</w:t>
      </w:r>
      <w:r w:rsidR="00935C39" w:rsidRPr="00D873D9">
        <w:rPr>
          <w:bCs/>
          <w:sz w:val="24"/>
          <w:szCs w:val="24"/>
        </w:rPr>
        <w:t>,</w:t>
      </w:r>
      <w:r w:rsidR="00642ED4" w:rsidRPr="00D873D9">
        <w:rPr>
          <w:sz w:val="24"/>
          <w:szCs w:val="24"/>
        </w:rPr>
        <w:t xml:space="preserve"> </w:t>
      </w:r>
      <w:r w:rsidR="00D77BEF" w:rsidRPr="00D873D9">
        <w:rPr>
          <w:sz w:val="24"/>
          <w:szCs w:val="24"/>
        </w:rPr>
        <w:t xml:space="preserve">2) </w:t>
      </w:r>
      <w:r w:rsidRPr="00D873D9">
        <w:rPr>
          <w:sz w:val="24"/>
          <w:szCs w:val="24"/>
        </w:rPr>
        <w:t>market share in the previous survey</w:t>
      </w:r>
      <w:r w:rsidR="0011275A" w:rsidRPr="00D873D9">
        <w:rPr>
          <w:sz w:val="24"/>
          <w:szCs w:val="24"/>
        </w:rPr>
        <w:t>,</w:t>
      </w:r>
      <w:r w:rsidRPr="00D873D9">
        <w:rPr>
          <w:sz w:val="24"/>
          <w:szCs w:val="24"/>
        </w:rPr>
        <w:t xml:space="preserve"> </w:t>
      </w:r>
      <w:r w:rsidR="00D77BEF" w:rsidRPr="00D873D9">
        <w:rPr>
          <w:sz w:val="24"/>
          <w:szCs w:val="24"/>
        </w:rPr>
        <w:t>3</w:t>
      </w:r>
      <w:r w:rsidRPr="00D873D9">
        <w:rPr>
          <w:sz w:val="24"/>
          <w:szCs w:val="24"/>
        </w:rPr>
        <w:t xml:space="preserve">) </w:t>
      </w:r>
      <w:proofErr w:type="spellStart"/>
      <w:r w:rsidRPr="00D873D9">
        <w:rPr>
          <w:i/>
          <w:sz w:val="24"/>
          <w:szCs w:val="24"/>
        </w:rPr>
        <w:t>Euromoney</w:t>
      </w:r>
      <w:r w:rsidRPr="00D873D9">
        <w:rPr>
          <w:sz w:val="24"/>
          <w:szCs w:val="24"/>
        </w:rPr>
        <w:t>’s</w:t>
      </w:r>
      <w:proofErr w:type="spellEnd"/>
      <w:r w:rsidRPr="00D873D9">
        <w:rPr>
          <w:sz w:val="24"/>
          <w:szCs w:val="24"/>
        </w:rPr>
        <w:t xml:space="preserve"> annual foreign exchange market survey</w:t>
      </w:r>
      <w:r w:rsidR="0011275A" w:rsidRPr="00D873D9">
        <w:rPr>
          <w:sz w:val="24"/>
          <w:szCs w:val="24"/>
        </w:rPr>
        <w:t>,</w:t>
      </w:r>
      <w:r w:rsidRPr="00D873D9">
        <w:rPr>
          <w:sz w:val="24"/>
          <w:szCs w:val="24"/>
        </w:rPr>
        <w:t xml:space="preserve"> and </w:t>
      </w:r>
      <w:r w:rsidR="00D77BEF" w:rsidRPr="00D873D9">
        <w:rPr>
          <w:sz w:val="24"/>
          <w:szCs w:val="24"/>
        </w:rPr>
        <w:t>4</w:t>
      </w:r>
      <w:r w:rsidRPr="00D873D9">
        <w:rPr>
          <w:sz w:val="24"/>
          <w:szCs w:val="24"/>
        </w:rPr>
        <w:t xml:space="preserve">) foreign exchange and interest rate contracts reported as held for trading by U.S. bank holding companies on the Consolidated Financial Statements for Bank Holding Companies (FR Y-9C; OMB No. 7100-0128) and by U.S. branches </w:t>
      </w:r>
      <w:r w:rsidRPr="00D873D9">
        <w:rPr>
          <w:sz w:val="24"/>
          <w:szCs w:val="24"/>
        </w:rPr>
        <w:lastRenderedPageBreak/>
        <w:t xml:space="preserve">and agencies of foreign banks on the Report of Assets and Liabilities of U.S Branches and Agencies of Foreign Banks (FFIEC 002; OMB No. 7100-0032).  </w:t>
      </w:r>
    </w:p>
    <w:p w:rsidR="00480CDC" w:rsidRPr="00D873D9" w:rsidRDefault="00480CDC">
      <w:pPr>
        <w:rPr>
          <w:sz w:val="24"/>
          <w:szCs w:val="24"/>
        </w:rPr>
      </w:pPr>
    </w:p>
    <w:p w:rsidR="00480CDC" w:rsidRPr="00D873D9" w:rsidRDefault="00480CDC" w:rsidP="005D5A6E">
      <w:pPr>
        <w:ind w:firstLine="720"/>
        <w:rPr>
          <w:sz w:val="24"/>
          <w:szCs w:val="24"/>
        </w:rPr>
      </w:pPr>
      <w:r w:rsidRPr="00D873D9">
        <w:rPr>
          <w:sz w:val="24"/>
          <w:szCs w:val="24"/>
        </w:rPr>
        <w:t xml:space="preserve">The reporting panel for the Derivatives Outstanding portion of the survey would consist of </w:t>
      </w:r>
      <w:r w:rsidR="00F21CE5" w:rsidRPr="00D873D9">
        <w:rPr>
          <w:sz w:val="24"/>
          <w:szCs w:val="24"/>
        </w:rPr>
        <w:t xml:space="preserve">4 </w:t>
      </w:r>
      <w:r w:rsidRPr="00D873D9">
        <w:rPr>
          <w:sz w:val="24"/>
          <w:szCs w:val="24"/>
        </w:rPr>
        <w:t xml:space="preserve">U.S banking and nonbanking institutions that are dealers for the Turnover portion of the survey and who actively trade in the over-the-counter derivatives market.  This </w:t>
      </w:r>
      <w:r w:rsidR="0011275A" w:rsidRPr="00D873D9">
        <w:rPr>
          <w:sz w:val="24"/>
          <w:szCs w:val="24"/>
        </w:rPr>
        <w:t xml:space="preserve">panel size </w:t>
      </w:r>
      <w:r w:rsidRPr="00D873D9">
        <w:rPr>
          <w:sz w:val="24"/>
          <w:szCs w:val="24"/>
        </w:rPr>
        <w:t>represents a</w:t>
      </w:r>
      <w:r w:rsidR="00AE4CF7" w:rsidRPr="00D873D9">
        <w:rPr>
          <w:sz w:val="24"/>
          <w:szCs w:val="24"/>
        </w:rPr>
        <w:t xml:space="preserve"> decline</w:t>
      </w:r>
      <w:r w:rsidRPr="00D873D9">
        <w:rPr>
          <w:sz w:val="24"/>
          <w:szCs w:val="24"/>
        </w:rPr>
        <w:t xml:space="preserve"> </w:t>
      </w:r>
      <w:r w:rsidR="009F3AD8" w:rsidRPr="00D873D9">
        <w:rPr>
          <w:sz w:val="24"/>
          <w:szCs w:val="24"/>
        </w:rPr>
        <w:t xml:space="preserve">from </w:t>
      </w:r>
      <w:r w:rsidR="00F21CE5" w:rsidRPr="00D873D9">
        <w:rPr>
          <w:sz w:val="24"/>
          <w:szCs w:val="24"/>
        </w:rPr>
        <w:t xml:space="preserve">10 </w:t>
      </w:r>
      <w:r w:rsidR="005B1C30" w:rsidRPr="00D873D9">
        <w:rPr>
          <w:sz w:val="24"/>
          <w:szCs w:val="24"/>
        </w:rPr>
        <w:t>in</w:t>
      </w:r>
      <w:r w:rsidRPr="00D873D9">
        <w:rPr>
          <w:sz w:val="24"/>
          <w:szCs w:val="24"/>
        </w:rPr>
        <w:t xml:space="preserve"> 200</w:t>
      </w:r>
      <w:r w:rsidR="003343CC" w:rsidRPr="00D873D9">
        <w:rPr>
          <w:sz w:val="24"/>
          <w:szCs w:val="24"/>
        </w:rPr>
        <w:t>7</w:t>
      </w:r>
      <w:r w:rsidRPr="00D873D9">
        <w:rPr>
          <w:sz w:val="24"/>
          <w:szCs w:val="24"/>
        </w:rPr>
        <w:t xml:space="preserve">. </w:t>
      </w:r>
    </w:p>
    <w:p w:rsidR="00480CDC" w:rsidRPr="00D873D9" w:rsidRDefault="00480CDC">
      <w:pPr>
        <w:rPr>
          <w:sz w:val="24"/>
          <w:szCs w:val="24"/>
        </w:rPr>
      </w:pPr>
    </w:p>
    <w:p w:rsidR="00480CDC" w:rsidRPr="00D873D9" w:rsidRDefault="00480CDC">
      <w:pPr>
        <w:pStyle w:val="Heading4"/>
        <w:spacing w:before="0" w:after="0"/>
        <w:rPr>
          <w:rFonts w:ascii="Times New Roman" w:hAnsi="Times New Roman"/>
          <w:szCs w:val="24"/>
        </w:rPr>
      </w:pPr>
      <w:r w:rsidRPr="00D873D9">
        <w:rPr>
          <w:rFonts w:ascii="Times New Roman" w:hAnsi="Times New Roman"/>
          <w:szCs w:val="24"/>
        </w:rPr>
        <w:t xml:space="preserve">Time Schedule for Information Collection </w:t>
      </w:r>
    </w:p>
    <w:p w:rsidR="00480CDC" w:rsidRPr="00D873D9" w:rsidRDefault="00480CDC">
      <w:pPr>
        <w:pStyle w:val="Heading4"/>
        <w:spacing w:before="0" w:after="0"/>
        <w:rPr>
          <w:rFonts w:ascii="Times New Roman" w:hAnsi="Times New Roman"/>
          <w:szCs w:val="24"/>
        </w:rPr>
      </w:pPr>
      <w:r w:rsidRPr="00D873D9">
        <w:rPr>
          <w:rFonts w:ascii="Times New Roman" w:hAnsi="Times New Roman"/>
          <w:szCs w:val="24"/>
        </w:rPr>
        <w:t xml:space="preserve">  </w:t>
      </w:r>
    </w:p>
    <w:p w:rsidR="00480CDC" w:rsidRPr="00D873D9" w:rsidRDefault="00480CDC" w:rsidP="005D5A6E">
      <w:pPr>
        <w:ind w:firstLine="720"/>
        <w:rPr>
          <w:sz w:val="24"/>
          <w:szCs w:val="24"/>
        </w:rPr>
      </w:pPr>
      <w:r w:rsidRPr="00D873D9">
        <w:rPr>
          <w:sz w:val="24"/>
          <w:szCs w:val="24"/>
        </w:rPr>
        <w:t>The turnover data would include all trading conducted during April 20</w:t>
      </w:r>
      <w:r w:rsidR="00BF7951" w:rsidRPr="00D873D9">
        <w:rPr>
          <w:sz w:val="24"/>
          <w:szCs w:val="24"/>
        </w:rPr>
        <w:t>1</w:t>
      </w:r>
      <w:r w:rsidRPr="00D873D9">
        <w:rPr>
          <w:sz w:val="24"/>
          <w:szCs w:val="24"/>
        </w:rPr>
        <w:t xml:space="preserve">0.  The choice of April for turnover data continues the practice of previous surveys.  April was selected to avoid strong seasonal effects in the foreign exchange market at other times of the year.  </w:t>
      </w:r>
      <w:r w:rsidR="00DF4114" w:rsidRPr="00D873D9">
        <w:rPr>
          <w:sz w:val="24"/>
          <w:szCs w:val="24"/>
        </w:rPr>
        <w:t xml:space="preserve">The outstanding positions would be </w:t>
      </w:r>
      <w:r w:rsidR="0011275A" w:rsidRPr="00D873D9">
        <w:rPr>
          <w:sz w:val="24"/>
          <w:szCs w:val="24"/>
        </w:rPr>
        <w:t xml:space="preserve">reported </w:t>
      </w:r>
      <w:r w:rsidR="00DF4114" w:rsidRPr="00D873D9">
        <w:rPr>
          <w:sz w:val="24"/>
          <w:szCs w:val="24"/>
        </w:rPr>
        <w:t>as of end of June 20</w:t>
      </w:r>
      <w:r w:rsidR="003343CC" w:rsidRPr="00D873D9">
        <w:rPr>
          <w:sz w:val="24"/>
          <w:szCs w:val="24"/>
        </w:rPr>
        <w:t>1</w:t>
      </w:r>
      <w:r w:rsidR="00DF4114" w:rsidRPr="00D873D9">
        <w:rPr>
          <w:sz w:val="24"/>
          <w:szCs w:val="24"/>
        </w:rPr>
        <w:t xml:space="preserve">0.  </w:t>
      </w:r>
      <w:r w:rsidRPr="00D873D9">
        <w:rPr>
          <w:sz w:val="24"/>
          <w:szCs w:val="24"/>
        </w:rPr>
        <w:t xml:space="preserve">Collecting data on outstanding contracts as of end of June reduces reporting burden by allowing the use of June data from the FR 2436.  In addition, April and June are the dates other central banks will be conducting their surveys and adoption of those dates is critical for the aggregation of consistent global statistics.  </w:t>
      </w:r>
    </w:p>
    <w:p w:rsidR="00480CDC" w:rsidRPr="00D873D9" w:rsidRDefault="00480CDC">
      <w:pPr>
        <w:rPr>
          <w:sz w:val="24"/>
          <w:szCs w:val="24"/>
        </w:rPr>
      </w:pPr>
    </w:p>
    <w:p w:rsidR="00480CDC" w:rsidRPr="00D873D9" w:rsidRDefault="00480CDC" w:rsidP="005D5A6E">
      <w:pPr>
        <w:ind w:firstLine="720"/>
        <w:rPr>
          <w:sz w:val="24"/>
          <w:szCs w:val="24"/>
        </w:rPr>
      </w:pPr>
      <w:r w:rsidRPr="00D873D9">
        <w:rPr>
          <w:sz w:val="24"/>
          <w:szCs w:val="24"/>
        </w:rPr>
        <w:t xml:space="preserve">The survey forms </w:t>
      </w:r>
      <w:r w:rsidR="00276AFC" w:rsidRPr="00D873D9">
        <w:rPr>
          <w:sz w:val="24"/>
          <w:szCs w:val="24"/>
        </w:rPr>
        <w:t xml:space="preserve">and instructions </w:t>
      </w:r>
      <w:r w:rsidR="009F3AD8" w:rsidRPr="00D873D9">
        <w:rPr>
          <w:sz w:val="24"/>
          <w:szCs w:val="24"/>
        </w:rPr>
        <w:t xml:space="preserve">would </w:t>
      </w:r>
      <w:r w:rsidR="00276AFC" w:rsidRPr="00D873D9">
        <w:rPr>
          <w:sz w:val="24"/>
          <w:szCs w:val="24"/>
        </w:rPr>
        <w:t xml:space="preserve">be made available at the Board of Governors of the Federal Reserve System website at </w:t>
      </w:r>
      <w:hyperlink r:id="rId8" w:history="1">
        <w:r w:rsidR="00276AFC" w:rsidRPr="00D873D9">
          <w:rPr>
            <w:rStyle w:val="Hyperlink"/>
            <w:sz w:val="24"/>
            <w:szCs w:val="24"/>
          </w:rPr>
          <w:t>http://www.federalreserve.gov/reportforms/</w:t>
        </w:r>
      </w:hyperlink>
      <w:r w:rsidR="00276AFC" w:rsidRPr="00D873D9">
        <w:rPr>
          <w:sz w:val="24"/>
          <w:szCs w:val="24"/>
        </w:rPr>
        <w:t xml:space="preserve">.  </w:t>
      </w:r>
      <w:r w:rsidRPr="00D873D9">
        <w:rPr>
          <w:sz w:val="24"/>
          <w:szCs w:val="24"/>
        </w:rPr>
        <w:t>Market totals from the survey would be published by FRBNY</w:t>
      </w:r>
      <w:r w:rsidR="00DF4114" w:rsidRPr="00D873D9">
        <w:rPr>
          <w:sz w:val="24"/>
          <w:szCs w:val="24"/>
        </w:rPr>
        <w:t xml:space="preserve"> and would</w:t>
      </w:r>
      <w:r w:rsidRPr="00D873D9">
        <w:rPr>
          <w:sz w:val="24"/>
          <w:szCs w:val="24"/>
        </w:rPr>
        <w:t xml:space="preserve"> also be provided to the BIS for its published report on global trading.</w:t>
      </w:r>
    </w:p>
    <w:p w:rsidR="00480CDC" w:rsidRPr="00D873D9" w:rsidRDefault="00480CDC">
      <w:pPr>
        <w:pStyle w:val="Header"/>
        <w:widowControl/>
        <w:tabs>
          <w:tab w:val="clear" w:pos="4320"/>
          <w:tab w:val="clear" w:pos="8640"/>
        </w:tabs>
        <w:ind w:firstLine="360"/>
        <w:rPr>
          <w:rFonts w:ascii="Times New Roman" w:hAnsi="Times New Roman"/>
          <w:szCs w:val="24"/>
        </w:rPr>
      </w:pPr>
    </w:p>
    <w:p w:rsidR="00480CDC" w:rsidRPr="00D873D9" w:rsidRDefault="00480CDC">
      <w:pPr>
        <w:pStyle w:val="Heading4"/>
        <w:spacing w:before="0" w:after="0"/>
        <w:rPr>
          <w:rFonts w:ascii="Times New Roman" w:hAnsi="Times New Roman"/>
          <w:szCs w:val="24"/>
        </w:rPr>
      </w:pPr>
      <w:r w:rsidRPr="00D873D9">
        <w:rPr>
          <w:rFonts w:ascii="Times New Roman" w:hAnsi="Times New Roman"/>
          <w:szCs w:val="24"/>
        </w:rPr>
        <w:t>Legal Status</w:t>
      </w:r>
    </w:p>
    <w:p w:rsidR="00480CDC" w:rsidRPr="00D873D9" w:rsidRDefault="00480CDC">
      <w:pPr>
        <w:rPr>
          <w:sz w:val="24"/>
          <w:szCs w:val="24"/>
        </w:rPr>
      </w:pPr>
    </w:p>
    <w:p w:rsidR="00113C56" w:rsidRPr="00D873D9" w:rsidRDefault="00480CDC" w:rsidP="00D67E81">
      <w:pPr>
        <w:pStyle w:val="MemoHeader"/>
        <w:widowControl w:val="0"/>
        <w:autoSpaceDE w:val="0"/>
        <w:autoSpaceDN w:val="0"/>
        <w:adjustRightInd w:val="0"/>
        <w:ind w:firstLine="720"/>
        <w:rPr>
          <w:rFonts w:ascii="Times New Roman" w:hAnsi="Times New Roman"/>
          <w:smallCaps w:val="0"/>
          <w:szCs w:val="24"/>
        </w:rPr>
      </w:pPr>
      <w:r w:rsidRPr="00D873D9">
        <w:rPr>
          <w:rFonts w:ascii="Times New Roman" w:hAnsi="Times New Roman"/>
          <w:smallCaps w:val="0"/>
          <w:szCs w:val="24"/>
        </w:rPr>
        <w:t xml:space="preserve">The Board’s Legal Division </w:t>
      </w:r>
      <w:r w:rsidR="00F21CE5" w:rsidRPr="00D873D9">
        <w:rPr>
          <w:rFonts w:ascii="Times New Roman" w:hAnsi="Times New Roman"/>
          <w:smallCaps w:val="0"/>
          <w:szCs w:val="24"/>
        </w:rPr>
        <w:t xml:space="preserve">has </w:t>
      </w:r>
      <w:r w:rsidRPr="00D873D9">
        <w:rPr>
          <w:rFonts w:ascii="Times New Roman" w:hAnsi="Times New Roman"/>
          <w:smallCaps w:val="0"/>
          <w:szCs w:val="24"/>
        </w:rPr>
        <w:t xml:space="preserve">determined that this report is authorized </w:t>
      </w:r>
      <w:r w:rsidR="004C55CC" w:rsidRPr="00D873D9">
        <w:rPr>
          <w:rFonts w:ascii="Times New Roman" w:hAnsi="Times New Roman"/>
          <w:smallCaps w:val="0"/>
          <w:szCs w:val="24"/>
        </w:rPr>
        <w:t xml:space="preserve">under sections 2A and 12A of the Federal Reserve Act </w:t>
      </w:r>
      <w:r w:rsidRPr="00D873D9">
        <w:rPr>
          <w:rFonts w:ascii="Times New Roman" w:hAnsi="Times New Roman"/>
          <w:smallCaps w:val="0"/>
          <w:szCs w:val="24"/>
        </w:rPr>
        <w:t xml:space="preserve">(12 U.S.C. </w:t>
      </w:r>
      <w:r w:rsidR="00783888" w:rsidRPr="00D873D9">
        <w:rPr>
          <w:rFonts w:ascii="Times New Roman" w:hAnsi="Times New Roman"/>
          <w:smallCaps w:val="0"/>
          <w:szCs w:val="24"/>
        </w:rPr>
        <w:t>225a</w:t>
      </w:r>
      <w:r w:rsidR="004C55CC" w:rsidRPr="00D873D9">
        <w:rPr>
          <w:rFonts w:ascii="Times New Roman" w:hAnsi="Times New Roman"/>
          <w:smallCaps w:val="0"/>
          <w:szCs w:val="24"/>
        </w:rPr>
        <w:t xml:space="preserve"> and 263</w:t>
      </w:r>
      <w:r w:rsidRPr="00D873D9">
        <w:rPr>
          <w:rFonts w:ascii="Times New Roman" w:hAnsi="Times New Roman"/>
          <w:smallCaps w:val="0"/>
          <w:szCs w:val="24"/>
        </w:rPr>
        <w:t xml:space="preserve">) and is voluntary.  </w:t>
      </w:r>
      <w:r w:rsidR="004C55CC" w:rsidRPr="00D873D9">
        <w:rPr>
          <w:rFonts w:ascii="Times New Roman" w:hAnsi="Times New Roman"/>
          <w:smallCaps w:val="0"/>
          <w:szCs w:val="24"/>
        </w:rPr>
        <w:t xml:space="preserve"> </w:t>
      </w:r>
      <w:r w:rsidRPr="00D873D9">
        <w:rPr>
          <w:rFonts w:ascii="Times New Roman" w:hAnsi="Times New Roman"/>
          <w:smallCaps w:val="0"/>
          <w:szCs w:val="24"/>
        </w:rPr>
        <w:t>Individual respondent data are regarded as confidential under the Freedom of Information Act (5 U.S.C. 552 (b</w:t>
      </w:r>
      <w:proofErr w:type="gramStart"/>
      <w:r w:rsidRPr="00D873D9">
        <w:rPr>
          <w:rFonts w:ascii="Times New Roman" w:hAnsi="Times New Roman"/>
          <w:smallCaps w:val="0"/>
          <w:szCs w:val="24"/>
        </w:rPr>
        <w:t>)(</w:t>
      </w:r>
      <w:proofErr w:type="gramEnd"/>
      <w:r w:rsidRPr="00D873D9">
        <w:rPr>
          <w:rFonts w:ascii="Times New Roman" w:hAnsi="Times New Roman"/>
          <w:smallCaps w:val="0"/>
          <w:szCs w:val="24"/>
        </w:rPr>
        <w:t>4)).</w:t>
      </w:r>
      <w:r w:rsidR="00113C56" w:rsidRPr="00D873D9">
        <w:rPr>
          <w:rFonts w:ascii="Times New Roman" w:hAnsi="Times New Roman"/>
          <w:smallCaps w:val="0"/>
          <w:szCs w:val="24"/>
        </w:rPr>
        <w:t xml:space="preserve"> </w:t>
      </w:r>
      <w:r w:rsidR="00A021D1" w:rsidRPr="00D873D9">
        <w:rPr>
          <w:rFonts w:ascii="Times New Roman" w:hAnsi="Times New Roman"/>
          <w:smallCaps w:val="0"/>
          <w:szCs w:val="24"/>
        </w:rPr>
        <w:t xml:space="preserve"> </w:t>
      </w:r>
    </w:p>
    <w:p w:rsidR="00480CDC" w:rsidRPr="00D873D9" w:rsidRDefault="00480CDC">
      <w:pPr>
        <w:rPr>
          <w:sz w:val="24"/>
          <w:szCs w:val="24"/>
        </w:rPr>
      </w:pPr>
    </w:p>
    <w:p w:rsidR="00480CDC" w:rsidRPr="00D873D9" w:rsidRDefault="00480CDC">
      <w:pPr>
        <w:pStyle w:val="Heading4"/>
        <w:spacing w:before="0" w:after="0"/>
        <w:rPr>
          <w:rFonts w:ascii="Times New Roman" w:hAnsi="Times New Roman"/>
          <w:szCs w:val="24"/>
        </w:rPr>
      </w:pPr>
      <w:r w:rsidRPr="00D873D9">
        <w:rPr>
          <w:rFonts w:ascii="Times New Roman" w:hAnsi="Times New Roman"/>
          <w:szCs w:val="24"/>
        </w:rPr>
        <w:t xml:space="preserve">Consultation </w:t>
      </w:r>
      <w:proofErr w:type="gramStart"/>
      <w:r w:rsidRPr="00D873D9">
        <w:rPr>
          <w:rFonts w:ascii="Times New Roman" w:hAnsi="Times New Roman"/>
          <w:szCs w:val="24"/>
        </w:rPr>
        <w:t>Outside</w:t>
      </w:r>
      <w:proofErr w:type="gramEnd"/>
      <w:r w:rsidRPr="00D873D9">
        <w:rPr>
          <w:rFonts w:ascii="Times New Roman" w:hAnsi="Times New Roman"/>
          <w:szCs w:val="24"/>
        </w:rPr>
        <w:t xml:space="preserve"> the </w:t>
      </w:r>
      <w:r w:rsidR="00C45451" w:rsidRPr="00D873D9">
        <w:rPr>
          <w:rFonts w:ascii="Times New Roman" w:hAnsi="Times New Roman"/>
          <w:szCs w:val="24"/>
        </w:rPr>
        <w:t>Agency</w:t>
      </w:r>
      <w:r w:rsidR="00F30EFC" w:rsidRPr="00D873D9">
        <w:rPr>
          <w:rFonts w:ascii="Times New Roman" w:hAnsi="Times New Roman"/>
          <w:szCs w:val="24"/>
        </w:rPr>
        <w:t xml:space="preserve"> and Discussion of Public Comment</w:t>
      </w:r>
    </w:p>
    <w:p w:rsidR="00480CDC" w:rsidRPr="00D873D9" w:rsidRDefault="00480CDC">
      <w:pPr>
        <w:rPr>
          <w:sz w:val="24"/>
          <w:szCs w:val="24"/>
        </w:rPr>
      </w:pPr>
    </w:p>
    <w:p w:rsidR="00B96FF9" w:rsidRPr="00187C15" w:rsidRDefault="00214144" w:rsidP="00B96FF9">
      <w:pPr>
        <w:ind w:firstLine="720"/>
        <w:rPr>
          <w:sz w:val="24"/>
          <w:szCs w:val="24"/>
        </w:rPr>
      </w:pPr>
      <w:r w:rsidRPr="00D873D9">
        <w:rPr>
          <w:sz w:val="24"/>
          <w:szCs w:val="24"/>
        </w:rPr>
        <w:t>This survey is being coordinated by the BIS with other p</w:t>
      </w:r>
      <w:r w:rsidR="00B96FF9">
        <w:rPr>
          <w:sz w:val="24"/>
          <w:szCs w:val="24"/>
        </w:rPr>
        <w:t xml:space="preserve">articipating central banks.  On </w:t>
      </w:r>
      <w:r w:rsidR="00F30EFC" w:rsidRPr="00D873D9">
        <w:rPr>
          <w:sz w:val="24"/>
          <w:szCs w:val="24"/>
        </w:rPr>
        <w:t>Nov</w:t>
      </w:r>
      <w:r w:rsidRPr="00D873D9">
        <w:rPr>
          <w:sz w:val="24"/>
          <w:szCs w:val="24"/>
        </w:rPr>
        <w:t xml:space="preserve">ember 2, 2009, the Federal Reserve published a notice in the </w:t>
      </w:r>
      <w:r w:rsidRPr="00D873D9">
        <w:rPr>
          <w:i/>
          <w:sz w:val="24"/>
          <w:szCs w:val="24"/>
        </w:rPr>
        <w:t>Federal Register</w:t>
      </w:r>
      <w:r w:rsidRPr="00D873D9">
        <w:rPr>
          <w:sz w:val="24"/>
          <w:szCs w:val="24"/>
        </w:rPr>
        <w:t xml:space="preserve"> (74 FR </w:t>
      </w:r>
      <w:r w:rsidR="00F30EFC" w:rsidRPr="00D873D9">
        <w:rPr>
          <w:sz w:val="24"/>
          <w:szCs w:val="24"/>
        </w:rPr>
        <w:t>56633</w:t>
      </w:r>
      <w:r w:rsidRPr="00D873D9">
        <w:rPr>
          <w:sz w:val="24"/>
          <w:szCs w:val="24"/>
        </w:rPr>
        <w:t xml:space="preserve">) requesting public comment for 60 days on the </w:t>
      </w:r>
      <w:r w:rsidR="00F30EFC" w:rsidRPr="00D873D9">
        <w:rPr>
          <w:sz w:val="24"/>
          <w:szCs w:val="24"/>
        </w:rPr>
        <w:t xml:space="preserve">implementation </w:t>
      </w:r>
      <w:r w:rsidRPr="00D873D9">
        <w:rPr>
          <w:sz w:val="24"/>
          <w:szCs w:val="24"/>
        </w:rPr>
        <w:t xml:space="preserve">of the </w:t>
      </w:r>
      <w:r w:rsidR="00F30EFC" w:rsidRPr="00D873D9">
        <w:rPr>
          <w:sz w:val="24"/>
          <w:szCs w:val="24"/>
        </w:rPr>
        <w:t>FR 3036 survey</w:t>
      </w:r>
      <w:r w:rsidRPr="00D873D9">
        <w:rPr>
          <w:sz w:val="24"/>
          <w:szCs w:val="24"/>
        </w:rPr>
        <w:t>.  The commen</w:t>
      </w:r>
      <w:r w:rsidR="00B96FF9">
        <w:rPr>
          <w:sz w:val="24"/>
          <w:szCs w:val="24"/>
        </w:rPr>
        <w:t>t period for this notice expired</w:t>
      </w:r>
      <w:r w:rsidRPr="00D873D9">
        <w:rPr>
          <w:sz w:val="24"/>
          <w:szCs w:val="24"/>
        </w:rPr>
        <w:t xml:space="preserve"> on </w:t>
      </w:r>
      <w:r w:rsidR="00F30EFC" w:rsidRPr="00D873D9">
        <w:rPr>
          <w:sz w:val="24"/>
          <w:szCs w:val="24"/>
        </w:rPr>
        <w:t>January</w:t>
      </w:r>
      <w:r w:rsidRPr="00D873D9">
        <w:rPr>
          <w:sz w:val="24"/>
          <w:szCs w:val="24"/>
        </w:rPr>
        <w:t xml:space="preserve"> 4, 20</w:t>
      </w:r>
      <w:r w:rsidR="00F30EFC" w:rsidRPr="00D873D9">
        <w:rPr>
          <w:sz w:val="24"/>
          <w:szCs w:val="24"/>
        </w:rPr>
        <w:t>10</w:t>
      </w:r>
      <w:r w:rsidRPr="00D873D9">
        <w:rPr>
          <w:sz w:val="24"/>
          <w:szCs w:val="24"/>
        </w:rPr>
        <w:t xml:space="preserve">.  </w:t>
      </w:r>
      <w:r w:rsidR="00B96FF9" w:rsidRPr="00A61C73">
        <w:rPr>
          <w:sz w:val="24"/>
          <w:szCs w:val="24"/>
        </w:rPr>
        <w:t xml:space="preserve">The Federal Reserve did not receive any comments.  On </w:t>
      </w:r>
      <w:r w:rsidR="00B96FF9">
        <w:rPr>
          <w:sz w:val="24"/>
        </w:rPr>
        <w:t>January 19, 2010</w:t>
      </w:r>
      <w:r w:rsidR="00B96FF9" w:rsidRPr="00A61C73">
        <w:rPr>
          <w:sz w:val="24"/>
          <w:szCs w:val="24"/>
        </w:rPr>
        <w:t xml:space="preserve">, the Federal Reserve published a final notice in the </w:t>
      </w:r>
      <w:r w:rsidR="00B96FF9" w:rsidRPr="00A61C73">
        <w:rPr>
          <w:i/>
          <w:iCs/>
          <w:sz w:val="24"/>
          <w:szCs w:val="24"/>
        </w:rPr>
        <w:t xml:space="preserve">Federal Register </w:t>
      </w:r>
      <w:r w:rsidR="00B96FF9" w:rsidRPr="00A61C73">
        <w:rPr>
          <w:sz w:val="24"/>
          <w:szCs w:val="24"/>
        </w:rPr>
        <w:t>(7</w:t>
      </w:r>
      <w:r w:rsidR="00B96FF9">
        <w:rPr>
          <w:sz w:val="24"/>
          <w:szCs w:val="24"/>
        </w:rPr>
        <w:t>5</w:t>
      </w:r>
      <w:r w:rsidR="00B96FF9" w:rsidRPr="00A61C73">
        <w:rPr>
          <w:sz w:val="24"/>
          <w:szCs w:val="24"/>
        </w:rPr>
        <w:t xml:space="preserve"> </w:t>
      </w:r>
      <w:r w:rsidR="00B96FF9" w:rsidRPr="00187C15">
        <w:rPr>
          <w:sz w:val="24"/>
          <w:szCs w:val="24"/>
        </w:rPr>
        <w:t xml:space="preserve">FR </w:t>
      </w:r>
      <w:r w:rsidR="00B96FF9">
        <w:rPr>
          <w:sz w:val="24"/>
          <w:szCs w:val="24"/>
        </w:rPr>
        <w:t>2863</w:t>
      </w:r>
      <w:r w:rsidR="00B96FF9" w:rsidRPr="00187C15">
        <w:rPr>
          <w:sz w:val="24"/>
          <w:szCs w:val="24"/>
        </w:rPr>
        <w:t xml:space="preserve">).  </w:t>
      </w:r>
      <w:r w:rsidR="00B96FF9">
        <w:rPr>
          <w:sz w:val="24"/>
          <w:szCs w:val="24"/>
        </w:rPr>
        <w:t>The FR 3036</w:t>
      </w:r>
      <w:r w:rsidR="00B96FF9" w:rsidRPr="00187C15">
        <w:rPr>
          <w:sz w:val="24"/>
          <w:szCs w:val="24"/>
        </w:rPr>
        <w:t xml:space="preserve"> will be implemented as proposed.</w:t>
      </w:r>
    </w:p>
    <w:p w:rsidR="00D873D9" w:rsidRDefault="00D873D9" w:rsidP="00D873D9">
      <w:pPr>
        <w:pStyle w:val="Heading4"/>
        <w:spacing w:before="0" w:after="0"/>
        <w:rPr>
          <w:rFonts w:ascii="Times New Roman" w:hAnsi="Times New Roman"/>
        </w:rPr>
      </w:pPr>
    </w:p>
    <w:p w:rsidR="00D873D9" w:rsidRPr="00D873D9" w:rsidRDefault="00D873D9" w:rsidP="00D873D9">
      <w:pPr>
        <w:pStyle w:val="Heading4"/>
        <w:spacing w:before="0" w:after="0"/>
        <w:rPr>
          <w:rFonts w:ascii="Times New Roman" w:hAnsi="Times New Roman"/>
        </w:rPr>
      </w:pPr>
      <w:r w:rsidRPr="00D873D9">
        <w:rPr>
          <w:rFonts w:ascii="Times New Roman" w:hAnsi="Times New Roman"/>
        </w:rPr>
        <w:t>Sensitive Questions</w:t>
      </w:r>
    </w:p>
    <w:p w:rsidR="00D873D9" w:rsidRPr="00D873D9" w:rsidRDefault="00D873D9" w:rsidP="00D873D9">
      <w:pPr>
        <w:rPr>
          <w:sz w:val="24"/>
        </w:rPr>
      </w:pPr>
    </w:p>
    <w:p w:rsidR="00D873D9" w:rsidRPr="00D873D9" w:rsidRDefault="00D873D9" w:rsidP="00D873D9">
      <w:pPr>
        <w:rPr>
          <w:sz w:val="24"/>
        </w:rPr>
      </w:pPr>
      <w:r w:rsidRPr="00D873D9">
        <w:rPr>
          <w:sz w:val="24"/>
        </w:rPr>
        <w:t xml:space="preserve">     </w:t>
      </w:r>
      <w:r w:rsidRPr="00D873D9">
        <w:rPr>
          <w:sz w:val="24"/>
        </w:rPr>
        <w:tab/>
      </w:r>
      <w:r w:rsidRPr="00D873D9">
        <w:rPr>
          <w:sz w:val="24"/>
        </w:rPr>
        <w:tab/>
        <w:t>This collection of information contains no questions of a sensitive nature, as defined by OMB guidelines.</w:t>
      </w:r>
    </w:p>
    <w:p w:rsidR="00480CDC" w:rsidRPr="00D873D9" w:rsidRDefault="00214144" w:rsidP="005D5A6E">
      <w:pPr>
        <w:pStyle w:val="BodyText"/>
        <w:ind w:firstLine="720"/>
        <w:rPr>
          <w:rFonts w:ascii="Times New Roman" w:hAnsi="Times New Roman"/>
          <w:szCs w:val="24"/>
        </w:rPr>
      </w:pPr>
      <w:r w:rsidRPr="00D873D9">
        <w:rPr>
          <w:rFonts w:ascii="Times New Roman" w:hAnsi="Times New Roman"/>
          <w:szCs w:val="24"/>
        </w:rPr>
        <w:t xml:space="preserve"> </w:t>
      </w:r>
    </w:p>
    <w:p w:rsidR="00480CDC" w:rsidRPr="00D873D9" w:rsidRDefault="00480CDC">
      <w:pPr>
        <w:rPr>
          <w:b/>
          <w:sz w:val="24"/>
          <w:szCs w:val="24"/>
        </w:rPr>
      </w:pPr>
    </w:p>
    <w:p w:rsidR="00F30EFC" w:rsidRPr="00D873D9" w:rsidRDefault="00F30EFC">
      <w:pPr>
        <w:rPr>
          <w:b/>
          <w:sz w:val="24"/>
          <w:szCs w:val="24"/>
        </w:rPr>
      </w:pPr>
      <w:r w:rsidRPr="00D873D9">
        <w:rPr>
          <w:b/>
          <w:sz w:val="24"/>
          <w:szCs w:val="24"/>
        </w:rPr>
        <w:br w:type="page"/>
      </w:r>
    </w:p>
    <w:p w:rsidR="00480CDC" w:rsidRPr="00D873D9" w:rsidRDefault="00480CDC">
      <w:pPr>
        <w:rPr>
          <w:b/>
          <w:sz w:val="24"/>
          <w:szCs w:val="24"/>
        </w:rPr>
      </w:pPr>
      <w:r w:rsidRPr="00D873D9">
        <w:rPr>
          <w:b/>
          <w:sz w:val="24"/>
          <w:szCs w:val="24"/>
        </w:rPr>
        <w:lastRenderedPageBreak/>
        <w:t>Estimates of Respondent Burden</w:t>
      </w:r>
    </w:p>
    <w:p w:rsidR="00480CDC" w:rsidRPr="00D873D9" w:rsidRDefault="00480CDC">
      <w:pPr>
        <w:rPr>
          <w:b/>
          <w:sz w:val="24"/>
          <w:szCs w:val="24"/>
        </w:rPr>
      </w:pPr>
    </w:p>
    <w:p w:rsidR="00480CDC" w:rsidRPr="00D873D9" w:rsidRDefault="00480CDC" w:rsidP="005D5A6E">
      <w:pPr>
        <w:pStyle w:val="BodyText"/>
        <w:ind w:firstLine="720"/>
        <w:rPr>
          <w:rFonts w:ascii="Times New Roman" w:hAnsi="Times New Roman"/>
          <w:szCs w:val="24"/>
        </w:rPr>
      </w:pPr>
      <w:r w:rsidRPr="00D873D9">
        <w:rPr>
          <w:rFonts w:ascii="Times New Roman" w:hAnsi="Times New Roman"/>
          <w:szCs w:val="24"/>
        </w:rPr>
        <w:t xml:space="preserve">As shown in the table below, the total reporting burden is estimated to </w:t>
      </w:r>
      <w:r w:rsidR="005B1C30" w:rsidRPr="00D873D9">
        <w:rPr>
          <w:rFonts w:ascii="Times New Roman" w:hAnsi="Times New Roman"/>
          <w:szCs w:val="24"/>
        </w:rPr>
        <w:t>be 2,165</w:t>
      </w:r>
      <w:r w:rsidRPr="00D873D9">
        <w:rPr>
          <w:rFonts w:ascii="Times New Roman" w:hAnsi="Times New Roman"/>
          <w:szCs w:val="24"/>
        </w:rPr>
        <w:t xml:space="preserve"> hours to be incurred on a one-time basis in 20</w:t>
      </w:r>
      <w:r w:rsidR="00276AFC" w:rsidRPr="00D873D9">
        <w:rPr>
          <w:rFonts w:ascii="Times New Roman" w:hAnsi="Times New Roman"/>
          <w:szCs w:val="24"/>
        </w:rPr>
        <w:t>1</w:t>
      </w:r>
      <w:r w:rsidRPr="00D873D9">
        <w:rPr>
          <w:rFonts w:ascii="Times New Roman" w:hAnsi="Times New Roman"/>
          <w:szCs w:val="24"/>
        </w:rPr>
        <w:t xml:space="preserve">0.  This represents less than 1 percent of total Federal Reserve System burden.  </w:t>
      </w:r>
    </w:p>
    <w:p w:rsidR="00480CDC" w:rsidRDefault="00480CDC">
      <w:pPr>
        <w:rPr>
          <w:rFonts w:ascii="Times" w:hAnsi="Times"/>
          <w:sz w:val="24"/>
        </w:rPr>
      </w:pPr>
    </w:p>
    <w:tbl>
      <w:tblPr>
        <w:tblW w:w="9288" w:type="dxa"/>
        <w:tblBorders>
          <w:top w:val="single" w:sz="4" w:space="0" w:color="auto"/>
          <w:bottom w:val="single" w:sz="4" w:space="0" w:color="auto"/>
        </w:tblBorders>
        <w:tblLayout w:type="fixed"/>
        <w:tblLook w:val="0000"/>
      </w:tblPr>
      <w:tblGrid>
        <w:gridCol w:w="3978"/>
        <w:gridCol w:w="1440"/>
        <w:gridCol w:w="1215"/>
        <w:gridCol w:w="1327"/>
        <w:gridCol w:w="1328"/>
      </w:tblGrid>
      <w:tr w:rsidR="00125FEA" w:rsidTr="00125FEA">
        <w:trPr>
          <w:trHeight w:val="1097"/>
        </w:trPr>
        <w:tc>
          <w:tcPr>
            <w:tcW w:w="3978" w:type="dxa"/>
            <w:vAlign w:val="center"/>
          </w:tcPr>
          <w:p w:rsidR="00480CDC" w:rsidRDefault="00480CDC" w:rsidP="00125FEA">
            <w:pPr>
              <w:jc w:val="center"/>
              <w:rPr>
                <w:rFonts w:ascii="Times" w:hAnsi="Times"/>
                <w:sz w:val="24"/>
              </w:rPr>
            </w:pPr>
          </w:p>
          <w:p w:rsidR="00480CDC" w:rsidRDefault="00480CDC" w:rsidP="00125FEA">
            <w:pPr>
              <w:jc w:val="center"/>
              <w:rPr>
                <w:rFonts w:ascii="Times" w:hAnsi="Times"/>
                <w:b/>
                <w:sz w:val="24"/>
              </w:rPr>
            </w:pPr>
          </w:p>
        </w:tc>
        <w:tc>
          <w:tcPr>
            <w:tcW w:w="1440" w:type="dxa"/>
            <w:vAlign w:val="center"/>
          </w:tcPr>
          <w:p w:rsidR="00125FEA" w:rsidRDefault="00480CDC" w:rsidP="00125FEA">
            <w:pPr>
              <w:pStyle w:val="Header"/>
              <w:tabs>
                <w:tab w:val="clear" w:pos="4320"/>
                <w:tab w:val="clear" w:pos="8640"/>
              </w:tabs>
              <w:jc w:val="center"/>
              <w:rPr>
                <w:rFonts w:ascii="Times" w:hAnsi="Times"/>
                <w:i/>
              </w:rPr>
            </w:pPr>
            <w:r>
              <w:rPr>
                <w:rFonts w:ascii="Times" w:hAnsi="Times"/>
                <w:i/>
              </w:rPr>
              <w:t>Number</w:t>
            </w:r>
          </w:p>
          <w:p w:rsidR="00480CDC" w:rsidRDefault="00480CDC" w:rsidP="00125FEA">
            <w:pPr>
              <w:pStyle w:val="Header"/>
              <w:tabs>
                <w:tab w:val="clear" w:pos="4320"/>
                <w:tab w:val="clear" w:pos="8640"/>
              </w:tabs>
              <w:jc w:val="center"/>
              <w:rPr>
                <w:rFonts w:ascii="Times" w:hAnsi="Times"/>
                <w:i/>
              </w:rPr>
            </w:pPr>
            <w:r>
              <w:rPr>
                <w:rFonts w:ascii="Times" w:hAnsi="Times"/>
                <w:i/>
              </w:rPr>
              <w:t>of respondents</w:t>
            </w:r>
          </w:p>
        </w:tc>
        <w:tc>
          <w:tcPr>
            <w:tcW w:w="1215" w:type="dxa"/>
            <w:vAlign w:val="center"/>
          </w:tcPr>
          <w:p w:rsidR="00480CDC" w:rsidRDefault="00480CDC" w:rsidP="00125FEA">
            <w:pPr>
              <w:pStyle w:val="Header"/>
              <w:tabs>
                <w:tab w:val="clear" w:pos="4320"/>
                <w:tab w:val="clear" w:pos="8640"/>
              </w:tabs>
              <w:jc w:val="center"/>
              <w:rPr>
                <w:rFonts w:ascii="Times" w:hAnsi="Times"/>
                <w:i/>
              </w:rPr>
            </w:pPr>
            <w:r>
              <w:rPr>
                <w:rFonts w:ascii="Times" w:hAnsi="Times"/>
                <w:i/>
              </w:rPr>
              <w:t>Annual frequency</w:t>
            </w:r>
          </w:p>
        </w:tc>
        <w:tc>
          <w:tcPr>
            <w:tcW w:w="1327" w:type="dxa"/>
            <w:vAlign w:val="center"/>
          </w:tcPr>
          <w:p w:rsidR="00125FEA" w:rsidRDefault="00480CDC" w:rsidP="00125FEA">
            <w:pPr>
              <w:pStyle w:val="Header"/>
              <w:tabs>
                <w:tab w:val="clear" w:pos="4320"/>
                <w:tab w:val="clear" w:pos="8640"/>
              </w:tabs>
              <w:jc w:val="center"/>
              <w:rPr>
                <w:rFonts w:ascii="Times" w:hAnsi="Times"/>
                <w:i/>
              </w:rPr>
            </w:pPr>
            <w:r>
              <w:rPr>
                <w:rFonts w:ascii="Times" w:hAnsi="Times"/>
                <w:i/>
              </w:rPr>
              <w:t>Estimated</w:t>
            </w:r>
          </w:p>
          <w:p w:rsidR="00125FEA" w:rsidRDefault="00480CDC" w:rsidP="00125FEA">
            <w:pPr>
              <w:pStyle w:val="Header"/>
              <w:tabs>
                <w:tab w:val="clear" w:pos="4320"/>
                <w:tab w:val="clear" w:pos="8640"/>
              </w:tabs>
              <w:jc w:val="center"/>
              <w:rPr>
                <w:rFonts w:ascii="Times" w:hAnsi="Times"/>
                <w:i/>
              </w:rPr>
            </w:pPr>
            <w:r>
              <w:rPr>
                <w:rFonts w:ascii="Times" w:hAnsi="Times"/>
                <w:i/>
              </w:rPr>
              <w:t xml:space="preserve"> hours </w:t>
            </w:r>
          </w:p>
          <w:p w:rsidR="00480CDC" w:rsidRDefault="00480CDC" w:rsidP="00125FEA">
            <w:pPr>
              <w:pStyle w:val="Header"/>
              <w:tabs>
                <w:tab w:val="clear" w:pos="4320"/>
                <w:tab w:val="clear" w:pos="8640"/>
              </w:tabs>
              <w:jc w:val="center"/>
              <w:rPr>
                <w:rFonts w:ascii="Times" w:hAnsi="Times"/>
                <w:i/>
              </w:rPr>
            </w:pPr>
            <w:r>
              <w:rPr>
                <w:rFonts w:ascii="Times" w:hAnsi="Times"/>
                <w:i/>
              </w:rPr>
              <w:t>per response</w:t>
            </w:r>
          </w:p>
        </w:tc>
        <w:tc>
          <w:tcPr>
            <w:tcW w:w="1328" w:type="dxa"/>
            <w:vAlign w:val="center"/>
          </w:tcPr>
          <w:p w:rsidR="00480CDC" w:rsidRDefault="00480CDC" w:rsidP="00125FEA">
            <w:pPr>
              <w:pStyle w:val="Header"/>
              <w:tabs>
                <w:tab w:val="clear" w:pos="4320"/>
                <w:tab w:val="clear" w:pos="8640"/>
              </w:tabs>
              <w:jc w:val="right"/>
              <w:rPr>
                <w:rFonts w:ascii="Times" w:hAnsi="Times"/>
                <w:i/>
              </w:rPr>
            </w:pPr>
            <w:r>
              <w:rPr>
                <w:rFonts w:ascii="Times" w:hAnsi="Times"/>
                <w:i/>
              </w:rPr>
              <w:t>Estimated annual burden hours</w:t>
            </w:r>
          </w:p>
        </w:tc>
      </w:tr>
      <w:tr w:rsidR="00125FEA" w:rsidTr="00125FEA">
        <w:trPr>
          <w:trHeight w:val="642"/>
        </w:trPr>
        <w:tc>
          <w:tcPr>
            <w:tcW w:w="3978" w:type="dxa"/>
            <w:vAlign w:val="bottom"/>
          </w:tcPr>
          <w:p w:rsidR="00480CDC" w:rsidRDefault="00480CDC" w:rsidP="00125FEA">
            <w:pPr>
              <w:pStyle w:val="Header"/>
              <w:tabs>
                <w:tab w:val="clear" w:pos="4320"/>
                <w:tab w:val="clear" w:pos="8640"/>
              </w:tabs>
              <w:rPr>
                <w:rFonts w:ascii="Times" w:hAnsi="Times"/>
              </w:rPr>
            </w:pPr>
            <w:r>
              <w:rPr>
                <w:rFonts w:ascii="Times" w:hAnsi="Times"/>
              </w:rPr>
              <w:t>Turnover</w:t>
            </w:r>
          </w:p>
        </w:tc>
        <w:tc>
          <w:tcPr>
            <w:tcW w:w="1440" w:type="dxa"/>
            <w:vAlign w:val="bottom"/>
          </w:tcPr>
          <w:p w:rsidR="00480CDC" w:rsidRDefault="00D04245" w:rsidP="00125FEA">
            <w:pPr>
              <w:jc w:val="center"/>
              <w:rPr>
                <w:rFonts w:ascii="Times" w:hAnsi="Times"/>
                <w:sz w:val="24"/>
              </w:rPr>
            </w:pPr>
            <w:r>
              <w:rPr>
                <w:rFonts w:ascii="Times" w:hAnsi="Times"/>
                <w:sz w:val="24"/>
              </w:rPr>
              <w:t>35</w:t>
            </w:r>
          </w:p>
        </w:tc>
        <w:tc>
          <w:tcPr>
            <w:tcW w:w="1215" w:type="dxa"/>
            <w:vAlign w:val="bottom"/>
          </w:tcPr>
          <w:p w:rsidR="00480CDC" w:rsidRDefault="00AE4CF7" w:rsidP="00125FEA">
            <w:pPr>
              <w:jc w:val="center"/>
              <w:rPr>
                <w:rFonts w:ascii="Times" w:hAnsi="Times"/>
                <w:sz w:val="24"/>
              </w:rPr>
            </w:pPr>
            <w:r>
              <w:rPr>
                <w:rFonts w:ascii="Times" w:hAnsi="Times"/>
                <w:sz w:val="24"/>
              </w:rPr>
              <w:t>1</w:t>
            </w:r>
          </w:p>
        </w:tc>
        <w:tc>
          <w:tcPr>
            <w:tcW w:w="1327" w:type="dxa"/>
            <w:vAlign w:val="bottom"/>
          </w:tcPr>
          <w:p w:rsidR="00480CDC" w:rsidRDefault="002749A7" w:rsidP="00125FEA">
            <w:pPr>
              <w:jc w:val="center"/>
              <w:rPr>
                <w:rFonts w:ascii="Times" w:hAnsi="Times"/>
                <w:sz w:val="24"/>
              </w:rPr>
            </w:pPr>
            <w:r>
              <w:rPr>
                <w:rFonts w:ascii="Times" w:hAnsi="Times"/>
                <w:sz w:val="24"/>
              </w:rPr>
              <w:t>55</w:t>
            </w:r>
          </w:p>
        </w:tc>
        <w:tc>
          <w:tcPr>
            <w:tcW w:w="1328" w:type="dxa"/>
            <w:vAlign w:val="bottom"/>
          </w:tcPr>
          <w:p w:rsidR="00480CDC" w:rsidRDefault="001A7639" w:rsidP="00125FEA">
            <w:pPr>
              <w:jc w:val="right"/>
              <w:rPr>
                <w:rFonts w:ascii="Times" w:hAnsi="Times"/>
                <w:sz w:val="24"/>
              </w:rPr>
            </w:pPr>
            <w:r>
              <w:rPr>
                <w:rFonts w:ascii="Times" w:hAnsi="Times"/>
                <w:sz w:val="24"/>
              </w:rPr>
              <w:t>1</w:t>
            </w:r>
            <w:r w:rsidR="00295472">
              <w:rPr>
                <w:rFonts w:ascii="Times" w:hAnsi="Times"/>
                <w:sz w:val="24"/>
              </w:rPr>
              <w:t>,</w:t>
            </w:r>
            <w:r>
              <w:rPr>
                <w:rFonts w:ascii="Times" w:hAnsi="Times"/>
                <w:sz w:val="24"/>
              </w:rPr>
              <w:t>925</w:t>
            </w:r>
          </w:p>
        </w:tc>
      </w:tr>
      <w:tr w:rsidR="00125FEA" w:rsidTr="00125FEA">
        <w:trPr>
          <w:trHeight w:val="642"/>
        </w:trPr>
        <w:tc>
          <w:tcPr>
            <w:tcW w:w="3978" w:type="dxa"/>
            <w:vAlign w:val="bottom"/>
          </w:tcPr>
          <w:p w:rsidR="00480CDC" w:rsidRDefault="00480CDC" w:rsidP="00125FEA">
            <w:pPr>
              <w:pStyle w:val="Header"/>
              <w:tabs>
                <w:tab w:val="clear" w:pos="4320"/>
                <w:tab w:val="clear" w:pos="8640"/>
              </w:tabs>
              <w:rPr>
                <w:rFonts w:ascii="Times" w:hAnsi="Times"/>
              </w:rPr>
            </w:pPr>
            <w:r>
              <w:rPr>
                <w:rFonts w:ascii="Times" w:hAnsi="Times"/>
              </w:rPr>
              <w:t xml:space="preserve">Outstanding </w:t>
            </w:r>
            <w:r w:rsidR="00DF4114">
              <w:rPr>
                <w:rFonts w:ascii="Times" w:hAnsi="Times"/>
              </w:rPr>
              <w:t>(</w:t>
            </w:r>
            <w:r>
              <w:rPr>
                <w:rFonts w:ascii="Times" w:hAnsi="Times"/>
              </w:rPr>
              <w:t>Non-FR 2436 reporters</w:t>
            </w:r>
            <w:r w:rsidR="00DF4114">
              <w:rPr>
                <w:rFonts w:ascii="Times" w:hAnsi="Times"/>
              </w:rPr>
              <w:t>)</w:t>
            </w:r>
          </w:p>
        </w:tc>
        <w:tc>
          <w:tcPr>
            <w:tcW w:w="1440" w:type="dxa"/>
            <w:vAlign w:val="bottom"/>
          </w:tcPr>
          <w:p w:rsidR="00480CDC" w:rsidRDefault="00BF7951" w:rsidP="00125FEA">
            <w:pPr>
              <w:jc w:val="center"/>
              <w:rPr>
                <w:rFonts w:ascii="Times" w:hAnsi="Times"/>
                <w:sz w:val="24"/>
              </w:rPr>
            </w:pPr>
            <w:r w:rsidRPr="00BF7951">
              <w:rPr>
                <w:rFonts w:ascii="Times" w:hAnsi="Times"/>
                <w:sz w:val="24"/>
              </w:rPr>
              <w:t>4</w:t>
            </w:r>
          </w:p>
        </w:tc>
        <w:tc>
          <w:tcPr>
            <w:tcW w:w="1215" w:type="dxa"/>
            <w:vAlign w:val="bottom"/>
          </w:tcPr>
          <w:p w:rsidR="00480CDC" w:rsidRDefault="00480CDC" w:rsidP="00125FEA">
            <w:pPr>
              <w:jc w:val="center"/>
              <w:rPr>
                <w:rFonts w:ascii="Times" w:hAnsi="Times"/>
                <w:sz w:val="24"/>
              </w:rPr>
            </w:pPr>
            <w:r>
              <w:rPr>
                <w:rFonts w:ascii="Times" w:hAnsi="Times"/>
                <w:sz w:val="24"/>
              </w:rPr>
              <w:t>1</w:t>
            </w:r>
          </w:p>
        </w:tc>
        <w:tc>
          <w:tcPr>
            <w:tcW w:w="1327" w:type="dxa"/>
            <w:vAlign w:val="bottom"/>
          </w:tcPr>
          <w:p w:rsidR="00480CDC" w:rsidRDefault="00480CDC" w:rsidP="00125FEA">
            <w:pPr>
              <w:jc w:val="center"/>
              <w:rPr>
                <w:rFonts w:ascii="Times" w:hAnsi="Times"/>
                <w:sz w:val="24"/>
              </w:rPr>
            </w:pPr>
            <w:r w:rsidRPr="00BF7951">
              <w:rPr>
                <w:rFonts w:ascii="Times" w:hAnsi="Times"/>
                <w:sz w:val="24"/>
              </w:rPr>
              <w:t>60</w:t>
            </w:r>
          </w:p>
        </w:tc>
        <w:tc>
          <w:tcPr>
            <w:tcW w:w="1328" w:type="dxa"/>
            <w:vAlign w:val="bottom"/>
          </w:tcPr>
          <w:p w:rsidR="00480CDC" w:rsidRDefault="00480CDC" w:rsidP="00125FEA">
            <w:pPr>
              <w:jc w:val="right"/>
              <w:rPr>
                <w:rFonts w:ascii="Times" w:hAnsi="Times"/>
                <w:sz w:val="24"/>
              </w:rPr>
            </w:pPr>
            <w:r>
              <w:rPr>
                <w:rFonts w:ascii="Times" w:hAnsi="Times"/>
                <w:sz w:val="24"/>
              </w:rPr>
              <w:t xml:space="preserve">   </w:t>
            </w:r>
            <w:r w:rsidR="00BF7951">
              <w:rPr>
                <w:rFonts w:ascii="Times" w:hAnsi="Times"/>
                <w:sz w:val="24"/>
              </w:rPr>
              <w:t>240</w:t>
            </w:r>
          </w:p>
        </w:tc>
      </w:tr>
      <w:tr w:rsidR="00125FEA" w:rsidTr="00125FEA">
        <w:trPr>
          <w:trHeight w:val="642"/>
        </w:trPr>
        <w:tc>
          <w:tcPr>
            <w:tcW w:w="3978" w:type="dxa"/>
            <w:vAlign w:val="bottom"/>
          </w:tcPr>
          <w:p w:rsidR="005666EB" w:rsidRPr="00DC3901" w:rsidRDefault="00480CDC" w:rsidP="00125FEA">
            <w:pPr>
              <w:pStyle w:val="Header"/>
              <w:tabs>
                <w:tab w:val="clear" w:pos="4320"/>
                <w:tab w:val="clear" w:pos="8640"/>
              </w:tabs>
              <w:jc w:val="right"/>
              <w:rPr>
                <w:rFonts w:ascii="Times" w:hAnsi="Times"/>
                <w:b/>
                <w:bCs/>
                <w:i/>
              </w:rPr>
            </w:pPr>
            <w:r w:rsidRPr="00DC3901">
              <w:rPr>
                <w:rFonts w:ascii="Times" w:hAnsi="Times"/>
                <w:bCs/>
                <w:i/>
              </w:rPr>
              <w:t>Total</w:t>
            </w:r>
          </w:p>
        </w:tc>
        <w:tc>
          <w:tcPr>
            <w:tcW w:w="1440" w:type="dxa"/>
            <w:vAlign w:val="bottom"/>
          </w:tcPr>
          <w:p w:rsidR="00480CDC" w:rsidRDefault="00480CDC" w:rsidP="00125FEA">
            <w:pPr>
              <w:jc w:val="center"/>
              <w:rPr>
                <w:rFonts w:ascii="Times" w:hAnsi="Times"/>
                <w:b/>
                <w:sz w:val="24"/>
              </w:rPr>
            </w:pPr>
          </w:p>
        </w:tc>
        <w:tc>
          <w:tcPr>
            <w:tcW w:w="1215" w:type="dxa"/>
            <w:vAlign w:val="bottom"/>
          </w:tcPr>
          <w:p w:rsidR="00480CDC" w:rsidRDefault="00480CDC" w:rsidP="00125FEA">
            <w:pPr>
              <w:jc w:val="center"/>
              <w:rPr>
                <w:rFonts w:ascii="Times" w:hAnsi="Times"/>
                <w:b/>
                <w:sz w:val="24"/>
              </w:rPr>
            </w:pPr>
          </w:p>
        </w:tc>
        <w:tc>
          <w:tcPr>
            <w:tcW w:w="1327" w:type="dxa"/>
            <w:vAlign w:val="bottom"/>
          </w:tcPr>
          <w:p w:rsidR="00480CDC" w:rsidRDefault="00480CDC" w:rsidP="00125FEA">
            <w:pPr>
              <w:jc w:val="center"/>
              <w:rPr>
                <w:rFonts w:ascii="Times" w:hAnsi="Times"/>
                <w:b/>
                <w:sz w:val="24"/>
              </w:rPr>
            </w:pPr>
          </w:p>
        </w:tc>
        <w:tc>
          <w:tcPr>
            <w:tcW w:w="1328" w:type="dxa"/>
            <w:vAlign w:val="bottom"/>
          </w:tcPr>
          <w:p w:rsidR="00480CDC" w:rsidRDefault="00480CDC" w:rsidP="00125FEA">
            <w:pPr>
              <w:jc w:val="right"/>
              <w:rPr>
                <w:rFonts w:ascii="Times" w:hAnsi="Times"/>
                <w:bCs/>
                <w:sz w:val="24"/>
              </w:rPr>
            </w:pPr>
            <w:r>
              <w:rPr>
                <w:rFonts w:ascii="Times" w:hAnsi="Times"/>
                <w:bCs/>
                <w:sz w:val="24"/>
              </w:rPr>
              <w:t xml:space="preserve">   </w:t>
            </w:r>
            <w:r w:rsidR="004C617D">
              <w:rPr>
                <w:rFonts w:ascii="Times" w:hAnsi="Times"/>
                <w:bCs/>
                <w:sz w:val="24"/>
              </w:rPr>
              <w:t xml:space="preserve"> 2</w:t>
            </w:r>
            <w:r w:rsidR="00674F37">
              <w:rPr>
                <w:rFonts w:ascii="Times" w:hAnsi="Times"/>
                <w:bCs/>
                <w:sz w:val="24"/>
              </w:rPr>
              <w:t>,165</w:t>
            </w:r>
          </w:p>
        </w:tc>
      </w:tr>
    </w:tbl>
    <w:p w:rsidR="00125FEA" w:rsidRDefault="00125FEA">
      <w:pPr>
        <w:pStyle w:val="BodyText"/>
        <w:rPr>
          <w:rFonts w:ascii="Times New Roman" w:hAnsi="Times New Roman"/>
          <w:szCs w:val="24"/>
        </w:rPr>
      </w:pPr>
    </w:p>
    <w:p w:rsidR="00480CDC" w:rsidRPr="00D873D9" w:rsidRDefault="00125FEA">
      <w:pPr>
        <w:pStyle w:val="BodyText"/>
        <w:rPr>
          <w:rFonts w:ascii="Times New Roman" w:hAnsi="Times New Roman"/>
        </w:rPr>
      </w:pPr>
      <w:r w:rsidRPr="00D873D9">
        <w:rPr>
          <w:rFonts w:ascii="Times New Roman" w:hAnsi="Times New Roman"/>
          <w:szCs w:val="24"/>
        </w:rPr>
        <w:t>T</w:t>
      </w:r>
      <w:r w:rsidR="003E5F35" w:rsidRPr="00D873D9">
        <w:rPr>
          <w:rFonts w:ascii="Times New Roman" w:hAnsi="Times New Roman"/>
          <w:szCs w:val="24"/>
        </w:rPr>
        <w:t xml:space="preserve">he total estimated annual reporting cost to the </w:t>
      </w:r>
      <w:r w:rsidR="003E5F35" w:rsidRPr="00D873D9">
        <w:rPr>
          <w:rFonts w:ascii="Times New Roman" w:hAnsi="Times New Roman"/>
          <w:color w:val="000000"/>
          <w:szCs w:val="24"/>
        </w:rPr>
        <w:t xml:space="preserve">public for these reporting forms is </w:t>
      </w:r>
      <w:r w:rsidR="000C5F68" w:rsidRPr="00D873D9">
        <w:rPr>
          <w:rFonts w:ascii="Times New Roman" w:hAnsi="Times New Roman"/>
          <w:color w:val="000000"/>
          <w:szCs w:val="24"/>
        </w:rPr>
        <w:t>$148,30</w:t>
      </w:r>
      <w:r w:rsidR="009F3AD8" w:rsidRPr="00D873D9">
        <w:rPr>
          <w:rFonts w:ascii="Times New Roman" w:hAnsi="Times New Roman"/>
          <w:color w:val="000000"/>
          <w:szCs w:val="24"/>
        </w:rPr>
        <w:t>3</w:t>
      </w:r>
      <w:r w:rsidR="00DC3901" w:rsidRPr="00D873D9">
        <w:rPr>
          <w:rFonts w:ascii="Times New Roman" w:hAnsi="Times New Roman"/>
          <w:color w:val="000000"/>
          <w:szCs w:val="24"/>
        </w:rPr>
        <w:t>.</w:t>
      </w:r>
      <w:r w:rsidR="000C5F68" w:rsidRPr="00D873D9">
        <w:rPr>
          <w:rFonts w:ascii="Times New Roman" w:hAnsi="Times New Roman"/>
          <w:color w:val="000000"/>
          <w:szCs w:val="24"/>
        </w:rPr>
        <w:t xml:space="preserve"> </w:t>
      </w:r>
      <w:r w:rsidR="002A479E" w:rsidRPr="00D873D9">
        <w:rPr>
          <w:rStyle w:val="FootnoteReference"/>
          <w:rFonts w:ascii="Times New Roman" w:hAnsi="Times New Roman"/>
        </w:rPr>
        <w:footnoteReference w:id="1"/>
      </w:r>
      <w:r w:rsidR="00480CDC" w:rsidRPr="00D873D9">
        <w:rPr>
          <w:rFonts w:ascii="Times New Roman" w:hAnsi="Times New Roman"/>
        </w:rPr>
        <w:t xml:space="preserve">     </w:t>
      </w:r>
    </w:p>
    <w:p w:rsidR="00377034" w:rsidRPr="00D873D9" w:rsidRDefault="00377034">
      <w:pPr>
        <w:pStyle w:val="Heading4"/>
        <w:spacing w:before="0" w:after="0"/>
        <w:rPr>
          <w:rFonts w:ascii="Times New Roman" w:hAnsi="Times New Roman"/>
        </w:rPr>
      </w:pPr>
    </w:p>
    <w:p w:rsidR="00480CDC" w:rsidRPr="00D873D9" w:rsidRDefault="00D72366">
      <w:pPr>
        <w:rPr>
          <w:b/>
          <w:sz w:val="24"/>
        </w:rPr>
      </w:pPr>
      <w:r w:rsidRPr="00D873D9">
        <w:rPr>
          <w:b/>
          <w:sz w:val="24"/>
          <w:szCs w:val="24"/>
        </w:rPr>
        <w:t xml:space="preserve">Estimate of </w:t>
      </w:r>
      <w:r w:rsidR="00480CDC" w:rsidRPr="00D873D9">
        <w:rPr>
          <w:b/>
          <w:sz w:val="24"/>
        </w:rPr>
        <w:t>Cost to the Federal Reserve System</w:t>
      </w:r>
    </w:p>
    <w:p w:rsidR="00480CDC" w:rsidRPr="00D873D9" w:rsidRDefault="00480CDC">
      <w:pPr>
        <w:rPr>
          <w:b/>
          <w:sz w:val="24"/>
        </w:rPr>
      </w:pPr>
    </w:p>
    <w:p w:rsidR="00480CDC" w:rsidRPr="00D873D9" w:rsidRDefault="00480CDC">
      <w:pPr>
        <w:rPr>
          <w:sz w:val="24"/>
        </w:rPr>
      </w:pPr>
      <w:r w:rsidRPr="00D873D9">
        <w:rPr>
          <w:sz w:val="24"/>
        </w:rPr>
        <w:t xml:space="preserve">     </w:t>
      </w:r>
      <w:r w:rsidRPr="00D873D9">
        <w:rPr>
          <w:sz w:val="24"/>
        </w:rPr>
        <w:tab/>
      </w:r>
      <w:r w:rsidR="00DC096B" w:rsidRPr="00D873D9">
        <w:rPr>
          <w:sz w:val="24"/>
        </w:rPr>
        <w:tab/>
      </w:r>
      <w:r w:rsidRPr="00D873D9">
        <w:rPr>
          <w:sz w:val="24"/>
        </w:rPr>
        <w:t>The cost of collecting and processing the FR 3036 data is estimated at $600,000.</w:t>
      </w:r>
    </w:p>
    <w:p w:rsidR="00480CDC" w:rsidRPr="00D873D9" w:rsidRDefault="00480CDC">
      <w:pPr>
        <w:pStyle w:val="Heading1"/>
      </w:pPr>
    </w:p>
    <w:p w:rsidR="00480CDC" w:rsidRPr="00D873D9" w:rsidRDefault="00480CDC">
      <w:pPr>
        <w:pStyle w:val="Heading1"/>
      </w:pPr>
      <w:r w:rsidRPr="00D873D9">
        <w:t xml:space="preserve">Attachments  </w:t>
      </w:r>
    </w:p>
    <w:p w:rsidR="00480CDC" w:rsidRDefault="00480CDC"/>
    <w:sectPr w:rsidR="00480CDC" w:rsidSect="007E4144">
      <w:footerReference w:type="even" r:id="rId9"/>
      <w:footerReference w:type="default" r:id="rId10"/>
      <w:headerReference w:type="first" r:id="rId11"/>
      <w:type w:val="continuous"/>
      <w:pgSz w:w="12240" w:h="15840" w:code="1"/>
      <w:pgMar w:top="1440" w:right="1440" w:bottom="1440" w:left="1440" w:header="1282" w:footer="1440" w:gutter="0"/>
      <w:cols w:space="720"/>
      <w:formProt w:val="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12D" w:rsidRDefault="00FC512D" w:rsidP="00926B45">
      <w:r>
        <w:separator/>
      </w:r>
    </w:p>
  </w:endnote>
  <w:endnote w:type="continuationSeparator" w:id="0">
    <w:p w:rsidR="00FC512D" w:rsidRDefault="00FC512D" w:rsidP="00926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2D" w:rsidRDefault="009F2BC6">
    <w:pPr>
      <w:pStyle w:val="Footer"/>
      <w:framePr w:wrap="around" w:vAnchor="text" w:hAnchor="margin" w:xAlign="center" w:y="1"/>
      <w:rPr>
        <w:rStyle w:val="PageNumber"/>
      </w:rPr>
    </w:pPr>
    <w:r>
      <w:rPr>
        <w:rStyle w:val="PageNumber"/>
      </w:rPr>
      <w:fldChar w:fldCharType="begin"/>
    </w:r>
    <w:r w:rsidR="00FC512D">
      <w:rPr>
        <w:rStyle w:val="PageNumber"/>
      </w:rPr>
      <w:instrText xml:space="preserve">PAGE  </w:instrText>
    </w:r>
    <w:r>
      <w:rPr>
        <w:rStyle w:val="PageNumber"/>
      </w:rPr>
      <w:fldChar w:fldCharType="separate"/>
    </w:r>
    <w:r w:rsidR="00FC512D">
      <w:rPr>
        <w:rStyle w:val="PageNumber"/>
        <w:noProof/>
      </w:rPr>
      <w:t>1</w:t>
    </w:r>
    <w:r>
      <w:rPr>
        <w:rStyle w:val="PageNumber"/>
      </w:rPr>
      <w:fldChar w:fldCharType="end"/>
    </w:r>
  </w:p>
  <w:p w:rsidR="00FC512D" w:rsidRDefault="00FC5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2D" w:rsidRDefault="009F2BC6">
    <w:pPr>
      <w:pStyle w:val="Footer"/>
      <w:framePr w:wrap="around" w:vAnchor="text" w:hAnchor="margin" w:xAlign="center" w:y="1"/>
      <w:rPr>
        <w:rStyle w:val="PageNumber"/>
      </w:rPr>
    </w:pPr>
    <w:r>
      <w:rPr>
        <w:rStyle w:val="PageNumber"/>
      </w:rPr>
      <w:fldChar w:fldCharType="begin"/>
    </w:r>
    <w:r w:rsidR="00FC512D">
      <w:rPr>
        <w:rStyle w:val="PageNumber"/>
      </w:rPr>
      <w:instrText xml:space="preserve">PAGE  </w:instrText>
    </w:r>
    <w:r>
      <w:rPr>
        <w:rStyle w:val="PageNumber"/>
      </w:rPr>
      <w:fldChar w:fldCharType="separate"/>
    </w:r>
    <w:r w:rsidR="00B96FF9">
      <w:rPr>
        <w:rStyle w:val="PageNumber"/>
        <w:noProof/>
      </w:rPr>
      <w:t>2</w:t>
    </w:r>
    <w:r>
      <w:rPr>
        <w:rStyle w:val="PageNumber"/>
      </w:rPr>
      <w:fldChar w:fldCharType="end"/>
    </w:r>
  </w:p>
  <w:p w:rsidR="00FC512D" w:rsidRDefault="00FC5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12D" w:rsidRDefault="00FC512D" w:rsidP="00926B45">
      <w:r>
        <w:separator/>
      </w:r>
    </w:p>
  </w:footnote>
  <w:footnote w:type="continuationSeparator" w:id="0">
    <w:p w:rsidR="00FC512D" w:rsidRDefault="00FC512D" w:rsidP="00926B45">
      <w:r>
        <w:continuationSeparator/>
      </w:r>
    </w:p>
  </w:footnote>
  <w:footnote w:id="1">
    <w:p w:rsidR="00FC512D" w:rsidRPr="00A93EBF" w:rsidRDefault="00FC512D" w:rsidP="00113C56">
      <w:pPr>
        <w:pStyle w:val="FootnoteText"/>
      </w:pPr>
      <w:r>
        <w:rPr>
          <w:rStyle w:val="FootnoteReference"/>
        </w:rPr>
        <w:footnoteRef/>
      </w:r>
      <w:r>
        <w:t xml:space="preserve"> </w:t>
      </w:r>
      <w:r w:rsidRPr="00F37AF1">
        <w:t xml:space="preserve">Total cost </w:t>
      </w:r>
      <w:r>
        <w:t xml:space="preserve">to the public </w:t>
      </w:r>
      <w:r w:rsidRPr="00F37AF1">
        <w:t xml:space="preserve">was estimated using the following formula.  Percent of staff time, multiplied by </w:t>
      </w:r>
      <w:r>
        <w:t xml:space="preserve">proposed </w:t>
      </w:r>
      <w:r w:rsidRPr="00F37AF1">
        <w:t xml:space="preserve">annual burden hours, multiplied by hourly rate: </w:t>
      </w:r>
      <w:r>
        <w:t>7</w:t>
      </w:r>
      <w:r w:rsidRPr="00F37AF1">
        <w:t>0</w:t>
      </w:r>
      <w:proofErr w:type="gramStart"/>
      <w:r w:rsidRPr="00F37AF1">
        <w:t>%  Managerial</w:t>
      </w:r>
      <w:proofErr w:type="gramEnd"/>
      <w:r w:rsidRPr="00F37AF1">
        <w:t xml:space="preserve"> or Technical @ $55</w:t>
      </w:r>
      <w:r>
        <w:t xml:space="preserve"> and</w:t>
      </w:r>
      <w:r w:rsidRPr="00F37AF1">
        <w:t xml:space="preserve"> </w:t>
      </w:r>
      <w:r>
        <w:t>30</w:t>
      </w:r>
      <w:r w:rsidRPr="00F37AF1">
        <w:t>%  Senior Management @ $100.</w:t>
      </w:r>
      <w:r>
        <w:t xml:space="preserve">  </w:t>
      </w:r>
      <w:r w:rsidRPr="00F21CE5">
        <w:rPr>
          <w:color w:val="000000"/>
        </w:rPr>
        <w:t>Hourly rate estimates for each occupational group are averages using data from the Bureau of Labor and Statistics (BLS), Occupational Employment and Wages 2007, http://www.bls.gov/news.release/</w:t>
      </w:r>
      <w:proofErr w:type="gramStart"/>
      <w:r w:rsidRPr="00F21CE5">
        <w:rPr>
          <w:color w:val="000000"/>
        </w:rPr>
        <w:t>ocwage.nr0.htm  Occupations</w:t>
      </w:r>
      <w:proofErr w:type="gramEnd"/>
      <w:r w:rsidRPr="00F21CE5">
        <w:rPr>
          <w:color w:val="000000"/>
        </w:rPr>
        <w:t xml:space="preserve"> are defined using the BLS Occupational Classification System,  </w:t>
      </w:r>
      <w:hyperlink r:id="rId1" w:history="1">
        <w:r w:rsidRPr="00FA525C">
          <w:rPr>
            <w:rStyle w:val="Hyperlink"/>
          </w:rPr>
          <w:t>http://www.bls.gov/soc/</w:t>
        </w:r>
      </w:hyperlink>
      <w:r>
        <w:rPr>
          <w:color w:val="000000"/>
        </w:rPr>
        <w:t xml:space="preserve"> .</w:t>
      </w:r>
      <w:r w:rsidRPr="00A93EBF">
        <w:rPr>
          <w:color w:val="000000"/>
        </w:rPr>
        <w:t>.</w:t>
      </w:r>
    </w:p>
    <w:p w:rsidR="00FC512D" w:rsidRDefault="00FC512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2D" w:rsidRPr="00D14605" w:rsidRDefault="00FC512D" w:rsidP="00D14605">
    <w:pPr>
      <w:pStyle w:val="Header"/>
      <w:jc w:val="right"/>
      <w:rPr>
        <w:rFonts w:ascii="Times New Roman" w:hAnsi="Times New Roman"/>
        <w:b/>
      </w:rPr>
    </w:pPr>
  </w:p>
  <w:p w:rsidR="00FC512D" w:rsidRDefault="00FC51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91949"/>
    <w:multiLevelType w:val="singleLevel"/>
    <w:tmpl w:val="6706EA4C"/>
    <w:lvl w:ilvl="0">
      <w:start w:val="1"/>
      <w:numFmt w:val="decimal"/>
      <w:lvlText w:val="%1."/>
      <w:lvlJc w:val="left"/>
      <w:pPr>
        <w:tabs>
          <w:tab w:val="num" w:pos="435"/>
        </w:tabs>
        <w:ind w:left="435" w:hanging="435"/>
      </w:pPr>
      <w:rPr>
        <w:rFonts w:hint="default"/>
      </w:rPr>
    </w:lvl>
  </w:abstractNum>
  <w:abstractNum w:abstractNumId="1">
    <w:nsid w:val="46446FB3"/>
    <w:multiLevelType w:val="hybridMultilevel"/>
    <w:tmpl w:val="576680D0"/>
    <w:lvl w:ilvl="0" w:tplc="08A0411C">
      <w:start w:val="1"/>
      <w:numFmt w:val="bullet"/>
      <w:pStyle w:val="Bulletpoint"/>
      <w:lvlText w:val=""/>
      <w:lvlJc w:val="left"/>
      <w:pPr>
        <w:tabs>
          <w:tab w:val="num" w:pos="851"/>
        </w:tabs>
        <w:ind w:left="851" w:hanging="851"/>
      </w:pPr>
      <w:rPr>
        <w:rFonts w:ascii="Symbol" w:hAnsi="Symbol" w:hint="default"/>
        <w:color w:val="auto"/>
      </w:rPr>
    </w:lvl>
    <w:lvl w:ilvl="1" w:tplc="B5AC37FC">
      <w:start w:val="1"/>
      <w:numFmt w:val="bullet"/>
      <w:lvlText w:val="–"/>
      <w:lvlJc w:val="left"/>
      <w:pPr>
        <w:tabs>
          <w:tab w:val="num" w:pos="1931"/>
        </w:tabs>
        <w:ind w:left="193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AA9072F"/>
    <w:multiLevelType w:val="hybridMultilevel"/>
    <w:tmpl w:val="9C96A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6E3483"/>
    <w:multiLevelType w:val="singleLevel"/>
    <w:tmpl w:val="911685C6"/>
    <w:lvl w:ilvl="0">
      <w:start w:val="1"/>
      <w:numFmt w:val="decimal"/>
      <w:lvlText w:val="%1."/>
      <w:lvlJc w:val="left"/>
      <w:pPr>
        <w:tabs>
          <w:tab w:val="num" w:pos="435"/>
        </w:tabs>
        <w:ind w:left="435" w:hanging="435"/>
      </w:pPr>
      <w:rPr>
        <w:rFonts w:hint="default"/>
      </w:rPr>
    </w:lvl>
  </w:abstractNum>
  <w:abstractNum w:abstractNumId="4">
    <w:nsid w:val="75AB7BC0"/>
    <w:multiLevelType w:val="hybridMultilevel"/>
    <w:tmpl w:val="357AFE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6A19"/>
    <w:rsid w:val="000024AE"/>
    <w:rsid w:val="00004C31"/>
    <w:rsid w:val="000113EA"/>
    <w:rsid w:val="00021A3A"/>
    <w:rsid w:val="00080376"/>
    <w:rsid w:val="000845C8"/>
    <w:rsid w:val="00096067"/>
    <w:rsid w:val="000A6470"/>
    <w:rsid w:val="000A79D6"/>
    <w:rsid w:val="000C5F68"/>
    <w:rsid w:val="0011275A"/>
    <w:rsid w:val="00113C56"/>
    <w:rsid w:val="00117124"/>
    <w:rsid w:val="00125FEA"/>
    <w:rsid w:val="00130A20"/>
    <w:rsid w:val="00162D9D"/>
    <w:rsid w:val="00164C95"/>
    <w:rsid w:val="0016646B"/>
    <w:rsid w:val="0017138A"/>
    <w:rsid w:val="001740FF"/>
    <w:rsid w:val="0018041F"/>
    <w:rsid w:val="00180FC6"/>
    <w:rsid w:val="00195EE6"/>
    <w:rsid w:val="001A7639"/>
    <w:rsid w:val="001E4983"/>
    <w:rsid w:val="001E5077"/>
    <w:rsid w:val="00214144"/>
    <w:rsid w:val="00214763"/>
    <w:rsid w:val="002304A7"/>
    <w:rsid w:val="002749A7"/>
    <w:rsid w:val="00276AFC"/>
    <w:rsid w:val="0028648C"/>
    <w:rsid w:val="00295472"/>
    <w:rsid w:val="002A479E"/>
    <w:rsid w:val="002E6ACE"/>
    <w:rsid w:val="002F755D"/>
    <w:rsid w:val="00306F47"/>
    <w:rsid w:val="00317250"/>
    <w:rsid w:val="00333391"/>
    <w:rsid w:val="003343CC"/>
    <w:rsid w:val="00345152"/>
    <w:rsid w:val="00377034"/>
    <w:rsid w:val="00387963"/>
    <w:rsid w:val="003D18D1"/>
    <w:rsid w:val="003E5F35"/>
    <w:rsid w:val="00413CE7"/>
    <w:rsid w:val="00422150"/>
    <w:rsid w:val="0043294C"/>
    <w:rsid w:val="004576CD"/>
    <w:rsid w:val="004662AD"/>
    <w:rsid w:val="00474794"/>
    <w:rsid w:val="00477E00"/>
    <w:rsid w:val="00480CDC"/>
    <w:rsid w:val="00484040"/>
    <w:rsid w:val="004A24FF"/>
    <w:rsid w:val="004C55CC"/>
    <w:rsid w:val="004C617D"/>
    <w:rsid w:val="004E33DE"/>
    <w:rsid w:val="005067C2"/>
    <w:rsid w:val="00527D3B"/>
    <w:rsid w:val="005441C7"/>
    <w:rsid w:val="005514FD"/>
    <w:rsid w:val="00555E57"/>
    <w:rsid w:val="005666EB"/>
    <w:rsid w:val="00581053"/>
    <w:rsid w:val="005876E0"/>
    <w:rsid w:val="005A100D"/>
    <w:rsid w:val="005B1C30"/>
    <w:rsid w:val="005D3C23"/>
    <w:rsid w:val="005D5A6E"/>
    <w:rsid w:val="005E776A"/>
    <w:rsid w:val="005F0883"/>
    <w:rsid w:val="005F5CC4"/>
    <w:rsid w:val="005F6014"/>
    <w:rsid w:val="00611E83"/>
    <w:rsid w:val="00642ED4"/>
    <w:rsid w:val="006640ED"/>
    <w:rsid w:val="00674F37"/>
    <w:rsid w:val="00684C73"/>
    <w:rsid w:val="006A160C"/>
    <w:rsid w:val="006C1DD8"/>
    <w:rsid w:val="006F643C"/>
    <w:rsid w:val="007109A0"/>
    <w:rsid w:val="00717728"/>
    <w:rsid w:val="00726DB7"/>
    <w:rsid w:val="00755C35"/>
    <w:rsid w:val="00770CAF"/>
    <w:rsid w:val="007713B1"/>
    <w:rsid w:val="00783888"/>
    <w:rsid w:val="007C2296"/>
    <w:rsid w:val="007C59FA"/>
    <w:rsid w:val="007E4144"/>
    <w:rsid w:val="007E460A"/>
    <w:rsid w:val="007F3215"/>
    <w:rsid w:val="007F5FC0"/>
    <w:rsid w:val="00823794"/>
    <w:rsid w:val="00845EBB"/>
    <w:rsid w:val="00855666"/>
    <w:rsid w:val="008A5A7B"/>
    <w:rsid w:val="008D343E"/>
    <w:rsid w:val="008D5E47"/>
    <w:rsid w:val="008D7D4E"/>
    <w:rsid w:val="00926B45"/>
    <w:rsid w:val="00935773"/>
    <w:rsid w:val="00935C39"/>
    <w:rsid w:val="009418BD"/>
    <w:rsid w:val="00951B1D"/>
    <w:rsid w:val="00971962"/>
    <w:rsid w:val="00981A08"/>
    <w:rsid w:val="0098670D"/>
    <w:rsid w:val="009D1DD4"/>
    <w:rsid w:val="009D363D"/>
    <w:rsid w:val="009D563D"/>
    <w:rsid w:val="009F2BC6"/>
    <w:rsid w:val="009F3AD8"/>
    <w:rsid w:val="00A021D1"/>
    <w:rsid w:val="00A54F45"/>
    <w:rsid w:val="00A8346A"/>
    <w:rsid w:val="00A9048F"/>
    <w:rsid w:val="00AD7E01"/>
    <w:rsid w:val="00AE4CF7"/>
    <w:rsid w:val="00B56B7B"/>
    <w:rsid w:val="00B7006F"/>
    <w:rsid w:val="00B744A2"/>
    <w:rsid w:val="00B74E6F"/>
    <w:rsid w:val="00B83E22"/>
    <w:rsid w:val="00B93591"/>
    <w:rsid w:val="00B96FF9"/>
    <w:rsid w:val="00BB0095"/>
    <w:rsid w:val="00BB0677"/>
    <w:rsid w:val="00BB6D90"/>
    <w:rsid w:val="00BF6EC4"/>
    <w:rsid w:val="00BF7951"/>
    <w:rsid w:val="00C0370E"/>
    <w:rsid w:val="00C13AD0"/>
    <w:rsid w:val="00C45451"/>
    <w:rsid w:val="00C7232D"/>
    <w:rsid w:val="00CC4AEB"/>
    <w:rsid w:val="00D0015D"/>
    <w:rsid w:val="00D04245"/>
    <w:rsid w:val="00D14605"/>
    <w:rsid w:val="00D33E9B"/>
    <w:rsid w:val="00D67E81"/>
    <w:rsid w:val="00D7144F"/>
    <w:rsid w:val="00D72366"/>
    <w:rsid w:val="00D77BEF"/>
    <w:rsid w:val="00D873D9"/>
    <w:rsid w:val="00DC096B"/>
    <w:rsid w:val="00DC3901"/>
    <w:rsid w:val="00DC5A48"/>
    <w:rsid w:val="00DF4114"/>
    <w:rsid w:val="00E23FFC"/>
    <w:rsid w:val="00E27C37"/>
    <w:rsid w:val="00E31B00"/>
    <w:rsid w:val="00E323EC"/>
    <w:rsid w:val="00E367E6"/>
    <w:rsid w:val="00E42503"/>
    <w:rsid w:val="00E730F2"/>
    <w:rsid w:val="00E73601"/>
    <w:rsid w:val="00E74ECD"/>
    <w:rsid w:val="00F01B64"/>
    <w:rsid w:val="00F2008F"/>
    <w:rsid w:val="00F20B1F"/>
    <w:rsid w:val="00F21CE5"/>
    <w:rsid w:val="00F23348"/>
    <w:rsid w:val="00F30EFC"/>
    <w:rsid w:val="00F7407D"/>
    <w:rsid w:val="00FC4271"/>
    <w:rsid w:val="00FC512D"/>
    <w:rsid w:val="00FD11E2"/>
    <w:rsid w:val="00FF6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44"/>
  </w:style>
  <w:style w:type="paragraph" w:styleId="Heading1">
    <w:name w:val="heading 1"/>
    <w:basedOn w:val="Normal"/>
    <w:next w:val="Normal"/>
    <w:qFormat/>
    <w:rsid w:val="007E4144"/>
    <w:pPr>
      <w:keepNext/>
      <w:outlineLvl w:val="0"/>
    </w:pPr>
    <w:rPr>
      <w:sz w:val="24"/>
    </w:rPr>
  </w:style>
  <w:style w:type="paragraph" w:styleId="Heading4">
    <w:name w:val="heading 4"/>
    <w:basedOn w:val="Normal"/>
    <w:next w:val="Normal"/>
    <w:qFormat/>
    <w:rsid w:val="007E4144"/>
    <w:pPr>
      <w:keepNext/>
      <w:widowControl w:val="0"/>
      <w:spacing w:before="240" w:after="60"/>
      <w:outlineLvl w:val="3"/>
    </w:pPr>
    <w:rPr>
      <w:rFonts w:ascii="Courier New" w:hAnsi="Courier New"/>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144"/>
    <w:pPr>
      <w:widowControl w:val="0"/>
      <w:tabs>
        <w:tab w:val="center" w:pos="4320"/>
        <w:tab w:val="right" w:pos="8640"/>
      </w:tabs>
    </w:pPr>
    <w:rPr>
      <w:rFonts w:ascii="Courier New" w:hAnsi="Courier New"/>
      <w:snapToGrid w:val="0"/>
      <w:sz w:val="24"/>
    </w:rPr>
  </w:style>
  <w:style w:type="character" w:styleId="FootnoteReference">
    <w:name w:val="footnote reference"/>
    <w:semiHidden/>
    <w:rsid w:val="007E4144"/>
    <w:rPr>
      <w:rFonts w:ascii="Courier New" w:hAnsi="Courier New"/>
      <w:noProof w:val="0"/>
      <w:sz w:val="24"/>
      <w:vertAlign w:val="superscript"/>
      <w:lang w:val="en-US"/>
    </w:rPr>
  </w:style>
  <w:style w:type="paragraph" w:styleId="BodyText">
    <w:name w:val="Body Text"/>
    <w:basedOn w:val="Normal"/>
    <w:rsid w:val="007E4144"/>
    <w:rPr>
      <w:rFonts w:ascii="Courier New" w:hAnsi="Courier New"/>
      <w:sz w:val="24"/>
    </w:rPr>
  </w:style>
  <w:style w:type="paragraph" w:styleId="Title">
    <w:name w:val="Title"/>
    <w:basedOn w:val="Normal"/>
    <w:qFormat/>
    <w:rsid w:val="007E4144"/>
    <w:pPr>
      <w:jc w:val="center"/>
    </w:pPr>
    <w:rPr>
      <w:rFonts w:ascii="Times" w:hAnsi="Times"/>
      <w:b/>
      <w:sz w:val="30"/>
    </w:rPr>
  </w:style>
  <w:style w:type="paragraph" w:styleId="Footer">
    <w:name w:val="footer"/>
    <w:basedOn w:val="Normal"/>
    <w:rsid w:val="007E4144"/>
    <w:pPr>
      <w:tabs>
        <w:tab w:val="center" w:pos="4320"/>
        <w:tab w:val="right" w:pos="8640"/>
      </w:tabs>
    </w:pPr>
  </w:style>
  <w:style w:type="character" w:styleId="PageNumber">
    <w:name w:val="page number"/>
    <w:basedOn w:val="DefaultParagraphFont"/>
    <w:rsid w:val="007E4144"/>
  </w:style>
  <w:style w:type="paragraph" w:styleId="BodyTextIndent">
    <w:name w:val="Body Text Indent"/>
    <w:basedOn w:val="Normal"/>
    <w:rsid w:val="007E4144"/>
    <w:pPr>
      <w:ind w:firstLine="720"/>
    </w:pPr>
    <w:rPr>
      <w:rFonts w:ascii="Times" w:hAnsi="Times"/>
      <w:sz w:val="24"/>
    </w:rPr>
  </w:style>
  <w:style w:type="paragraph" w:customStyle="1" w:styleId="Bulletpoint">
    <w:name w:val="Bullet point"/>
    <w:basedOn w:val="Normal"/>
    <w:rsid w:val="0028648C"/>
    <w:pPr>
      <w:numPr>
        <w:numId w:val="4"/>
      </w:numPr>
      <w:spacing w:after="120"/>
      <w:jc w:val="both"/>
    </w:pPr>
    <w:rPr>
      <w:rFonts w:ascii="Arial" w:hAnsi="Arial"/>
      <w:sz w:val="22"/>
      <w:lang w:val="en-GB"/>
    </w:rPr>
  </w:style>
  <w:style w:type="paragraph" w:styleId="BalloonText">
    <w:name w:val="Balloon Text"/>
    <w:basedOn w:val="Normal"/>
    <w:semiHidden/>
    <w:rsid w:val="007C2296"/>
    <w:rPr>
      <w:rFonts w:ascii="Tahoma" w:hAnsi="Tahoma" w:cs="Tahoma"/>
      <w:sz w:val="16"/>
      <w:szCs w:val="16"/>
    </w:rPr>
  </w:style>
  <w:style w:type="character" w:styleId="CommentReference">
    <w:name w:val="annotation reference"/>
    <w:basedOn w:val="DefaultParagraphFont"/>
    <w:semiHidden/>
    <w:rsid w:val="007C2296"/>
    <w:rPr>
      <w:sz w:val="16"/>
      <w:szCs w:val="16"/>
    </w:rPr>
  </w:style>
  <w:style w:type="paragraph" w:styleId="CommentText">
    <w:name w:val="annotation text"/>
    <w:basedOn w:val="Normal"/>
    <w:semiHidden/>
    <w:rsid w:val="007C2296"/>
  </w:style>
  <w:style w:type="paragraph" w:styleId="CommentSubject">
    <w:name w:val="annotation subject"/>
    <w:basedOn w:val="CommentText"/>
    <w:next w:val="CommentText"/>
    <w:semiHidden/>
    <w:rsid w:val="007C2296"/>
    <w:rPr>
      <w:b/>
      <w:bCs/>
    </w:rPr>
  </w:style>
  <w:style w:type="paragraph" w:styleId="FootnoteText">
    <w:name w:val="footnote text"/>
    <w:basedOn w:val="Normal"/>
    <w:semiHidden/>
    <w:rsid w:val="00113C56"/>
  </w:style>
  <w:style w:type="paragraph" w:customStyle="1" w:styleId="MemoHeader">
    <w:name w:val="Memo Header"/>
    <w:basedOn w:val="Normal"/>
    <w:next w:val="Normal"/>
    <w:rsid w:val="00113C56"/>
    <w:rPr>
      <w:rFonts w:ascii="Arial" w:hAnsi="Arial"/>
      <w:smallCaps/>
      <w:sz w:val="24"/>
    </w:rPr>
  </w:style>
  <w:style w:type="character" w:styleId="Hyperlink">
    <w:name w:val="Hyperlink"/>
    <w:basedOn w:val="DefaultParagraphFont"/>
    <w:uiPriority w:val="99"/>
    <w:unhideWhenUsed/>
    <w:rsid w:val="00276AFC"/>
    <w:rPr>
      <w:color w:val="0000FF"/>
      <w:u w:val="single"/>
    </w:rPr>
  </w:style>
  <w:style w:type="paragraph" w:styleId="ListParagraph">
    <w:name w:val="List Paragraph"/>
    <w:basedOn w:val="Normal"/>
    <w:uiPriority w:val="34"/>
    <w:qFormat/>
    <w:rsid w:val="00317250"/>
    <w:pPr>
      <w:ind w:left="720"/>
    </w:pPr>
  </w:style>
  <w:style w:type="character" w:customStyle="1" w:styleId="HeaderChar">
    <w:name w:val="Header Char"/>
    <w:basedOn w:val="DefaultParagraphFont"/>
    <w:link w:val="Header"/>
    <w:uiPriority w:val="99"/>
    <w:rsid w:val="005D3C23"/>
    <w:rPr>
      <w:rFonts w:ascii="Courier New" w:hAnsi="Courier New"/>
      <w:snapToGrid w:val="0"/>
      <w:sz w:val="24"/>
    </w:rPr>
  </w:style>
  <w:style w:type="character" w:styleId="FollowedHyperlink">
    <w:name w:val="FollowedHyperlink"/>
    <w:basedOn w:val="DefaultParagraphFont"/>
    <w:uiPriority w:val="99"/>
    <w:semiHidden/>
    <w:unhideWhenUsed/>
    <w:rsid w:val="00D1460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reserve.gov/report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F80D-9256-4D5F-A584-02E26286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Summary</vt:lpstr>
    </vt:vector>
  </TitlesOfParts>
  <Company>FRBNY</Company>
  <LinksUpToDate>false</LinksUpToDate>
  <CharactersWithSpaces>9337</CharactersWithSpaces>
  <SharedDoc>false</SharedDoc>
  <HLinks>
    <vt:vector size="12" baseType="variant">
      <vt:variant>
        <vt:i4>8126497</vt:i4>
      </vt:variant>
      <vt:variant>
        <vt:i4>0</vt:i4>
      </vt:variant>
      <vt:variant>
        <vt:i4>0</vt:i4>
      </vt:variant>
      <vt:variant>
        <vt:i4>5</vt:i4>
      </vt:variant>
      <vt:variant>
        <vt:lpwstr>http://www.federalreserve.gov/reportforms/</vt:lpwstr>
      </vt:variant>
      <vt:variant>
        <vt:lpwstr/>
      </vt:variant>
      <vt:variant>
        <vt:i4>3866685</vt:i4>
      </vt:variant>
      <vt:variant>
        <vt:i4>0</vt:i4>
      </vt:variant>
      <vt:variant>
        <vt:i4>0</vt:i4>
      </vt:variant>
      <vt:variant>
        <vt:i4>5</vt:i4>
      </vt:variant>
      <vt:variant>
        <vt:lpwstr>http://www.bls.gov/soc/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FRBNY</dc:creator>
  <cp:keywords/>
  <dc:description/>
  <cp:lastModifiedBy>Cindy Ayouch</cp:lastModifiedBy>
  <cp:revision>2</cp:revision>
  <cp:lastPrinted>2009-11-23T17:27:00Z</cp:lastPrinted>
  <dcterms:created xsi:type="dcterms:W3CDTF">2010-01-19T16:20:00Z</dcterms:created>
  <dcterms:modified xsi:type="dcterms:W3CDTF">2010-01-19T16:20:00Z</dcterms:modified>
</cp:coreProperties>
</file>