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19" w:rsidRDefault="00F03119">
      <w:pPr>
        <w:pStyle w:val="Heading4"/>
        <w:rPr>
          <w:rFonts w:ascii="Times New Roman" w:hAnsi="Times New Roman"/>
          <w:bCs/>
        </w:rPr>
      </w:pPr>
      <w:r>
        <w:rPr>
          <w:rFonts w:ascii="Times New Roman" w:hAnsi="Times New Roman"/>
        </w:rPr>
        <w:t xml:space="preserve">Paperwork Reduction Act Submission </w:t>
      </w:r>
      <w:r>
        <w:rPr>
          <w:rFonts w:ascii="Times New Roman" w:hAnsi="Times New Roman"/>
          <w:bCs/>
        </w:rPr>
        <w:t>Supporting Statement</w:t>
      </w:r>
    </w:p>
    <w:p w:rsidR="00F03119" w:rsidRDefault="00F03119"/>
    <w:p w:rsidR="00F03119" w:rsidRPr="00AD7693" w:rsidRDefault="00F03119" w:rsidP="000D27A4">
      <w:pPr>
        <w:pStyle w:val="Heading3"/>
        <w:rPr>
          <w:noProof/>
          <w:sz w:val="40"/>
          <w:szCs w:val="40"/>
        </w:rPr>
      </w:pPr>
      <w:r w:rsidRPr="00AD7693">
        <w:rPr>
          <w:sz w:val="40"/>
          <w:szCs w:val="40"/>
        </w:rPr>
        <w:t>Annual Mandatory Collection of Elementary and Secondary Education Data through ED</w:t>
      </w:r>
      <w:r w:rsidRPr="00AD7693">
        <w:rPr>
          <w:i/>
          <w:iCs/>
          <w:sz w:val="40"/>
          <w:szCs w:val="40"/>
        </w:rPr>
        <w:t>Facts</w:t>
      </w:r>
    </w:p>
    <w:p w:rsidR="000D27A4" w:rsidRPr="000D27A4" w:rsidRDefault="000D27A4" w:rsidP="000D27A4"/>
    <w:p w:rsidR="005613BD" w:rsidRDefault="005613BD"/>
    <w:p w:rsidR="00795F8B" w:rsidRDefault="005613BD" w:rsidP="00795F8B">
      <w:pPr>
        <w:spacing w:after="120"/>
      </w:pPr>
      <w:r>
        <w:t>ED</w:t>
      </w:r>
      <w:r w:rsidRPr="005613BD">
        <w:rPr>
          <w:i/>
        </w:rPr>
        <w:t>Facts</w:t>
      </w:r>
      <w:r w:rsidR="0023780C">
        <w:t>,</w:t>
      </w:r>
      <w:r>
        <w:t xml:space="preserve"> </w:t>
      </w:r>
      <w:r w:rsidR="0023780C">
        <w:t xml:space="preserve">the Department of Education’s centerpiece of information collection on elementary and secondary education, </w:t>
      </w:r>
      <w:r>
        <w:t>ha</w:t>
      </w:r>
      <w:r w:rsidR="00F03119">
        <w:t>s</w:t>
      </w:r>
      <w:r>
        <w:t xml:space="preserve"> </w:t>
      </w:r>
      <w:r w:rsidR="00F03119">
        <w:t>transform</w:t>
      </w:r>
      <w:r w:rsidR="0023780C">
        <w:t>ed</w:t>
      </w:r>
      <w:r w:rsidR="00F03119">
        <w:t xml:space="preserve"> how the Department collects, uses, and reports on a large volume of education information.  ED</w:t>
      </w:r>
      <w:r w:rsidR="00F03119">
        <w:rPr>
          <w:i/>
          <w:iCs/>
        </w:rPr>
        <w:t>Facts</w:t>
      </w:r>
      <w:r w:rsidR="00F03119">
        <w:t xml:space="preserve"> </w:t>
      </w:r>
      <w:r>
        <w:t>is</w:t>
      </w:r>
      <w:r w:rsidR="00F03119">
        <w:t xml:space="preserve"> a decidedly different approach to how the Department collaborates and interacts with institutional data providers and users at the elementary and secondary education levels.  </w:t>
      </w:r>
      <w:r w:rsidR="00DC42AA">
        <w:t>ED</w:t>
      </w:r>
      <w:r w:rsidR="00DC42AA" w:rsidRPr="00DC42AA">
        <w:rPr>
          <w:i/>
        </w:rPr>
        <w:t>Facts</w:t>
      </w:r>
      <w:r w:rsidR="00DC42AA">
        <w:t xml:space="preserve"> coordinates the collection of data across all the Department’s major elementary and secondary education programs, while allowing certain flexibilities of collection methodology appropriate to individual program needs.</w:t>
      </w:r>
      <w:r w:rsidR="00795F8B">
        <w:t xml:space="preserve">  The majority of ED</w:t>
      </w:r>
      <w:r w:rsidR="00795F8B" w:rsidRPr="00795F8B">
        <w:rPr>
          <w:i/>
        </w:rPr>
        <w:t>Facts</w:t>
      </w:r>
      <w:r w:rsidR="00795F8B">
        <w:t xml:space="preserve"> data is submitted by state education agencies, with data for certain areas submitted by local education agencies</w:t>
      </w:r>
      <w:r w:rsidR="005C24BF">
        <w:t>.</w:t>
      </w:r>
      <w:r w:rsidR="00DC42AA">
        <w:t xml:space="preserve">  </w:t>
      </w:r>
    </w:p>
    <w:p w:rsidR="00F03119" w:rsidRDefault="00282D07" w:rsidP="00795F8B">
      <w:pPr>
        <w:spacing w:after="120"/>
      </w:pPr>
      <w:r>
        <w:t xml:space="preserve">The collection, use, and reporting of education information and data has been an integral component of our mission, since the inception of the Department.  The Secretary has determined that complete, accurate, and reliable data are essential for effective decision-making and for implementing the requirements of the nation’s education laws.  </w:t>
      </w:r>
      <w:r w:rsidR="00795F8B">
        <w:t>ED</w:t>
      </w:r>
      <w:r w:rsidR="00795F8B" w:rsidRPr="00795F8B">
        <w:rPr>
          <w:i/>
        </w:rPr>
        <w:t>Facts</w:t>
      </w:r>
      <w:r w:rsidR="00F03119">
        <w:t xml:space="preserve"> is justified by the Department’s mission to </w:t>
      </w:r>
      <w:r w:rsidR="00F03119" w:rsidRPr="00282D07">
        <w:t>“…</w:t>
      </w:r>
      <w:r w:rsidR="00162D55">
        <w:rPr>
          <w:iCs/>
        </w:rPr>
        <w:t>promote student achievement and preparation for global competitiveness by fostering educational excellence and ensuring equal access</w:t>
      </w:r>
      <w:r w:rsidR="00F03119" w:rsidRPr="00282D07">
        <w:t>.</w:t>
      </w:r>
      <w:r w:rsidR="00F03119">
        <w:t>”</w:t>
      </w:r>
    </w:p>
    <w:p w:rsidR="00F03119" w:rsidRDefault="00F03119" w:rsidP="005C24BF">
      <w:pPr>
        <w:spacing w:after="120"/>
      </w:pPr>
      <w:r>
        <w:t>ED</w:t>
      </w:r>
      <w:r>
        <w:rPr>
          <w:i/>
          <w:iCs/>
        </w:rPr>
        <w:t>Facts</w:t>
      </w:r>
      <w:r>
        <w:t xml:space="preserve"> provide</w:t>
      </w:r>
      <w:r w:rsidR="005B3035">
        <w:t>s</w:t>
      </w:r>
      <w:r>
        <w:t xml:space="preserve"> to the Department and its constituents more comparable, timely, valid, and accurate information to better meet our mission.  The system provides a framework for assessing </w:t>
      </w:r>
      <w:r w:rsidR="0023780C">
        <w:t xml:space="preserve">and coordinating </w:t>
      </w:r>
      <w:r>
        <w:t xml:space="preserve">multiple information collections and provides </w:t>
      </w:r>
      <w:r w:rsidR="0023780C">
        <w:t xml:space="preserve">improved </w:t>
      </w:r>
      <w:r>
        <w:t xml:space="preserve">information for assessing multiple education program initiatives, as well as the condition of American education.  </w:t>
      </w:r>
      <w:r w:rsidR="0023780C">
        <w:t>T</w:t>
      </w:r>
      <w:r>
        <w:t xml:space="preserve">his </w:t>
      </w:r>
      <w:r w:rsidR="0023780C">
        <w:t xml:space="preserve">coordinated approach </w:t>
      </w:r>
      <w:r>
        <w:t>result</w:t>
      </w:r>
      <w:r w:rsidR="0023780C">
        <w:t>s</w:t>
      </w:r>
      <w:r>
        <w:t xml:space="preserve"> in </w:t>
      </w:r>
      <w:r w:rsidR="0023780C">
        <w:t xml:space="preserve">both </w:t>
      </w:r>
      <w:r>
        <w:t>better compliance with the Paperwork Reduction Act by limiting the quantity of information collection</w:t>
      </w:r>
      <w:r w:rsidR="0023780C">
        <w:t xml:space="preserve"> and,</w:t>
      </w:r>
      <w:r>
        <w:t xml:space="preserve"> equally important</w:t>
      </w:r>
      <w:r w:rsidR="0023780C">
        <w:t>, improved</w:t>
      </w:r>
      <w:r>
        <w:t xml:space="preserve"> quality of information.</w:t>
      </w:r>
    </w:p>
    <w:p w:rsidR="00282D07" w:rsidRDefault="00282D07" w:rsidP="00282D07">
      <w:pPr>
        <w:spacing w:after="120"/>
      </w:pPr>
      <w:r>
        <w:t xml:space="preserve">The Department currently administers programs that touch on every area and level of education.  The Department’s elementary and secondary programs annually serve </w:t>
      </w:r>
      <w:r w:rsidR="00DA3FEA">
        <w:t xml:space="preserve">approximately </w:t>
      </w:r>
      <w:r>
        <w:t>18,000 school districts and 5</w:t>
      </w:r>
      <w:r w:rsidR="007D6C14">
        <w:t>0</w:t>
      </w:r>
      <w:r>
        <w:t xml:space="preserve"> million students attending 100,000 public schools.</w:t>
      </w:r>
    </w:p>
    <w:p w:rsidR="00282D07" w:rsidRDefault="00282D07" w:rsidP="00282D07">
      <w:pPr>
        <w:spacing w:after="120"/>
      </w:pPr>
      <w:r>
        <w:t xml:space="preserve">The Department’s ability to collect, store, and manage education data efficiently through electronic means allows for easier submission by </w:t>
      </w:r>
      <w:r w:rsidR="00B30F59">
        <w:t>education units</w:t>
      </w:r>
      <w:r>
        <w:t xml:space="preserve"> and reduces duplication of collections and burdens on </w:t>
      </w:r>
      <w:r w:rsidR="00B30F59">
        <w:t>them</w:t>
      </w:r>
      <w:r>
        <w:t xml:space="preserve">.  It also facilitates the efficient use of data for analysis by program officials and other interested parties.  Implementation of the No Child Left Behind Act of 2001 (P.L. 107-110) (NCLB) requires that educators have accurate and reliable data and the knowledge needed to assess how close the </w:t>
      </w:r>
      <w:r w:rsidR="00DC7541">
        <w:t>n</w:t>
      </w:r>
      <w:r>
        <w:t>ation is to reaching the goal of ensuring that every child achieve to high academic standards.</w:t>
      </w:r>
      <w:r>
        <w:rPr>
          <w:rFonts w:ascii="Courier New" w:hAnsi="Courier New" w:cs="Courier New"/>
        </w:rPr>
        <w:t xml:space="preserve">  </w:t>
      </w:r>
    </w:p>
    <w:p w:rsidR="0023780C" w:rsidRDefault="0023780C" w:rsidP="0023780C">
      <w:r>
        <w:t>In November 2007, ED</w:t>
      </w:r>
      <w:r w:rsidRPr="00DC42AA">
        <w:rPr>
          <w:i/>
        </w:rPr>
        <w:t>Facts</w:t>
      </w:r>
      <w:r>
        <w:t xml:space="preserve"> received a three-year clearance through October 2010 as I.C. 1875-0240.  The Department’s 2009-10 data request from states will be collected </w:t>
      </w:r>
      <w:r>
        <w:lastRenderedPageBreak/>
        <w:t>under that clearance</w:t>
      </w:r>
      <w:r w:rsidR="00DC42AA">
        <w:t xml:space="preserve"> and is unaffected by this submission</w:t>
      </w:r>
      <w:r>
        <w:t xml:space="preserve">.  The Department is hereby resubmitting I.C. 1875-0240 so that </w:t>
      </w:r>
      <w:r w:rsidR="00DC42AA">
        <w:t xml:space="preserve">changes in </w:t>
      </w:r>
      <w:r>
        <w:t>the Civil Rights Dat</w:t>
      </w:r>
      <w:r w:rsidR="00DC42AA">
        <w:t>a Collection (CRDC), which is part of ED</w:t>
      </w:r>
      <w:r w:rsidR="00DC42AA" w:rsidRPr="00DC42AA">
        <w:rPr>
          <w:i/>
        </w:rPr>
        <w:t>Facts</w:t>
      </w:r>
      <w:r w:rsidR="00DC42AA">
        <w:t xml:space="preserve">, can be reviewed and approved under the Paperwork Reduction Act.  </w:t>
      </w:r>
      <w:r w:rsidR="0099092B">
        <w:t>The responses to the items below focus specifically on the Civil Rights Data Collection as the only part of ED</w:t>
      </w:r>
      <w:r w:rsidR="0099092B" w:rsidRPr="0099092B">
        <w:rPr>
          <w:i/>
        </w:rPr>
        <w:t>Facts</w:t>
      </w:r>
      <w:r w:rsidR="0099092B">
        <w:t xml:space="preserve"> that will have changes under this request.</w:t>
      </w:r>
    </w:p>
    <w:p w:rsidR="0023780C" w:rsidRPr="0023780C" w:rsidRDefault="0023780C" w:rsidP="0023780C"/>
    <w:p w:rsidR="00F03119" w:rsidRDefault="00F03119">
      <w:pPr>
        <w:pStyle w:val="Heading2"/>
      </w:pPr>
      <w:r>
        <w:t>A.  Justification</w:t>
      </w:r>
    </w:p>
    <w:p w:rsidR="00F03119" w:rsidRDefault="00F03119"/>
    <w:p w:rsidR="00F03119" w:rsidRDefault="00F03119">
      <w:pPr>
        <w:pStyle w:val="BodyText"/>
      </w:pPr>
      <w: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03119" w:rsidRDefault="00F03119"/>
    <w:p w:rsidR="00F03119" w:rsidRDefault="00F03119" w:rsidP="00EA39A7">
      <w:pPr>
        <w:autoSpaceDE w:val="0"/>
        <w:autoSpaceDN w:val="0"/>
        <w:adjustRightInd w:val="0"/>
        <w:spacing w:after="120"/>
      </w:pPr>
      <w:r>
        <w:t xml:space="preserve">A number of federal laws support the collection of civil rights data.  Title VI of the Civil Rights Act of 1964 prohibits discrimination based on race, color, and national origin.  Title IX of the Education Amendments of 1972 prohibits discrimination based on sex.  Section 504 of the Rehabilitation Act of 1973 prohibits discrimination on the basis of disability.  The Age Discrimination Act of 1975 prohibits discrimination based on age.  Title II of the Americans with Disabilities Act of 1990 prohibits discrimination based on disability.    The applicable laws supporting the collection of the civil rights data are found at </w:t>
      </w:r>
      <w:hyperlink r:id="rId8" w:history="1">
        <w:r>
          <w:rPr>
            <w:rStyle w:val="Hyperlink"/>
            <w:rFonts w:ascii="Arial" w:hAnsi="Arial" w:cs="Arial"/>
            <w:sz w:val="20"/>
            <w:szCs w:val="20"/>
          </w:rPr>
          <w:t>http://www.ed.gov/about/offices/list/ocr/know.html</w:t>
        </w:r>
      </w:hyperlink>
      <w:r>
        <w:rPr>
          <w:rFonts w:ascii="Arial" w:hAnsi="Arial" w:cs="Arial"/>
          <w:sz w:val="20"/>
          <w:szCs w:val="20"/>
        </w:rPr>
        <w:t>.</w:t>
      </w:r>
    </w:p>
    <w:p w:rsidR="00EA39A7" w:rsidRDefault="00F03119" w:rsidP="00EA39A7">
      <w:pPr>
        <w:spacing w:after="120"/>
      </w:pPr>
      <w:r>
        <w:t xml:space="preserve">The 1980 Department of Education Organization Act conveys to the Assistant Secretary for Civil Rights the authority to “collect or coordinate the collection of data necessary to ensure compliance with civil rights laws under the jurisdiction of the Office for Civil Rights” (20 U.S.C. 3401, Section 3413(c)(1)).  Any data collection that the Office for Civil Rights (OCR) has “determine[d] to be necessary” to ascertain compliance with these laws, is mandatory pursuant to the implementing regulations of the </w:t>
      </w:r>
      <w:r w:rsidR="003F54FA">
        <w:t>f</w:t>
      </w:r>
      <w:r>
        <w:t xml:space="preserve">ederal civil rights laws.  </w:t>
      </w:r>
    </w:p>
    <w:p w:rsidR="00CA1D59" w:rsidRDefault="00EA39A7" w:rsidP="00CA1D59">
      <w:pPr>
        <w:spacing w:after="120"/>
      </w:pPr>
      <w:r>
        <w:t>The Department has collected CRDC data biennially directly from LEAs since 1968; each included LEA submits a summary survey about the LEA as well as a survey about each school in the LEA.  Generally, the collection has included a sample of about 6,000 LEAs; the 1976 collection included all LEAs and a sample of schools; and the 2000 collection included all LEAs and all schools.  For many years, the collection operated as the Elementary and Secondary School Civil Rights Compliance Report approved by OMB as 1870-0500.  The last</w:t>
      </w:r>
      <w:r w:rsidR="00CA1D59">
        <w:t xml:space="preserve"> </w:t>
      </w:r>
      <w:r w:rsidR="003F54FA">
        <w:t xml:space="preserve">two </w:t>
      </w:r>
      <w:r w:rsidR="00CA1D59">
        <w:t>administrations of the CRDC</w:t>
      </w:r>
      <w:r>
        <w:t>, the 2004 CRDC and the 2006 CRDC, were conducted primarily on-line via the EDEN Survey Tool as part of ED</w:t>
      </w:r>
      <w:r w:rsidRPr="00307250">
        <w:rPr>
          <w:i/>
        </w:rPr>
        <w:t>Facts</w:t>
      </w:r>
      <w:r>
        <w:t xml:space="preserve">.  </w:t>
      </w:r>
    </w:p>
    <w:p w:rsidR="007D4C10" w:rsidRDefault="007D4C10" w:rsidP="007D4C10">
      <w:r w:rsidRPr="007D4C10">
        <w:t>The Department is proposing a two-part collection for the 2009-10 CRDC with all data to be from the 2009-10 school year. Previously, the CRDC collected data from two different school years. Data that were counts taken at one point during the school year (</w:t>
      </w:r>
      <w:r w:rsidRPr="007D4C10">
        <w:rPr>
          <w:i/>
        </w:rPr>
        <w:t>e.g.,</w:t>
      </w:r>
      <w:r w:rsidR="008B51BA">
        <w:t xml:space="preserve"> enrollment</w:t>
      </w:r>
      <w:r w:rsidRPr="007D4C10">
        <w:t>) were collected for the year in which the CRDC was being administered. Cumulative or end-of-year data (</w:t>
      </w:r>
      <w:r w:rsidRPr="007D4C10">
        <w:rPr>
          <w:i/>
        </w:rPr>
        <w:t>e.g.</w:t>
      </w:r>
      <w:r w:rsidR="008B51BA">
        <w:t>, AP testing</w:t>
      </w:r>
      <w:r w:rsidRPr="007D4C10">
        <w:t xml:space="preserve">, discipline, athletics) was reported for the previous school year. By collecting CRDC data in two parts, we will have all CRDC data collected for the same school year. This is similar to the way that data is collected for programs such as the Individuals with Disabilities Education Act (IDEA). </w:t>
      </w:r>
    </w:p>
    <w:p w:rsidR="007D4C10" w:rsidRDefault="007D4C10" w:rsidP="007D4C10"/>
    <w:p w:rsidR="007D4C10" w:rsidRPr="007D4C10" w:rsidRDefault="007D4C10" w:rsidP="007D4C10">
      <w:r>
        <w:t>School year (SY) 2009-10 is planned as the next administration of the CRDC.  For this collection, the Department proposes to drop some of the more burdensome data groups and add selected data groups to provide data in areas of focus under new education programs, initiatives, and identified risk areas.  Like the last two CRDCs, the upcoming survey will be primarily electronic collection through ED</w:t>
      </w:r>
      <w:r w:rsidRPr="00CA1D59">
        <w:rPr>
          <w:i/>
        </w:rPr>
        <w:t>Fact</w:t>
      </w:r>
      <w:r>
        <w:rPr>
          <w:i/>
        </w:rPr>
        <w:t>s.</w:t>
      </w:r>
    </w:p>
    <w:p w:rsidR="002970DB" w:rsidRPr="007D4C10" w:rsidRDefault="002970DB" w:rsidP="00CA1D59"/>
    <w:p w:rsidR="00F03119" w:rsidRDefault="00F03119">
      <w:pPr>
        <w:pStyle w:val="BodyText2"/>
        <w:jc w:val="left"/>
        <w:rPr>
          <w:b/>
          <w:bCs/>
        </w:rPr>
      </w:pPr>
      <w:r>
        <w:rPr>
          <w:b/>
          <w:bCs/>
        </w:rPr>
        <w:t>2.  Indicate how, by whom, and for what purpose the information is to be used.  Except for a new collection, indicate the actual use the agency has made of the information received from the current collection.</w:t>
      </w:r>
    </w:p>
    <w:p w:rsidR="005D1D68" w:rsidRDefault="005D1D68" w:rsidP="005D1D68"/>
    <w:p w:rsidR="00F03119" w:rsidRPr="00AB086D" w:rsidRDefault="00AB086D" w:rsidP="00AB086D">
      <w:pPr>
        <w:pStyle w:val="P1-StandPara"/>
        <w:spacing w:line="240" w:lineRule="auto"/>
        <w:ind w:firstLine="0"/>
        <w:jc w:val="left"/>
        <w:rPr>
          <w:color w:val="000000"/>
          <w:sz w:val="24"/>
          <w:szCs w:val="24"/>
        </w:rPr>
      </w:pPr>
      <w:r w:rsidRPr="00AB086D">
        <w:rPr>
          <w:color w:val="000000"/>
          <w:sz w:val="24"/>
          <w:szCs w:val="24"/>
        </w:rPr>
        <w:t xml:space="preserve">Since 1968, the Civil Rights Data Collection </w:t>
      </w:r>
      <w:r w:rsidR="003F54FA">
        <w:rPr>
          <w:color w:val="000000"/>
          <w:sz w:val="24"/>
          <w:szCs w:val="24"/>
        </w:rPr>
        <w:t xml:space="preserve">(and its predecessor surveys) </w:t>
      </w:r>
      <w:r w:rsidR="00CE2A4B" w:rsidRPr="00AB086D">
        <w:rPr>
          <w:color w:val="000000"/>
          <w:sz w:val="24"/>
          <w:szCs w:val="24"/>
        </w:rPr>
        <w:t>ha</w:t>
      </w:r>
      <w:r w:rsidR="00CE2A4B">
        <w:rPr>
          <w:color w:val="000000"/>
          <w:sz w:val="24"/>
          <w:szCs w:val="24"/>
        </w:rPr>
        <w:t>s</w:t>
      </w:r>
      <w:r w:rsidRPr="00AB086D">
        <w:rPr>
          <w:color w:val="000000"/>
          <w:sz w:val="24"/>
          <w:szCs w:val="24"/>
        </w:rPr>
        <w:t xml:space="preserve"> served as the cornerstone for federal enforcement of children’s civil rights in public schools.  The Department conducts the survey to provide the Office for Civil Rights (OCR) </w:t>
      </w:r>
      <w:r w:rsidR="003F54FA">
        <w:rPr>
          <w:color w:val="000000"/>
          <w:sz w:val="24"/>
          <w:szCs w:val="24"/>
        </w:rPr>
        <w:t>headquarters and</w:t>
      </w:r>
      <w:r w:rsidRPr="00AB086D">
        <w:rPr>
          <w:color w:val="000000"/>
          <w:sz w:val="24"/>
          <w:szCs w:val="24"/>
        </w:rPr>
        <w:t xml:space="preserve"> regional offices with current data to use when targeting compliance review sites or to as source material when investigating complaints. </w:t>
      </w:r>
      <w:r w:rsidR="004458E6">
        <w:rPr>
          <w:color w:val="000000"/>
          <w:sz w:val="24"/>
          <w:szCs w:val="24"/>
        </w:rPr>
        <w:t xml:space="preserve"> </w:t>
      </w:r>
      <w:r w:rsidRPr="00AB086D">
        <w:rPr>
          <w:color w:val="000000"/>
          <w:sz w:val="24"/>
          <w:szCs w:val="24"/>
        </w:rPr>
        <w:t>The CRDC is also used by social scientists conducting research on discriminatory practices and by civil rights advocacy groups for monitoring issues related to their mission.</w:t>
      </w:r>
      <w:r w:rsidR="004458E6">
        <w:rPr>
          <w:color w:val="000000"/>
          <w:sz w:val="24"/>
          <w:szCs w:val="24"/>
        </w:rPr>
        <w:t xml:space="preserve"> </w:t>
      </w:r>
      <w:r w:rsidRPr="00AB086D">
        <w:rPr>
          <w:color w:val="000000"/>
          <w:sz w:val="24"/>
          <w:szCs w:val="24"/>
        </w:rPr>
        <w:t xml:space="preserve"> State and national projections are generated to produce estimates for variables of interest to OCR</w:t>
      </w:r>
      <w:r w:rsidR="003F54FA">
        <w:rPr>
          <w:color w:val="000000"/>
          <w:sz w:val="24"/>
          <w:szCs w:val="24"/>
        </w:rPr>
        <w:t>,</w:t>
      </w:r>
      <w:r w:rsidRPr="00AB086D">
        <w:rPr>
          <w:color w:val="000000"/>
          <w:sz w:val="24"/>
          <w:szCs w:val="24"/>
        </w:rPr>
        <w:t xml:space="preserve"> such as membership, suspensions and expulsions, students enrolled in LEP programs, students with disabilities, students enrolled in advanced placement courses, and others, by gender and racial and ethnic categories.  </w:t>
      </w:r>
      <w:r w:rsidR="00F5577E" w:rsidRPr="00AB086D">
        <w:rPr>
          <w:rFonts w:cs="Arial"/>
          <w:sz w:val="24"/>
          <w:szCs w:val="24"/>
        </w:rPr>
        <w:t>Data are available to the public via the Web.</w:t>
      </w:r>
      <w:r w:rsidR="00F5577E" w:rsidRPr="00AB086D" w:rsidDel="00CA1D59">
        <w:rPr>
          <w:sz w:val="24"/>
          <w:szCs w:val="24"/>
        </w:rPr>
        <w:t xml:space="preserve"> </w:t>
      </w:r>
      <w:r w:rsidR="00F03119" w:rsidRPr="00AB086D">
        <w:rPr>
          <w:sz w:val="24"/>
          <w:szCs w:val="24"/>
        </w:rPr>
        <w:t xml:space="preserve">  </w:t>
      </w:r>
    </w:p>
    <w:p w:rsidR="00F03119" w:rsidRDefault="00F03119"/>
    <w:p w:rsidR="002970DB" w:rsidRDefault="002970DB"/>
    <w:p w:rsidR="00F03119" w:rsidRDefault="00F03119">
      <w:pPr>
        <w:pStyle w:val="BodyText"/>
      </w:pPr>
      <w: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F03119" w:rsidRDefault="00F03119"/>
    <w:p w:rsidR="00F5577E" w:rsidRDefault="00F5577E" w:rsidP="00F5577E">
      <w:pPr>
        <w:numPr>
          <w:ilvl w:val="12"/>
          <w:numId w:val="0"/>
        </w:numPr>
        <w:tabs>
          <w:tab w:val="left" w:pos="240"/>
          <w:tab w:val="left" w:pos="600"/>
        </w:tabs>
        <w:suppressAutoHyphens/>
        <w:spacing w:after="120"/>
      </w:pPr>
      <w:r>
        <w:t xml:space="preserve">Like the previous two collections, </w:t>
      </w:r>
      <w:r w:rsidR="00B30F59">
        <w:t>t</w:t>
      </w:r>
      <w:r w:rsidR="00F03119">
        <w:t xml:space="preserve">he </w:t>
      </w:r>
      <w:r>
        <w:t>primary collection instrument for the SY 2009-10 CRDC will be</w:t>
      </w:r>
      <w:r w:rsidR="00F03119">
        <w:t xml:space="preserve"> a Web-based system</w:t>
      </w:r>
      <w:r>
        <w:t xml:space="preserve">; users </w:t>
      </w:r>
      <w:r w:rsidR="003F54FA">
        <w:t xml:space="preserve">will </w:t>
      </w:r>
      <w:r>
        <w:t>enter the data in response to questions displayed on the screen; and the data are transmitted directly into a database at ED.</w:t>
      </w:r>
      <w:r w:rsidR="00F03119">
        <w:t xml:space="preserve">  </w:t>
      </w:r>
      <w:r>
        <w:t xml:space="preserve">To reduce burden, the Department plans to develop and utilize a more user-friendly tool that will </w:t>
      </w:r>
      <w:r w:rsidR="00B30F59">
        <w:t>be</w:t>
      </w:r>
      <w:r w:rsidR="003F54FA">
        <w:t xml:space="preserve"> interactive with the user</w:t>
      </w:r>
      <w:r>
        <w:t xml:space="preserve">.  For example, if a user indicates the school serves only elementary students, then questions about high schools will not be presented.  To facilitate this approach guiding questions may precede data group tables.  For example, the user would be asked if the school provided Advanced Placement (AP) courses.  If the user answered No, then the series of tables about AP would be skipped; if the answer is yes, then the tables about AP would be presented.  Flat file submissions, such as Excel files, will be allowed for large districts that have the capacity to create them; and paper submissions will be allowed for LEAs with no Internet connectivity or limited Web access.  </w:t>
      </w:r>
      <w:r w:rsidR="007350F3">
        <w:t>State</w:t>
      </w:r>
      <w:r w:rsidR="00B30F59">
        <w:t>s</w:t>
      </w:r>
      <w:r w:rsidR="007350F3">
        <w:t xml:space="preserve"> that wish to submit data for their LEAs will be allowed to do so, as they have been in the past.</w:t>
      </w:r>
    </w:p>
    <w:p w:rsidR="00F03119" w:rsidRDefault="00F03119" w:rsidP="00F5577E">
      <w:pPr>
        <w:numPr>
          <w:ilvl w:val="12"/>
          <w:numId w:val="0"/>
        </w:numPr>
        <w:tabs>
          <w:tab w:val="left" w:pos="240"/>
          <w:tab w:val="left" w:pos="600"/>
        </w:tabs>
        <w:suppressAutoHyphens/>
        <w:spacing w:after="120"/>
      </w:pPr>
      <w:r>
        <w:t>Through computer control of the data collection process and the monitoring of responses, the computer-</w:t>
      </w:r>
      <w:r w:rsidR="00B30F59">
        <w:t>based</w:t>
      </w:r>
      <w:r>
        <w:t xml:space="preserve"> system offers the capacity for substantial improvements in data </w:t>
      </w:r>
      <w:r>
        <w:lastRenderedPageBreak/>
        <w:t xml:space="preserve">quality and data collection efficiency over </w:t>
      </w:r>
      <w:r w:rsidR="00B30F59">
        <w:t xml:space="preserve">a </w:t>
      </w:r>
      <w:r>
        <w:t xml:space="preserve">survey conducted using paper and pencil.  </w:t>
      </w:r>
      <w:r w:rsidR="00F5577E">
        <w:t>I</w:t>
      </w:r>
      <w:r>
        <w:t>nciden</w:t>
      </w:r>
      <w:r w:rsidR="00F5577E">
        <w:t>ts</w:t>
      </w:r>
      <w:r>
        <w:t xml:space="preserve"> of missing and inconsistent data </w:t>
      </w:r>
      <w:r w:rsidR="00F5577E">
        <w:t xml:space="preserve">are </w:t>
      </w:r>
      <w:r>
        <w:t xml:space="preserve">greatly reduced since questionnaire skip patterns are computer controlled.  Moreover, invalid entries, contradictory entries, or entries inconsistent with available data on the school or LEA are questioned by the computer and must be resolved or confirmed by the respondent during the self-directed Web instrument data collection. </w:t>
      </w:r>
    </w:p>
    <w:p w:rsidR="00F03119" w:rsidRDefault="00F03119">
      <w:pPr>
        <w:pStyle w:val="BodyText"/>
      </w:pPr>
    </w:p>
    <w:p w:rsidR="00F03119" w:rsidRDefault="00F03119">
      <w:pPr>
        <w:pStyle w:val="BodyText"/>
      </w:pPr>
      <w:r>
        <w:t>4.  Describe efforts to identify duplication.  Show specifically why any similar information already available cannot be used or modified for use of the purposes described in Item 2 above.</w:t>
      </w:r>
    </w:p>
    <w:p w:rsidR="00B345DD" w:rsidRDefault="00B345DD"/>
    <w:p w:rsidR="00F03119" w:rsidRDefault="007350F3">
      <w:pPr>
        <w:autoSpaceDE w:val="0"/>
        <w:autoSpaceDN w:val="0"/>
        <w:adjustRightInd w:val="0"/>
        <w:rPr>
          <w:szCs w:val="20"/>
        </w:rPr>
      </w:pPr>
      <w:r>
        <w:t>In planning</w:t>
      </w:r>
      <w:r>
        <w:rPr>
          <w:szCs w:val="20"/>
        </w:rPr>
        <w:t xml:space="preserve"> the SY 2009-10 CRDC, the Office for Civil Rights carefully examined all data groups already collected by ED</w:t>
      </w:r>
      <w:r w:rsidRPr="00C85CED">
        <w:rPr>
          <w:i/>
          <w:szCs w:val="20"/>
        </w:rPr>
        <w:t>Facts</w:t>
      </w:r>
      <w:r>
        <w:rPr>
          <w:szCs w:val="20"/>
        </w:rPr>
        <w:t xml:space="preserve"> and dropped several tables previously in CRDC because the data are available through the state-based portion of ED</w:t>
      </w:r>
      <w:r w:rsidRPr="007350F3">
        <w:rPr>
          <w:i/>
          <w:szCs w:val="20"/>
        </w:rPr>
        <w:t>Facts</w:t>
      </w:r>
      <w:r>
        <w:rPr>
          <w:szCs w:val="20"/>
        </w:rPr>
        <w:t xml:space="preserve">, the EDEN Submission System (ESS). </w:t>
      </w:r>
      <w:r w:rsidR="008243C4">
        <w:rPr>
          <w:szCs w:val="20"/>
        </w:rPr>
        <w:t xml:space="preserve"> For example, the CRDC previously collected data on graduate counts</w:t>
      </w:r>
      <w:r w:rsidR="00C73347">
        <w:rPr>
          <w:szCs w:val="20"/>
        </w:rPr>
        <w:t xml:space="preserve"> and disability categories</w:t>
      </w:r>
      <w:r w:rsidR="00B254D4">
        <w:rPr>
          <w:szCs w:val="20"/>
        </w:rPr>
        <w:t xml:space="preserve">.  For </w:t>
      </w:r>
      <w:r w:rsidR="008243C4">
        <w:rPr>
          <w:szCs w:val="20"/>
        </w:rPr>
        <w:t>SY 2009-10 OCR will utilize the state reported data collected via ED</w:t>
      </w:r>
      <w:r w:rsidR="008243C4" w:rsidRPr="00C73347">
        <w:rPr>
          <w:i/>
          <w:szCs w:val="20"/>
        </w:rPr>
        <w:t>Facts</w:t>
      </w:r>
      <w:r w:rsidR="008243C4">
        <w:rPr>
          <w:szCs w:val="20"/>
        </w:rPr>
        <w:t xml:space="preserve"> for these and other topics. </w:t>
      </w:r>
      <w:r>
        <w:rPr>
          <w:szCs w:val="20"/>
        </w:rPr>
        <w:t xml:space="preserve"> </w:t>
      </w:r>
      <w:r w:rsidR="00607BB8">
        <w:rPr>
          <w:szCs w:val="20"/>
        </w:rPr>
        <w:t>To avoid duplicat</w:t>
      </w:r>
      <w:r w:rsidR="00E87A03">
        <w:rPr>
          <w:szCs w:val="20"/>
        </w:rPr>
        <w:t>i</w:t>
      </w:r>
      <w:r w:rsidR="00607BB8">
        <w:rPr>
          <w:szCs w:val="20"/>
        </w:rPr>
        <w:t>on, c</w:t>
      </w:r>
      <w:r>
        <w:rPr>
          <w:szCs w:val="20"/>
        </w:rPr>
        <w:t xml:space="preserve">omparisons were also made with </w:t>
      </w:r>
      <w:r w:rsidR="00C85CED">
        <w:rPr>
          <w:szCs w:val="20"/>
        </w:rPr>
        <w:t xml:space="preserve">the </w:t>
      </w:r>
      <w:r w:rsidR="008243C4">
        <w:rPr>
          <w:szCs w:val="20"/>
        </w:rPr>
        <w:t xml:space="preserve">information requirements of the </w:t>
      </w:r>
      <w:r w:rsidR="00C85CED">
        <w:rPr>
          <w:szCs w:val="20"/>
        </w:rPr>
        <w:t>American Recovery and Reinvestment Act of 2009 (</w:t>
      </w:r>
      <w:r>
        <w:rPr>
          <w:szCs w:val="20"/>
        </w:rPr>
        <w:t>ARRA</w:t>
      </w:r>
      <w:r w:rsidR="00C85CED">
        <w:rPr>
          <w:szCs w:val="20"/>
        </w:rPr>
        <w:t>)</w:t>
      </w:r>
      <w:r>
        <w:rPr>
          <w:szCs w:val="20"/>
        </w:rPr>
        <w:t>.  The CRDC will collect basic enrollment counts that are also collected by ESS in order to allow the internal cross-checks that will validate the CRDC submitted data.</w:t>
      </w:r>
    </w:p>
    <w:p w:rsidR="00F03119" w:rsidRDefault="00F03119"/>
    <w:p w:rsidR="00F03119" w:rsidRDefault="00F03119">
      <w:pPr>
        <w:pStyle w:val="BodyText"/>
      </w:pPr>
      <w:r>
        <w:t>5.  If the collection of information impacts small businesses or other small entities (Item 5 of OMB Form 83-I), describe any methods used to minimize burden.</w:t>
      </w:r>
    </w:p>
    <w:p w:rsidR="00F03119" w:rsidRDefault="00F03119"/>
    <w:p w:rsidR="00F03119" w:rsidRDefault="00F03119">
      <w:r>
        <w:t xml:space="preserve">The </w:t>
      </w:r>
      <w:r w:rsidR="005D1D68">
        <w:t>Civil Rights Data C</w:t>
      </w:r>
      <w:r>
        <w:t xml:space="preserve">ollection </w:t>
      </w:r>
      <w:r w:rsidR="007350F3">
        <w:t xml:space="preserve">allows small districts with limited Web access to submit via a paper form.  </w:t>
      </w:r>
    </w:p>
    <w:p w:rsidR="00F03119" w:rsidRDefault="00F03119"/>
    <w:p w:rsidR="002970DB" w:rsidRDefault="002970DB"/>
    <w:p w:rsidR="00F03119" w:rsidRDefault="00F03119">
      <w:pPr>
        <w:pStyle w:val="BodyText"/>
      </w:pPr>
      <w:r>
        <w:t>6.  Describe the consequences to Federal program or policy activities if the collection is not conducted or is conducted less frequently, as well as any technical or legal obstacles to reducing burden.</w:t>
      </w:r>
    </w:p>
    <w:p w:rsidR="00F03119" w:rsidRDefault="00F03119"/>
    <w:p w:rsidR="00F03119" w:rsidRDefault="00F03119">
      <w:r>
        <w:t>Education in this nation is on an annual cycle where success and failure are measured and reported annually</w:t>
      </w:r>
      <w:r w:rsidR="00D61731">
        <w:t xml:space="preserve"> and civil rights complaints must be investigated and resolved on an ongoing basis</w:t>
      </w:r>
      <w:r>
        <w:t xml:space="preserve">.  </w:t>
      </w:r>
      <w:r w:rsidR="00D61731">
        <w:t xml:space="preserve">The most recent CRDC contained data from the spring of school year 2005-06 and the fall of school year 2006-07.  It is critical that more recent information be available so that the Department can carry out its mandate to ensure civil rights under the applicable laws.  </w:t>
      </w:r>
    </w:p>
    <w:p w:rsidR="00F03119" w:rsidRDefault="00F03119"/>
    <w:p w:rsidR="002970DB" w:rsidRDefault="002970DB"/>
    <w:p w:rsidR="00F03119" w:rsidRDefault="00F03119">
      <w:pPr>
        <w:rPr>
          <w:b/>
          <w:bCs/>
        </w:rPr>
      </w:pPr>
      <w:r>
        <w:rPr>
          <w:b/>
          <w:bCs/>
        </w:rPr>
        <w:t>7.  Explain any special circumstance that would cause an information collection to be conducted in a manner:</w:t>
      </w:r>
    </w:p>
    <w:p w:rsidR="00F03119" w:rsidRDefault="00F03119">
      <w:pPr>
        <w:pStyle w:val="Style"/>
        <w:numPr>
          <w:ilvl w:val="0"/>
          <w:numId w:val="2"/>
        </w:numPr>
        <w:tabs>
          <w:tab w:val="left" w:pos="-360"/>
          <w:tab w:val="left" w:pos="0"/>
          <w:tab w:val="left" w:pos="270"/>
          <w:tab w:val="left" w:pos="1440"/>
        </w:tabs>
        <w:rPr>
          <w:b/>
          <w:bCs/>
        </w:rPr>
      </w:pPr>
      <w:r>
        <w:rPr>
          <w:b/>
          <w:bCs/>
        </w:rPr>
        <w:t>requiring respondents to report information to the agency more often than quarterly;</w:t>
      </w:r>
    </w:p>
    <w:p w:rsidR="00F03119" w:rsidRDefault="00F03119">
      <w:pPr>
        <w:pStyle w:val="Style"/>
        <w:numPr>
          <w:ilvl w:val="0"/>
          <w:numId w:val="2"/>
        </w:numPr>
        <w:tabs>
          <w:tab w:val="left" w:pos="-360"/>
          <w:tab w:val="left" w:pos="0"/>
          <w:tab w:val="left" w:pos="270"/>
          <w:tab w:val="left" w:pos="1440"/>
        </w:tabs>
        <w:rPr>
          <w:b/>
          <w:bCs/>
        </w:rPr>
      </w:pPr>
      <w:r>
        <w:rPr>
          <w:b/>
          <w:bCs/>
        </w:rPr>
        <w:t xml:space="preserve">requiring respondents to prepare a written response to a collection of </w:t>
      </w:r>
      <w:r>
        <w:rPr>
          <w:b/>
          <w:bCs/>
        </w:rPr>
        <w:lastRenderedPageBreak/>
        <w:t>information in fewer than 30 days after receipt of it;</w:t>
      </w:r>
    </w:p>
    <w:p w:rsidR="00F03119" w:rsidRDefault="00F03119">
      <w:pPr>
        <w:pStyle w:val="Style"/>
        <w:numPr>
          <w:ilvl w:val="0"/>
          <w:numId w:val="2"/>
        </w:numPr>
        <w:tabs>
          <w:tab w:val="left" w:pos="-360"/>
          <w:tab w:val="left" w:pos="0"/>
          <w:tab w:val="left" w:pos="270"/>
          <w:tab w:val="left" w:pos="1440"/>
        </w:tabs>
        <w:rPr>
          <w:b/>
          <w:bCs/>
        </w:rPr>
      </w:pPr>
      <w:r>
        <w:rPr>
          <w:b/>
          <w:bCs/>
        </w:rPr>
        <w:t>requiring respondents to submit more than an original and two copies of any document;</w:t>
      </w:r>
    </w:p>
    <w:p w:rsidR="00F03119" w:rsidRDefault="00F03119">
      <w:pPr>
        <w:pStyle w:val="Style"/>
        <w:numPr>
          <w:ilvl w:val="0"/>
          <w:numId w:val="2"/>
        </w:numPr>
        <w:tabs>
          <w:tab w:val="left" w:pos="-360"/>
          <w:tab w:val="left" w:pos="0"/>
          <w:tab w:val="left" w:pos="270"/>
          <w:tab w:val="left" w:pos="1440"/>
        </w:tabs>
        <w:rPr>
          <w:b/>
          <w:bCs/>
        </w:rPr>
      </w:pPr>
      <w:r>
        <w:rPr>
          <w:b/>
          <w:bCs/>
        </w:rPr>
        <w:t>requiring respondents to retain records, other than health, medical, government contract, grant-in-aid, or tax records for more than three years;</w:t>
      </w:r>
    </w:p>
    <w:p w:rsidR="00F03119" w:rsidRDefault="00F03119">
      <w:pPr>
        <w:numPr>
          <w:ilvl w:val="0"/>
          <w:numId w:val="2"/>
        </w:numPr>
        <w:rPr>
          <w:b/>
          <w:bCs/>
        </w:rPr>
      </w:pPr>
      <w:r>
        <w:rPr>
          <w:b/>
          <w:bCs/>
        </w:rPr>
        <w:t>in connection with a statistical survey, that is not designed to produce valid and reliable results that can be generalized to the universe of study;</w:t>
      </w:r>
    </w:p>
    <w:p w:rsidR="00F03119" w:rsidRDefault="00F03119">
      <w:pPr>
        <w:pStyle w:val="BodyText2"/>
        <w:numPr>
          <w:ilvl w:val="0"/>
          <w:numId w:val="2"/>
        </w:numPr>
        <w:jc w:val="left"/>
        <w:rPr>
          <w:b/>
          <w:bCs/>
        </w:rPr>
      </w:pPr>
      <w:r>
        <w:rPr>
          <w:b/>
          <w:bCs/>
        </w:rPr>
        <w:t>requiring the use of a statistical data classification that has not been reviewed and approved by OMB;</w:t>
      </w:r>
    </w:p>
    <w:p w:rsidR="00F03119" w:rsidRDefault="00F03119">
      <w:pPr>
        <w:pStyle w:val="Style"/>
        <w:numPr>
          <w:ilvl w:val="0"/>
          <w:numId w:val="2"/>
        </w:numPr>
        <w:tabs>
          <w:tab w:val="left" w:pos="-360"/>
          <w:tab w:val="left" w:pos="0"/>
          <w:tab w:val="left" w:pos="270"/>
          <w:tab w:val="left" w:pos="1440"/>
        </w:tabs>
        <w:rPr>
          <w:b/>
          <w:bCs/>
        </w:rPr>
      </w:pPr>
      <w:r>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03119" w:rsidRDefault="00F03119">
      <w:pPr>
        <w:pStyle w:val="Style"/>
        <w:numPr>
          <w:ilvl w:val="0"/>
          <w:numId w:val="2"/>
        </w:numPr>
        <w:tabs>
          <w:tab w:val="left" w:pos="-360"/>
          <w:tab w:val="left" w:pos="0"/>
          <w:tab w:val="left" w:pos="270"/>
          <w:tab w:val="left" w:pos="1440"/>
        </w:tabs>
      </w:pPr>
      <w:r>
        <w:rPr>
          <w:b/>
          <w:bCs/>
        </w:rPr>
        <w:t>requiring respondents to submit proprietary trade secrets, or other confidential information unless the agency can demonstrate that it has instituted procedures to protect the information's confidentiality to the extent permitted by law.</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pPr>
      <w:r>
        <w:t>This information collection activity does not have special circumstances that would include any of the requirements listed above.</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pPr>
    </w:p>
    <w:p w:rsidR="00F03119" w:rsidRDefault="00F03119" w:rsidP="002970DB">
      <w:pPr>
        <w:tabs>
          <w:tab w:val="left" w:pos="-360"/>
          <w:tab w:val="left" w:pos="0"/>
          <w:tab w:val="left" w:pos="270"/>
          <w:tab w:val="left" w:pos="1440"/>
        </w:tabs>
        <w:spacing w:after="120"/>
        <w:rPr>
          <w:b/>
          <w:bCs/>
        </w:rPr>
      </w:pPr>
      <w:r>
        <w:rPr>
          <w:b/>
          <w:bCs/>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3119" w:rsidRDefault="00F03119" w:rsidP="002970DB">
      <w:pPr>
        <w:tabs>
          <w:tab w:val="left" w:pos="-360"/>
          <w:tab w:val="left" w:pos="0"/>
          <w:tab w:val="left" w:pos="270"/>
          <w:tab w:val="left" w:pos="1440"/>
        </w:tabs>
        <w:spacing w:after="120"/>
        <w:rPr>
          <w:b/>
          <w:bCs/>
        </w:rPr>
      </w:pPr>
      <w:r>
        <w:rPr>
          <w:b/>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03119" w:rsidRDefault="00F03119">
      <w:pPr>
        <w:tabs>
          <w:tab w:val="left" w:pos="-360"/>
          <w:tab w:val="left" w:pos="0"/>
          <w:tab w:val="left" w:pos="270"/>
          <w:tab w:val="left" w:pos="1440"/>
        </w:tabs>
      </w:pPr>
      <w:r>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03119" w:rsidRDefault="00F03119">
      <w:pPr>
        <w:tabs>
          <w:tab w:val="left" w:pos="-360"/>
          <w:tab w:val="left" w:pos="0"/>
          <w:tab w:val="left" w:pos="270"/>
          <w:tab w:val="left" w:pos="1440"/>
        </w:tabs>
      </w:pPr>
    </w:p>
    <w:p w:rsidR="00F03119" w:rsidRDefault="00D61731" w:rsidP="00DD3045">
      <w:pPr>
        <w:tabs>
          <w:tab w:val="left" w:pos="-360"/>
          <w:tab w:val="left" w:pos="0"/>
          <w:tab w:val="left" w:pos="270"/>
          <w:tab w:val="left" w:pos="1440"/>
        </w:tabs>
        <w:spacing w:after="120"/>
      </w:pPr>
      <w:r>
        <w:t xml:space="preserve">The </w:t>
      </w:r>
      <w:r w:rsidRPr="00D76AD3">
        <w:rPr>
          <w:i/>
        </w:rPr>
        <w:t>Federal Register</w:t>
      </w:r>
      <w:r>
        <w:t xml:space="preserve"> notice for the 60-day comment period </w:t>
      </w:r>
      <w:r w:rsidR="00D76AD3">
        <w:t>was published on September 11, 2009</w:t>
      </w:r>
      <w:r>
        <w:t>.</w:t>
      </w:r>
      <w:r w:rsidR="00D76AD3">
        <w:t xml:space="preserve">  ED received a number of comments.  Most comments were in support of the CRDC collection.  ED’s response to public comments has been attached as a separate document.</w:t>
      </w:r>
    </w:p>
    <w:p w:rsidR="00D76AD3" w:rsidRDefault="00D76AD3">
      <w:pPr>
        <w:tabs>
          <w:tab w:val="left" w:pos="-360"/>
          <w:tab w:val="left" w:pos="0"/>
          <w:tab w:val="left" w:pos="270"/>
          <w:tab w:val="left" w:pos="1440"/>
        </w:tabs>
      </w:pPr>
      <w:r>
        <w:lastRenderedPageBreak/>
        <w:t xml:space="preserve">In addition to receiving public comment from the </w:t>
      </w:r>
      <w:r w:rsidRPr="00D76AD3">
        <w:rPr>
          <w:i/>
        </w:rPr>
        <w:t>Federal Register</w:t>
      </w:r>
      <w:r>
        <w:t xml:space="preserve"> notice, ED has done extensive outreach with other offices in ED as well as with state and local education agencies through conferences, meetings, and a Webinar.</w:t>
      </w:r>
    </w:p>
    <w:p w:rsidR="00D76AD3" w:rsidRDefault="00D76AD3" w:rsidP="00D76AD3">
      <w:pPr>
        <w:numPr>
          <w:ilvl w:val="0"/>
          <w:numId w:val="18"/>
        </w:numPr>
        <w:tabs>
          <w:tab w:val="left" w:pos="-360"/>
          <w:tab w:val="left" w:pos="0"/>
          <w:tab w:val="left" w:pos="270"/>
        </w:tabs>
      </w:pPr>
      <w:r>
        <w:t xml:space="preserve">In a Webinar for members of the CRDC work group, composed of state and local </w:t>
      </w:r>
      <w:r w:rsidR="003312B9">
        <w:t xml:space="preserve">education agency </w:t>
      </w:r>
      <w:r>
        <w:t>representatives, all familiar with the prior CRDC, ED reviewed each proposed content item (data group) and solicited feedback.</w:t>
      </w:r>
    </w:p>
    <w:p w:rsidR="00F03119" w:rsidRDefault="00D76AD3" w:rsidP="00D76AD3">
      <w:pPr>
        <w:numPr>
          <w:ilvl w:val="0"/>
          <w:numId w:val="18"/>
        </w:numPr>
        <w:tabs>
          <w:tab w:val="left" w:pos="-360"/>
          <w:tab w:val="left" w:pos="0"/>
          <w:tab w:val="left" w:pos="270"/>
        </w:tabs>
      </w:pPr>
      <w:r>
        <w:t xml:space="preserve">In a </w:t>
      </w:r>
      <w:r w:rsidR="00F5309B">
        <w:t xml:space="preserve">joint </w:t>
      </w:r>
      <w:r>
        <w:t xml:space="preserve">meeting of the </w:t>
      </w:r>
      <w:r w:rsidR="00F5309B">
        <w:t>General Statistics subcommittee and the Special Education subcommittee of the Education Information Management Advisory Consortium (</w:t>
      </w:r>
      <w:r>
        <w:t>EIMAC</w:t>
      </w:r>
      <w:r w:rsidR="00F5309B">
        <w:t>),</w:t>
      </w:r>
      <w:r>
        <w:t xml:space="preserve"> ED reviewed each proposed content item (data group) and solicited feedback.</w:t>
      </w:r>
    </w:p>
    <w:p w:rsidR="00D76AD3" w:rsidRDefault="00D76AD3" w:rsidP="00D76AD3">
      <w:pPr>
        <w:numPr>
          <w:ilvl w:val="0"/>
          <w:numId w:val="18"/>
        </w:numPr>
        <w:tabs>
          <w:tab w:val="left" w:pos="-360"/>
          <w:tab w:val="left" w:pos="0"/>
          <w:tab w:val="left" w:pos="270"/>
        </w:tabs>
      </w:pPr>
      <w:r>
        <w:t>At the fall ED</w:t>
      </w:r>
      <w:r w:rsidRPr="007D6C14">
        <w:rPr>
          <w:i/>
        </w:rPr>
        <w:t>Facts</w:t>
      </w:r>
      <w:r>
        <w:t xml:space="preserve"> conference in Chicago, ED held two breakout sessions for conference participants</w:t>
      </w:r>
      <w:r w:rsidR="005113EF">
        <w:t>, in which ED reviewed each proposed content item (data group) and solicited feedback.</w:t>
      </w:r>
    </w:p>
    <w:p w:rsidR="005113EF" w:rsidRDefault="005113EF" w:rsidP="00DD3045">
      <w:pPr>
        <w:numPr>
          <w:ilvl w:val="0"/>
          <w:numId w:val="18"/>
        </w:numPr>
        <w:tabs>
          <w:tab w:val="left" w:pos="-360"/>
          <w:tab w:val="left" w:pos="0"/>
          <w:tab w:val="left" w:pos="270"/>
        </w:tabs>
        <w:spacing w:after="120"/>
      </w:pPr>
      <w:r>
        <w:t xml:space="preserve">OCR met with various offices within ED to discuss the proposed content and seek feedback, including the Office of Special Education Programs, </w:t>
      </w:r>
      <w:r w:rsidR="00F5309B">
        <w:t>Policy and Progr</w:t>
      </w:r>
      <w:r w:rsidR="007D6C14">
        <w:t>a</w:t>
      </w:r>
      <w:r w:rsidR="00F5309B">
        <w:t>m Studies Service</w:t>
      </w:r>
      <w:r>
        <w:t>, Budget Service, and the National Center for Education Statistics.</w:t>
      </w:r>
    </w:p>
    <w:p w:rsidR="005113EF" w:rsidRDefault="005113EF" w:rsidP="005113EF">
      <w:pPr>
        <w:tabs>
          <w:tab w:val="left" w:pos="-360"/>
          <w:tab w:val="left" w:pos="0"/>
          <w:tab w:val="left" w:pos="270"/>
        </w:tabs>
      </w:pPr>
      <w:r>
        <w:t xml:space="preserve">ED has reviewed all feedback obtained above, both public comment and outreach, and has modified the proposed data groups </w:t>
      </w:r>
      <w:r w:rsidR="00A05111">
        <w:t>appropriately</w:t>
      </w:r>
      <w:r>
        <w:t>.</w:t>
      </w:r>
    </w:p>
    <w:p w:rsidR="00F03119" w:rsidRDefault="00F03119">
      <w:pPr>
        <w:tabs>
          <w:tab w:val="left" w:pos="-360"/>
          <w:tab w:val="left" w:pos="0"/>
          <w:tab w:val="left" w:pos="270"/>
          <w:tab w:val="left" w:pos="1440"/>
        </w:tabs>
      </w:pPr>
    </w:p>
    <w:p w:rsidR="00F03119" w:rsidRDefault="00F03119">
      <w:pPr>
        <w:pStyle w:val="BodyText"/>
        <w:tabs>
          <w:tab w:val="left" w:pos="-360"/>
          <w:tab w:val="left" w:pos="0"/>
          <w:tab w:val="left" w:pos="270"/>
          <w:tab w:val="left" w:pos="1440"/>
        </w:tabs>
      </w:pPr>
      <w:r>
        <w:t>9.  Explain any decision to provide any payment or gift to respondents, other than remuneration of contractors or grantees.</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rPr>
          <w:szCs w:val="20"/>
        </w:rPr>
      </w:pPr>
      <w:r>
        <w:rPr>
          <w:szCs w:val="20"/>
        </w:rPr>
        <w:t xml:space="preserve">There is no current remuneration for any </w:t>
      </w:r>
      <w:r w:rsidR="005D1D68">
        <w:rPr>
          <w:szCs w:val="20"/>
        </w:rPr>
        <w:t>school district</w:t>
      </w:r>
      <w:r>
        <w:rPr>
          <w:szCs w:val="20"/>
        </w:rPr>
        <w:t xml:space="preserve">.  </w:t>
      </w:r>
    </w:p>
    <w:p w:rsidR="00F03119" w:rsidRDefault="00F03119">
      <w:pPr>
        <w:tabs>
          <w:tab w:val="left" w:pos="-360"/>
          <w:tab w:val="left" w:pos="0"/>
          <w:tab w:val="left" w:pos="270"/>
          <w:tab w:val="left" w:pos="1440"/>
        </w:tabs>
      </w:pPr>
    </w:p>
    <w:p w:rsidR="00F03119" w:rsidRDefault="00F03119">
      <w:pPr>
        <w:pStyle w:val="BodyText"/>
        <w:tabs>
          <w:tab w:val="left" w:pos="-360"/>
          <w:tab w:val="left" w:pos="0"/>
          <w:tab w:val="left" w:pos="270"/>
          <w:tab w:val="left" w:pos="1440"/>
        </w:tabs>
      </w:pPr>
      <w:r>
        <w:t>10. Describe any assurance of confidentiality provided to respondents and the basis for the assurance in statute, regulations, or agency policy.</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pPr>
      <w:r>
        <w:t xml:space="preserve">There has been no assurance of confidentiality provided to the respondents beyond the agreement to protect individual student information under the Federal Educational Rights and Privacy Act.  </w:t>
      </w:r>
      <w:r w:rsidR="008243C4">
        <w:t xml:space="preserve">The CRDC does not collect any </w:t>
      </w:r>
      <w:r w:rsidR="00B1228A" w:rsidRPr="00072BEB">
        <w:t>direct</w:t>
      </w:r>
      <w:r w:rsidR="00B1228A">
        <w:t xml:space="preserve"> </w:t>
      </w:r>
      <w:r w:rsidR="008243C4">
        <w:t>personally identifiable information (PII).  Confidentiality issues with the CRDC</w:t>
      </w:r>
      <w:r>
        <w:t xml:space="preserve"> </w:t>
      </w:r>
      <w:r w:rsidR="008243C4">
        <w:t xml:space="preserve">are </w:t>
      </w:r>
      <w:r>
        <w:t>specific to the amount of data found in a “cell” that might make the identification of an individual student or staff member possible</w:t>
      </w:r>
      <w:r w:rsidR="008243C4">
        <w:t xml:space="preserve"> when combined with other information not collected in the CRDC</w:t>
      </w:r>
      <w:r>
        <w:t>.  ED is committed to protect individual privacy by not making public any data in rows or columns where a single cell is below a certain threshold of size.  ED will continue to review the submitted data for any other security requirements.</w:t>
      </w:r>
    </w:p>
    <w:p w:rsidR="00F03119" w:rsidRDefault="00F03119">
      <w:pPr>
        <w:tabs>
          <w:tab w:val="left" w:pos="-360"/>
          <w:tab w:val="left" w:pos="0"/>
          <w:tab w:val="left" w:pos="270"/>
          <w:tab w:val="left" w:pos="1440"/>
        </w:tabs>
      </w:pPr>
    </w:p>
    <w:p w:rsidR="00F03119" w:rsidRDefault="00F03119">
      <w:pPr>
        <w:pStyle w:val="BodyText"/>
        <w:tabs>
          <w:tab w:val="left" w:pos="-360"/>
          <w:tab w:val="left" w:pos="0"/>
          <w:tab w:val="left" w:pos="270"/>
          <w:tab w:val="left" w:pos="1440"/>
        </w:tabs>
      </w:pPr>
      <w: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pPr>
      <w:r>
        <w:lastRenderedPageBreak/>
        <w:t>There are no questions of sensitive nature, such as sexual behavior and attitudes, religious beliefs, and other matters that are commonly considered private.  The education data collected and stored in ED</w:t>
      </w:r>
      <w:r>
        <w:rPr>
          <w:i/>
          <w:iCs/>
        </w:rPr>
        <w:t xml:space="preserve">Facts </w:t>
      </w:r>
      <w:r>
        <w:t xml:space="preserve">will be data about schools, school districts, and states.  </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pPr>
    </w:p>
    <w:p w:rsidR="00F03119" w:rsidRDefault="00F03119">
      <w:pPr>
        <w:rPr>
          <w:b/>
          <w:bCs/>
        </w:rPr>
      </w:pPr>
      <w:r>
        <w:rPr>
          <w:b/>
          <w:bCs/>
        </w:rPr>
        <w:t>12. Provide estimates of the hour burden of the collection of information.  The statement should:</w:t>
      </w:r>
    </w:p>
    <w:p w:rsidR="00F03119" w:rsidRDefault="00F03119">
      <w:pPr>
        <w:pStyle w:val="Style"/>
        <w:numPr>
          <w:ilvl w:val="0"/>
          <w:numId w:val="4"/>
        </w:numPr>
        <w:tabs>
          <w:tab w:val="left" w:pos="-360"/>
          <w:tab w:val="left" w:pos="0"/>
          <w:tab w:val="left" w:pos="270"/>
          <w:tab w:val="left" w:pos="1440"/>
        </w:tabs>
        <w:rPr>
          <w:b/>
          <w:bCs/>
        </w:rPr>
      </w:pPr>
      <w:r>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burden, and explain the reasons for the variance.  Generally, estimates should not include burden hours for customary and usual business practices.</w:t>
      </w:r>
    </w:p>
    <w:p w:rsidR="00F03119" w:rsidRDefault="00F03119">
      <w:pPr>
        <w:numPr>
          <w:ilvl w:val="0"/>
          <w:numId w:val="4"/>
        </w:numPr>
        <w:rPr>
          <w:b/>
          <w:bCs/>
        </w:rPr>
      </w:pPr>
      <w:r>
        <w:rPr>
          <w:b/>
          <w:bCs/>
        </w:rPr>
        <w:t>If this request for approval covers more than one form, provide separate hour burden estimates for each form and aggregate the hour burdens in Item 13 of OMB Form 83-I.</w:t>
      </w:r>
    </w:p>
    <w:p w:rsidR="00F03119" w:rsidRDefault="00F03119">
      <w:pPr>
        <w:pStyle w:val="Style"/>
        <w:numPr>
          <w:ilvl w:val="0"/>
          <w:numId w:val="4"/>
        </w:numPr>
        <w:tabs>
          <w:tab w:val="left" w:pos="-360"/>
          <w:tab w:val="left" w:pos="0"/>
          <w:tab w:val="left" w:pos="270"/>
          <w:tab w:val="left" w:pos="1440"/>
        </w:tabs>
      </w:pPr>
      <w:r>
        <w:rPr>
          <w:b/>
          <w:bC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03119" w:rsidRDefault="00F03119">
      <w:pPr>
        <w:tabs>
          <w:tab w:val="left" w:pos="-360"/>
          <w:tab w:val="left" w:pos="0"/>
          <w:tab w:val="left" w:pos="270"/>
          <w:tab w:val="left" w:pos="1440"/>
        </w:tabs>
      </w:pPr>
    </w:p>
    <w:p w:rsidR="00F03119" w:rsidRDefault="00F03119" w:rsidP="002970DB">
      <w:pPr>
        <w:tabs>
          <w:tab w:val="left" w:pos="-360"/>
          <w:tab w:val="left" w:pos="0"/>
          <w:tab w:val="left" w:pos="270"/>
          <w:tab w:val="left" w:pos="1440"/>
        </w:tabs>
        <w:spacing w:after="120"/>
      </w:pPr>
      <w:r w:rsidRPr="00C73347">
        <w:t>Fifty-</w:t>
      </w:r>
      <w:r w:rsidR="008243C4">
        <w:t xml:space="preserve">five </w:t>
      </w:r>
      <w:r>
        <w:t>SEAs supply ED</w:t>
      </w:r>
      <w:r>
        <w:rPr>
          <w:i/>
          <w:iCs/>
        </w:rPr>
        <w:t xml:space="preserve">Facts </w:t>
      </w:r>
      <w:r>
        <w:t xml:space="preserve">data annually.  </w:t>
      </w:r>
      <w:r w:rsidR="00462B56">
        <w:t>This submission makes no change to the existing burden estimate of the state-based portion of ED</w:t>
      </w:r>
      <w:r w:rsidR="00462B56" w:rsidRPr="00462B56">
        <w:rPr>
          <w:i/>
        </w:rPr>
        <w:t>Facts</w:t>
      </w:r>
      <w:r w:rsidR="00462B56">
        <w:t>.</w:t>
      </w:r>
    </w:p>
    <w:p w:rsidR="00EE44C4" w:rsidRDefault="00EE44C4">
      <w:pPr>
        <w:tabs>
          <w:tab w:val="left" w:pos="-360"/>
          <w:tab w:val="left" w:pos="0"/>
          <w:tab w:val="left" w:pos="270"/>
          <w:tab w:val="left" w:pos="1440"/>
        </w:tabs>
      </w:pPr>
      <w:r>
        <w:t>For the Civil Rights Data Collection, the respondent is the LEA</w:t>
      </w:r>
      <w:r w:rsidR="00C85CED">
        <w:t>;</w:t>
      </w:r>
      <w:r>
        <w:t xml:space="preserve"> the LEA must complete one LEA-level survey plus one school-level survey for each of its schools.</w:t>
      </w:r>
    </w:p>
    <w:p w:rsidR="00EE44C4" w:rsidRDefault="00462B56" w:rsidP="00EE44C4">
      <w:pPr>
        <w:tabs>
          <w:tab w:val="left" w:pos="-360"/>
          <w:tab w:val="left" w:pos="0"/>
          <w:tab w:val="left" w:pos="270"/>
          <w:tab w:val="left" w:pos="1440"/>
        </w:tabs>
        <w:spacing w:after="120"/>
      </w:pPr>
      <w:r>
        <w:t xml:space="preserve">For the most recent Civil Rights Data Collection, the 2006 CRDC, the burden was estimated </w:t>
      </w:r>
      <w:r w:rsidR="00D15C6C">
        <w:t>to be</w:t>
      </w:r>
      <w:r>
        <w:t xml:space="preserve"> 462,000 hours </w:t>
      </w:r>
      <w:r w:rsidR="00532B52">
        <w:t>across 6,000 LEA respondents</w:t>
      </w:r>
      <w:r w:rsidR="00EE44C4">
        <w:t xml:space="preserve"> and their approximately 60,000 schools, based on an estimated 7 hours/survey</w:t>
      </w:r>
      <w:r w:rsidR="00532B52">
        <w:t xml:space="preserve">.  However, that burden was dropped in the November 2007 clearance of I.C. 1875-0240 because, as a biennial collection, the CRDC was not to be conducted for 2007.  Therefore the existing CRDC burden is zero.  </w:t>
      </w:r>
    </w:p>
    <w:p w:rsidR="0053716D" w:rsidRDefault="0053716D" w:rsidP="00DD3045">
      <w:pPr>
        <w:tabs>
          <w:tab w:val="left" w:pos="-360"/>
          <w:tab w:val="left" w:pos="0"/>
          <w:tab w:val="left" w:pos="270"/>
          <w:tab w:val="left" w:pos="1440"/>
        </w:tabs>
        <w:spacing w:after="120"/>
      </w:pPr>
      <w:r>
        <w:t xml:space="preserve">For the SY 2009-10 Civil Rights Data Collection, the burden analysis considers the differentiation between the burden of the LEA-level survey and the school-level survey; and it considers the differentiation between student/course data and finance data.  Adjustments to the estimated burden for student/course data </w:t>
      </w:r>
      <w:r w:rsidR="00A05111">
        <w:t>are</w:t>
      </w:r>
      <w:r>
        <w:t xml:space="preserve"> based on considering the average burden per data group; the burden for the finance data is based on a comparison to the burden of the ARRA data colle</w:t>
      </w:r>
      <w:r w:rsidR="00A05111">
        <w:t>c</w:t>
      </w:r>
      <w:r>
        <w:t>tion of school finance data.</w:t>
      </w:r>
    </w:p>
    <w:p w:rsidR="00877997" w:rsidRDefault="0053716D" w:rsidP="00877997">
      <w:pPr>
        <w:tabs>
          <w:tab w:val="left" w:pos="-360"/>
          <w:tab w:val="left" w:pos="0"/>
          <w:tab w:val="left" w:pos="270"/>
          <w:tab w:val="left" w:pos="1440"/>
        </w:tabs>
      </w:pPr>
      <w:r>
        <w:t xml:space="preserve">Considering the distinction between the LEA-level survey and the school-level survey, the burden of the prior CRDC </w:t>
      </w:r>
      <w:r w:rsidR="00877997">
        <w:t xml:space="preserve">(which contained no finance data) </w:t>
      </w:r>
      <w:r>
        <w:t xml:space="preserve">was estimated </w:t>
      </w:r>
      <w:r w:rsidR="00877997">
        <w:t xml:space="preserve">to be </w:t>
      </w:r>
      <w:r>
        <w:t xml:space="preserve">2 hours/LEA survey and 7.5 hours/school survey.  The SY 2009-10 CRDC LEA survey </w:t>
      </w:r>
      <w:r w:rsidR="00877997">
        <w:t xml:space="preserve">student/course </w:t>
      </w:r>
      <w:r>
        <w:t xml:space="preserve">content will increase by approximately 40%; and the school survey </w:t>
      </w:r>
      <w:r>
        <w:lastRenderedPageBreak/>
        <w:t xml:space="preserve">student/course content will increase by approximately 34%.  </w:t>
      </w:r>
      <w:r w:rsidR="00877997">
        <w:t>Therefore the burden of the student/course content is estimated as:</w:t>
      </w:r>
    </w:p>
    <w:p w:rsidR="00877997" w:rsidRDefault="00877997" w:rsidP="00877997">
      <w:pPr>
        <w:numPr>
          <w:ilvl w:val="0"/>
          <w:numId w:val="19"/>
        </w:numPr>
        <w:tabs>
          <w:tab w:val="left" w:pos="-360"/>
          <w:tab w:val="left" w:pos="0"/>
          <w:tab w:val="left" w:pos="270"/>
          <w:tab w:val="left" w:pos="630"/>
        </w:tabs>
      </w:pPr>
      <w:r>
        <w:t>LEA survey student/course content:  2</w:t>
      </w:r>
      <w:r w:rsidR="00A05111">
        <w:t>.</w:t>
      </w:r>
      <w:r>
        <w:t>8 hours (1.4 x 2)</w:t>
      </w:r>
    </w:p>
    <w:p w:rsidR="00877997" w:rsidRDefault="00877997" w:rsidP="00877997">
      <w:pPr>
        <w:numPr>
          <w:ilvl w:val="0"/>
          <w:numId w:val="19"/>
        </w:numPr>
        <w:tabs>
          <w:tab w:val="left" w:pos="-360"/>
          <w:tab w:val="left" w:pos="0"/>
          <w:tab w:val="left" w:pos="270"/>
          <w:tab w:val="left" w:pos="630"/>
        </w:tabs>
        <w:spacing w:after="120"/>
      </w:pPr>
      <w:r>
        <w:t>School survey student/course content:  10.1 hours (1.34 x 7.5)</w:t>
      </w:r>
    </w:p>
    <w:p w:rsidR="0053716D" w:rsidRDefault="00877997" w:rsidP="00877997">
      <w:pPr>
        <w:tabs>
          <w:tab w:val="left" w:pos="-360"/>
          <w:tab w:val="left" w:pos="0"/>
          <w:tab w:val="left" w:pos="270"/>
          <w:tab w:val="left" w:pos="1440"/>
        </w:tabs>
      </w:pPr>
      <w:r>
        <w:t>The LEA survey contains no finance data.  The burden of the finance data on the school level survey</w:t>
      </w:r>
      <w:r w:rsidR="00A05111">
        <w:t xml:space="preserve"> is estimated to be 2.7 hours.  In developing this estimate, ED used a lesser value than the burden estimated for the ARRA collection of finance data because of several factors, such as the earlier notification to LEAs and the experience LEAs will from the ARRA collection.   Based on this burden estimate for the finance data,</w:t>
      </w:r>
      <w:r>
        <w:t xml:space="preserve"> the burden of the two components is estimated as:</w:t>
      </w:r>
    </w:p>
    <w:p w:rsidR="00877997" w:rsidRDefault="00877997" w:rsidP="00877997">
      <w:pPr>
        <w:numPr>
          <w:ilvl w:val="0"/>
          <w:numId w:val="19"/>
        </w:numPr>
        <w:tabs>
          <w:tab w:val="left" w:pos="-360"/>
          <w:tab w:val="left" w:pos="0"/>
          <w:tab w:val="left" w:pos="270"/>
          <w:tab w:val="left" w:pos="630"/>
        </w:tabs>
      </w:pPr>
      <w:r>
        <w:t xml:space="preserve">LEA survey:  2,8 hours </w:t>
      </w:r>
    </w:p>
    <w:p w:rsidR="00877997" w:rsidRDefault="00877997" w:rsidP="00877997">
      <w:pPr>
        <w:numPr>
          <w:ilvl w:val="0"/>
          <w:numId w:val="19"/>
        </w:numPr>
        <w:tabs>
          <w:tab w:val="left" w:pos="-360"/>
          <w:tab w:val="left" w:pos="0"/>
          <w:tab w:val="left" w:pos="270"/>
          <w:tab w:val="left" w:pos="630"/>
        </w:tabs>
        <w:spacing w:after="120"/>
      </w:pPr>
      <w:r>
        <w:t>School survey 12.8 hours (10.1 + 2.7)</w:t>
      </w:r>
    </w:p>
    <w:p w:rsidR="00877997" w:rsidRDefault="00877997" w:rsidP="00877997">
      <w:pPr>
        <w:tabs>
          <w:tab w:val="left" w:pos="-360"/>
          <w:tab w:val="left" w:pos="0"/>
          <w:tab w:val="left" w:pos="270"/>
          <w:tab w:val="left" w:pos="1440"/>
        </w:tabs>
      </w:pPr>
      <w:r>
        <w:t>The overall burden estimate is calculated as follows.  Overall, a</w:t>
      </w:r>
      <w:r w:rsidR="00AC3027">
        <w:t xml:space="preserve">pproximately </w:t>
      </w:r>
      <w:r w:rsidR="008A12D8">
        <w:t xml:space="preserve">7,000 </w:t>
      </w:r>
      <w:r w:rsidR="00532B52">
        <w:t>LEAs will respond for themselves and their</w:t>
      </w:r>
      <w:r w:rsidR="00F03119">
        <w:t xml:space="preserve"> </w:t>
      </w:r>
      <w:r w:rsidR="008A12D8">
        <w:t>77,000</w:t>
      </w:r>
      <w:r w:rsidR="00532B52">
        <w:t xml:space="preserve"> </w:t>
      </w:r>
      <w:r w:rsidR="00F03119">
        <w:t xml:space="preserve">schools to the request for data.  </w:t>
      </w:r>
      <w:r>
        <w:t xml:space="preserve">Using2.8 hours/LEA survey and 12.8 hours/school survey, as described above, the total </w:t>
      </w:r>
      <w:r w:rsidR="00C242FA">
        <w:t xml:space="preserve">burden estimate </w:t>
      </w:r>
      <w:r>
        <w:t>is calculated as follows:</w:t>
      </w:r>
    </w:p>
    <w:p w:rsidR="00877997" w:rsidRDefault="00877997" w:rsidP="00877997">
      <w:pPr>
        <w:numPr>
          <w:ilvl w:val="0"/>
          <w:numId w:val="20"/>
        </w:numPr>
        <w:tabs>
          <w:tab w:val="left" w:pos="-360"/>
          <w:tab w:val="left" w:pos="0"/>
          <w:tab w:val="left" w:pos="270"/>
          <w:tab w:val="left" w:pos="720"/>
        </w:tabs>
      </w:pPr>
      <w:r>
        <w:t>7,000 LEAs</w:t>
      </w:r>
    </w:p>
    <w:p w:rsidR="00877997" w:rsidRDefault="00877997" w:rsidP="00877997">
      <w:pPr>
        <w:numPr>
          <w:ilvl w:val="0"/>
          <w:numId w:val="20"/>
        </w:numPr>
        <w:tabs>
          <w:tab w:val="left" w:pos="-360"/>
          <w:tab w:val="left" w:pos="0"/>
          <w:tab w:val="left" w:pos="270"/>
          <w:tab w:val="left" w:pos="720"/>
        </w:tabs>
      </w:pPr>
      <w:r>
        <w:t>77,000 schools</w:t>
      </w:r>
    </w:p>
    <w:p w:rsidR="00877997" w:rsidRDefault="00877997" w:rsidP="00877997">
      <w:pPr>
        <w:numPr>
          <w:ilvl w:val="0"/>
          <w:numId w:val="20"/>
        </w:numPr>
        <w:tabs>
          <w:tab w:val="left" w:pos="-360"/>
          <w:tab w:val="left" w:pos="0"/>
          <w:tab w:val="left" w:pos="270"/>
          <w:tab w:val="left" w:pos="720"/>
        </w:tabs>
      </w:pPr>
      <w:r>
        <w:t>Average LEA has 11 schools</w:t>
      </w:r>
    </w:p>
    <w:p w:rsidR="00877997" w:rsidRDefault="00877997" w:rsidP="00877997">
      <w:pPr>
        <w:numPr>
          <w:ilvl w:val="0"/>
          <w:numId w:val="20"/>
        </w:numPr>
        <w:tabs>
          <w:tab w:val="left" w:pos="-360"/>
          <w:tab w:val="left" w:pos="0"/>
          <w:tab w:val="left" w:pos="270"/>
          <w:tab w:val="left" w:pos="720"/>
        </w:tabs>
      </w:pPr>
      <w:r>
        <w:t>Average LEA must complete 1 LEA survey and 11 school surveys</w:t>
      </w:r>
    </w:p>
    <w:p w:rsidR="00877997" w:rsidRDefault="00877997" w:rsidP="00877997">
      <w:pPr>
        <w:numPr>
          <w:ilvl w:val="0"/>
          <w:numId w:val="20"/>
        </w:numPr>
        <w:tabs>
          <w:tab w:val="left" w:pos="-360"/>
          <w:tab w:val="left" w:pos="0"/>
          <w:tab w:val="left" w:pos="270"/>
          <w:tab w:val="left" w:pos="720"/>
        </w:tabs>
      </w:pPr>
      <w:r>
        <w:t>Average estimated LEA burden is 143.6 hours (1 x 2.8 + 11 x 12.8)</w:t>
      </w:r>
    </w:p>
    <w:p w:rsidR="00877997" w:rsidRDefault="00877997" w:rsidP="008437E8">
      <w:pPr>
        <w:numPr>
          <w:ilvl w:val="0"/>
          <w:numId w:val="20"/>
        </w:numPr>
        <w:tabs>
          <w:tab w:val="left" w:pos="-360"/>
          <w:tab w:val="left" w:pos="0"/>
          <w:tab w:val="left" w:pos="270"/>
          <w:tab w:val="left" w:pos="720"/>
        </w:tabs>
        <w:spacing w:after="120"/>
      </w:pPr>
      <w:r>
        <w:t>Total estimated burden of the CRDC is 1,005,200 hours.</w:t>
      </w:r>
    </w:p>
    <w:p w:rsidR="00DD3045" w:rsidRDefault="00440B94" w:rsidP="008437E8">
      <w:pPr>
        <w:tabs>
          <w:tab w:val="left" w:pos="-360"/>
          <w:tab w:val="left" w:pos="0"/>
          <w:tab w:val="left" w:pos="270"/>
          <w:tab w:val="left" w:pos="1440"/>
        </w:tabs>
        <w:spacing w:after="120"/>
      </w:pPr>
      <w:r>
        <w:t xml:space="preserve">This results in a total burden estimate of </w:t>
      </w:r>
      <w:r w:rsidR="008437E8">
        <w:t>1,005,200</w:t>
      </w:r>
      <w:r>
        <w:t xml:space="preserve"> hours</w:t>
      </w:r>
      <w:r w:rsidR="008437E8">
        <w:t xml:space="preserve"> for the CRDC</w:t>
      </w:r>
      <w:r>
        <w:t>, all of which must be treated as new burden since the burden was set to zero in 2007, as explained above</w:t>
      </w:r>
      <w:r w:rsidR="00F0311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566"/>
        <w:gridCol w:w="1794"/>
        <w:gridCol w:w="1788"/>
      </w:tblGrid>
      <w:tr w:rsidR="00F03119" w:rsidTr="00532B52">
        <w:tblPrEx>
          <w:tblCellMar>
            <w:top w:w="0" w:type="dxa"/>
            <w:bottom w:w="0" w:type="dxa"/>
          </w:tblCellMar>
        </w:tblPrEx>
        <w:tc>
          <w:tcPr>
            <w:tcW w:w="3708" w:type="dxa"/>
          </w:tcPr>
          <w:p w:rsidR="00F03119" w:rsidRDefault="00F03119">
            <w:pPr>
              <w:tabs>
                <w:tab w:val="left" w:pos="-360"/>
                <w:tab w:val="left" w:pos="0"/>
                <w:tab w:val="left" w:pos="270"/>
                <w:tab w:val="left" w:pos="1440"/>
              </w:tabs>
              <w:jc w:val="center"/>
              <w:rPr>
                <w:sz w:val="20"/>
              </w:rPr>
            </w:pPr>
          </w:p>
        </w:tc>
        <w:tc>
          <w:tcPr>
            <w:tcW w:w="1566" w:type="dxa"/>
          </w:tcPr>
          <w:p w:rsidR="00F03119" w:rsidRDefault="00F03119">
            <w:pPr>
              <w:tabs>
                <w:tab w:val="left" w:pos="-360"/>
                <w:tab w:val="left" w:pos="0"/>
                <w:tab w:val="left" w:pos="270"/>
                <w:tab w:val="left" w:pos="1440"/>
              </w:tabs>
              <w:jc w:val="center"/>
              <w:rPr>
                <w:sz w:val="20"/>
              </w:rPr>
            </w:pPr>
            <w:r>
              <w:rPr>
                <w:sz w:val="20"/>
              </w:rPr>
              <w:t>Respondents</w:t>
            </w:r>
          </w:p>
        </w:tc>
        <w:tc>
          <w:tcPr>
            <w:tcW w:w="1794" w:type="dxa"/>
          </w:tcPr>
          <w:p w:rsidR="00F03119" w:rsidRDefault="00F03119">
            <w:pPr>
              <w:tabs>
                <w:tab w:val="left" w:pos="-360"/>
                <w:tab w:val="left" w:pos="0"/>
                <w:tab w:val="left" w:pos="270"/>
                <w:tab w:val="left" w:pos="1440"/>
              </w:tabs>
              <w:jc w:val="center"/>
              <w:rPr>
                <w:sz w:val="20"/>
              </w:rPr>
            </w:pPr>
            <w:r>
              <w:rPr>
                <w:sz w:val="20"/>
              </w:rPr>
              <w:t>Hours/Response</w:t>
            </w:r>
          </w:p>
        </w:tc>
        <w:tc>
          <w:tcPr>
            <w:tcW w:w="1788" w:type="dxa"/>
          </w:tcPr>
          <w:p w:rsidR="00F03119" w:rsidRDefault="00F03119">
            <w:pPr>
              <w:tabs>
                <w:tab w:val="left" w:pos="-360"/>
                <w:tab w:val="left" w:pos="0"/>
                <w:tab w:val="left" w:pos="270"/>
                <w:tab w:val="left" w:pos="1440"/>
              </w:tabs>
              <w:jc w:val="center"/>
              <w:rPr>
                <w:sz w:val="20"/>
              </w:rPr>
            </w:pPr>
            <w:r>
              <w:rPr>
                <w:sz w:val="20"/>
              </w:rPr>
              <w:t>Total Hours</w:t>
            </w:r>
          </w:p>
        </w:tc>
      </w:tr>
      <w:tr w:rsidR="00F03119" w:rsidTr="00532B52">
        <w:tblPrEx>
          <w:tblCellMar>
            <w:top w:w="0" w:type="dxa"/>
            <w:bottom w:w="0" w:type="dxa"/>
          </w:tblCellMar>
        </w:tblPrEx>
        <w:tc>
          <w:tcPr>
            <w:tcW w:w="3708" w:type="dxa"/>
          </w:tcPr>
          <w:p w:rsidR="00F03119" w:rsidRDefault="00F03119">
            <w:pPr>
              <w:tabs>
                <w:tab w:val="left" w:pos="-360"/>
                <w:tab w:val="left" w:pos="0"/>
                <w:tab w:val="left" w:pos="270"/>
                <w:tab w:val="left" w:pos="1440"/>
              </w:tabs>
              <w:rPr>
                <w:sz w:val="20"/>
              </w:rPr>
            </w:pPr>
            <w:r>
              <w:rPr>
                <w:sz w:val="20"/>
              </w:rPr>
              <w:t>Previous – Civil Rights Data</w:t>
            </w:r>
          </w:p>
        </w:tc>
        <w:tc>
          <w:tcPr>
            <w:tcW w:w="1566" w:type="dxa"/>
          </w:tcPr>
          <w:p w:rsidR="00F03119" w:rsidRDefault="00532B52">
            <w:pPr>
              <w:tabs>
                <w:tab w:val="left" w:pos="-360"/>
                <w:tab w:val="left" w:pos="0"/>
                <w:tab w:val="left" w:pos="270"/>
                <w:tab w:val="left" w:pos="1440"/>
              </w:tabs>
              <w:jc w:val="right"/>
              <w:rPr>
                <w:sz w:val="20"/>
              </w:rPr>
            </w:pPr>
            <w:r>
              <w:rPr>
                <w:sz w:val="20"/>
              </w:rPr>
              <w:t>0</w:t>
            </w:r>
          </w:p>
        </w:tc>
        <w:tc>
          <w:tcPr>
            <w:tcW w:w="1794" w:type="dxa"/>
          </w:tcPr>
          <w:p w:rsidR="00F03119" w:rsidRDefault="00F03119">
            <w:pPr>
              <w:tabs>
                <w:tab w:val="left" w:pos="-360"/>
                <w:tab w:val="left" w:pos="0"/>
                <w:tab w:val="left" w:pos="270"/>
                <w:tab w:val="left" w:pos="1440"/>
              </w:tabs>
              <w:jc w:val="right"/>
              <w:rPr>
                <w:sz w:val="20"/>
              </w:rPr>
            </w:pPr>
          </w:p>
        </w:tc>
        <w:tc>
          <w:tcPr>
            <w:tcW w:w="1788" w:type="dxa"/>
          </w:tcPr>
          <w:p w:rsidR="00F03119" w:rsidRDefault="00532B52">
            <w:pPr>
              <w:tabs>
                <w:tab w:val="left" w:pos="-360"/>
                <w:tab w:val="left" w:pos="0"/>
                <w:tab w:val="left" w:pos="270"/>
                <w:tab w:val="left" w:pos="1440"/>
              </w:tabs>
              <w:jc w:val="right"/>
              <w:rPr>
                <w:sz w:val="20"/>
              </w:rPr>
            </w:pPr>
            <w:r>
              <w:rPr>
                <w:sz w:val="20"/>
              </w:rPr>
              <w:t>0</w:t>
            </w:r>
          </w:p>
        </w:tc>
      </w:tr>
      <w:tr w:rsidR="00F03119" w:rsidTr="00532B52">
        <w:tblPrEx>
          <w:tblCellMar>
            <w:top w:w="0" w:type="dxa"/>
            <w:bottom w:w="0" w:type="dxa"/>
          </w:tblCellMar>
        </w:tblPrEx>
        <w:tc>
          <w:tcPr>
            <w:tcW w:w="3708" w:type="dxa"/>
          </w:tcPr>
          <w:p w:rsidR="00F03119" w:rsidRDefault="00F03119">
            <w:pPr>
              <w:tabs>
                <w:tab w:val="left" w:pos="-360"/>
                <w:tab w:val="left" w:pos="0"/>
                <w:tab w:val="left" w:pos="270"/>
                <w:tab w:val="left" w:pos="1440"/>
              </w:tabs>
              <w:rPr>
                <w:sz w:val="20"/>
              </w:rPr>
            </w:pPr>
            <w:r>
              <w:rPr>
                <w:sz w:val="20"/>
              </w:rPr>
              <w:t>New – Civil Rights Data</w:t>
            </w:r>
          </w:p>
        </w:tc>
        <w:tc>
          <w:tcPr>
            <w:tcW w:w="1566" w:type="dxa"/>
          </w:tcPr>
          <w:p w:rsidR="00F03119" w:rsidRDefault="00440B94">
            <w:pPr>
              <w:tabs>
                <w:tab w:val="left" w:pos="-360"/>
                <w:tab w:val="left" w:pos="0"/>
                <w:tab w:val="left" w:pos="270"/>
                <w:tab w:val="left" w:pos="1440"/>
              </w:tabs>
              <w:jc w:val="right"/>
              <w:rPr>
                <w:sz w:val="20"/>
              </w:rPr>
            </w:pPr>
            <w:r>
              <w:rPr>
                <w:sz w:val="20"/>
              </w:rPr>
              <w:t>7,000</w:t>
            </w:r>
          </w:p>
        </w:tc>
        <w:tc>
          <w:tcPr>
            <w:tcW w:w="1794" w:type="dxa"/>
          </w:tcPr>
          <w:p w:rsidR="00F03119" w:rsidRDefault="008437E8">
            <w:pPr>
              <w:tabs>
                <w:tab w:val="left" w:pos="-360"/>
                <w:tab w:val="left" w:pos="0"/>
                <w:tab w:val="left" w:pos="270"/>
                <w:tab w:val="left" w:pos="1440"/>
              </w:tabs>
              <w:jc w:val="right"/>
              <w:rPr>
                <w:sz w:val="20"/>
              </w:rPr>
            </w:pPr>
            <w:r>
              <w:rPr>
                <w:sz w:val="20"/>
              </w:rPr>
              <w:t>143.6</w:t>
            </w:r>
          </w:p>
        </w:tc>
        <w:tc>
          <w:tcPr>
            <w:tcW w:w="1788" w:type="dxa"/>
          </w:tcPr>
          <w:p w:rsidR="00F03119" w:rsidRDefault="008437E8">
            <w:pPr>
              <w:tabs>
                <w:tab w:val="left" w:pos="-360"/>
                <w:tab w:val="left" w:pos="0"/>
                <w:tab w:val="left" w:pos="270"/>
                <w:tab w:val="left" w:pos="1440"/>
              </w:tabs>
              <w:jc w:val="right"/>
              <w:rPr>
                <w:sz w:val="20"/>
              </w:rPr>
            </w:pPr>
            <w:r>
              <w:rPr>
                <w:sz w:val="20"/>
              </w:rPr>
              <w:t>1,005,200</w:t>
            </w:r>
          </w:p>
        </w:tc>
      </w:tr>
      <w:tr w:rsidR="00F03119" w:rsidTr="00532B52">
        <w:tblPrEx>
          <w:tblCellMar>
            <w:top w:w="0" w:type="dxa"/>
            <w:bottom w:w="0" w:type="dxa"/>
          </w:tblCellMar>
        </w:tblPrEx>
        <w:tc>
          <w:tcPr>
            <w:tcW w:w="3708" w:type="dxa"/>
          </w:tcPr>
          <w:p w:rsidR="00F03119" w:rsidRDefault="00532B52">
            <w:pPr>
              <w:tabs>
                <w:tab w:val="left" w:pos="-360"/>
                <w:tab w:val="left" w:pos="0"/>
                <w:tab w:val="left" w:pos="270"/>
                <w:tab w:val="left" w:pos="1440"/>
              </w:tabs>
              <w:rPr>
                <w:sz w:val="20"/>
              </w:rPr>
            </w:pPr>
            <w:r>
              <w:rPr>
                <w:sz w:val="20"/>
              </w:rPr>
              <w:t>Carry forward</w:t>
            </w:r>
            <w:r w:rsidR="000F7122">
              <w:rPr>
                <w:sz w:val="20"/>
              </w:rPr>
              <w:t xml:space="preserve">– </w:t>
            </w:r>
            <w:r>
              <w:rPr>
                <w:sz w:val="20"/>
              </w:rPr>
              <w:t xml:space="preserve">State-based </w:t>
            </w:r>
            <w:r w:rsidR="000F7122">
              <w:rPr>
                <w:sz w:val="20"/>
              </w:rPr>
              <w:t>ED</w:t>
            </w:r>
            <w:r w:rsidR="000F7122" w:rsidRPr="000F7122">
              <w:rPr>
                <w:i/>
                <w:sz w:val="20"/>
              </w:rPr>
              <w:t>Facts</w:t>
            </w:r>
            <w:r w:rsidR="000F7122">
              <w:rPr>
                <w:sz w:val="20"/>
              </w:rPr>
              <w:t xml:space="preserve"> Data</w:t>
            </w:r>
          </w:p>
        </w:tc>
        <w:tc>
          <w:tcPr>
            <w:tcW w:w="1566" w:type="dxa"/>
          </w:tcPr>
          <w:p w:rsidR="00F03119" w:rsidRDefault="000F7122">
            <w:pPr>
              <w:tabs>
                <w:tab w:val="left" w:pos="-360"/>
                <w:tab w:val="left" w:pos="0"/>
                <w:tab w:val="left" w:pos="270"/>
                <w:tab w:val="left" w:pos="1440"/>
              </w:tabs>
              <w:jc w:val="right"/>
              <w:rPr>
                <w:sz w:val="20"/>
              </w:rPr>
            </w:pPr>
            <w:r>
              <w:rPr>
                <w:sz w:val="20"/>
              </w:rPr>
              <w:t>59</w:t>
            </w:r>
          </w:p>
        </w:tc>
        <w:tc>
          <w:tcPr>
            <w:tcW w:w="1794" w:type="dxa"/>
          </w:tcPr>
          <w:p w:rsidR="00F03119" w:rsidRDefault="00F03119">
            <w:pPr>
              <w:tabs>
                <w:tab w:val="left" w:pos="-360"/>
                <w:tab w:val="left" w:pos="0"/>
                <w:tab w:val="left" w:pos="270"/>
                <w:tab w:val="left" w:pos="1440"/>
              </w:tabs>
              <w:jc w:val="right"/>
              <w:rPr>
                <w:sz w:val="20"/>
              </w:rPr>
            </w:pPr>
          </w:p>
        </w:tc>
        <w:tc>
          <w:tcPr>
            <w:tcW w:w="1788" w:type="dxa"/>
          </w:tcPr>
          <w:p w:rsidR="00F03119" w:rsidRPr="00C85CED" w:rsidRDefault="000F7122">
            <w:pPr>
              <w:tabs>
                <w:tab w:val="left" w:pos="-360"/>
                <w:tab w:val="left" w:pos="0"/>
                <w:tab w:val="left" w:pos="270"/>
                <w:tab w:val="left" w:pos="1440"/>
              </w:tabs>
              <w:jc w:val="right"/>
              <w:rPr>
                <w:sz w:val="20"/>
                <w:highlight w:val="yellow"/>
              </w:rPr>
            </w:pPr>
            <w:r w:rsidRPr="00C73347">
              <w:rPr>
                <w:sz w:val="20"/>
              </w:rPr>
              <w:t>107,834</w:t>
            </w:r>
          </w:p>
        </w:tc>
      </w:tr>
      <w:tr w:rsidR="00F03119" w:rsidTr="00532B52">
        <w:tblPrEx>
          <w:tblCellMar>
            <w:top w:w="0" w:type="dxa"/>
            <w:bottom w:w="0" w:type="dxa"/>
          </w:tblCellMar>
        </w:tblPrEx>
        <w:tc>
          <w:tcPr>
            <w:tcW w:w="3708" w:type="dxa"/>
          </w:tcPr>
          <w:p w:rsidR="00F03119" w:rsidRDefault="00F03119">
            <w:pPr>
              <w:tabs>
                <w:tab w:val="left" w:pos="-360"/>
                <w:tab w:val="left" w:pos="0"/>
                <w:tab w:val="left" w:pos="270"/>
                <w:tab w:val="left" w:pos="1440"/>
              </w:tabs>
              <w:rPr>
                <w:b/>
                <w:bCs/>
                <w:sz w:val="20"/>
              </w:rPr>
            </w:pPr>
            <w:r>
              <w:rPr>
                <w:b/>
                <w:bCs/>
                <w:sz w:val="20"/>
              </w:rPr>
              <w:t>New – Total Burden</w:t>
            </w:r>
          </w:p>
        </w:tc>
        <w:tc>
          <w:tcPr>
            <w:tcW w:w="1566" w:type="dxa"/>
          </w:tcPr>
          <w:p w:rsidR="00F03119" w:rsidRDefault="00C85CED" w:rsidP="005C3890">
            <w:pPr>
              <w:tabs>
                <w:tab w:val="left" w:pos="-360"/>
                <w:tab w:val="left" w:pos="0"/>
                <w:tab w:val="left" w:pos="270"/>
                <w:tab w:val="left" w:pos="1440"/>
              </w:tabs>
              <w:jc w:val="right"/>
              <w:rPr>
                <w:b/>
                <w:bCs/>
                <w:sz w:val="20"/>
              </w:rPr>
            </w:pPr>
            <w:r>
              <w:rPr>
                <w:b/>
                <w:bCs/>
                <w:sz w:val="20"/>
              </w:rPr>
              <w:t>7,059</w:t>
            </w:r>
          </w:p>
        </w:tc>
        <w:tc>
          <w:tcPr>
            <w:tcW w:w="1794" w:type="dxa"/>
          </w:tcPr>
          <w:p w:rsidR="00F03119" w:rsidRDefault="00F03119">
            <w:pPr>
              <w:tabs>
                <w:tab w:val="left" w:pos="-360"/>
                <w:tab w:val="left" w:pos="0"/>
                <w:tab w:val="left" w:pos="270"/>
                <w:tab w:val="left" w:pos="1440"/>
              </w:tabs>
              <w:jc w:val="right"/>
              <w:rPr>
                <w:b/>
                <w:bCs/>
                <w:sz w:val="20"/>
              </w:rPr>
            </w:pPr>
          </w:p>
        </w:tc>
        <w:tc>
          <w:tcPr>
            <w:tcW w:w="1788" w:type="dxa"/>
          </w:tcPr>
          <w:p w:rsidR="00F03119" w:rsidRPr="00C73347" w:rsidRDefault="008437E8">
            <w:pPr>
              <w:tabs>
                <w:tab w:val="left" w:pos="-360"/>
                <w:tab w:val="left" w:pos="0"/>
                <w:tab w:val="left" w:pos="270"/>
                <w:tab w:val="left" w:pos="1440"/>
              </w:tabs>
              <w:jc w:val="right"/>
              <w:rPr>
                <w:b/>
                <w:bCs/>
                <w:sz w:val="20"/>
              </w:rPr>
            </w:pPr>
            <w:r>
              <w:rPr>
                <w:b/>
                <w:bCs/>
                <w:sz w:val="20"/>
              </w:rPr>
              <w:t>1,113,034</w:t>
            </w:r>
          </w:p>
          <w:p w:rsidR="00440B94" w:rsidRPr="00C85CED" w:rsidRDefault="00440B94">
            <w:pPr>
              <w:tabs>
                <w:tab w:val="left" w:pos="-360"/>
                <w:tab w:val="left" w:pos="0"/>
                <w:tab w:val="left" w:pos="270"/>
                <w:tab w:val="left" w:pos="1440"/>
              </w:tabs>
              <w:jc w:val="right"/>
              <w:rPr>
                <w:b/>
                <w:bCs/>
                <w:sz w:val="20"/>
                <w:highlight w:val="yellow"/>
              </w:rPr>
            </w:pPr>
          </w:p>
        </w:tc>
      </w:tr>
    </w:tbl>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pPr>
      <w:r>
        <w:t xml:space="preserve">The </w:t>
      </w:r>
      <w:r w:rsidR="005C3890">
        <w:t xml:space="preserve">respondent </w:t>
      </w:r>
      <w:r>
        <w:t>cost</w:t>
      </w:r>
      <w:r w:rsidR="005C3890">
        <w:t xml:space="preserve"> for th</w:t>
      </w:r>
      <w:r w:rsidR="00440B94">
        <w:t>e</w:t>
      </w:r>
      <w:r w:rsidR="005C3890">
        <w:t xml:space="preserve"> </w:t>
      </w:r>
      <w:r w:rsidR="00440B94">
        <w:t xml:space="preserve">SY 2009-10 </w:t>
      </w:r>
      <w:r w:rsidR="005C3890">
        <w:t>Civil Rights Data Collection</w:t>
      </w:r>
      <w:r>
        <w:t xml:space="preserve"> is estimated to be $</w:t>
      </w:r>
      <w:r w:rsidR="00532B52">
        <w:t> </w:t>
      </w:r>
      <w:r w:rsidR="008437E8">
        <w:t>40,208</w:t>
      </w:r>
      <w:r w:rsidR="005C3890">
        <w:t>,000</w:t>
      </w:r>
      <w:r>
        <w:t xml:space="preserve"> (</w:t>
      </w:r>
      <w:r w:rsidR="008437E8">
        <w:t xml:space="preserve">1,005,200 </w:t>
      </w:r>
      <w:r>
        <w:t>hours multiplied by an average wage of $40 per hour).  There is a wide range of hourly salaries associated with the professionals that will provide th</w:t>
      </w:r>
      <w:r w:rsidR="008437E8">
        <w:t>e</w:t>
      </w:r>
      <w:r>
        <w:t xml:space="preserve"> data</w:t>
      </w:r>
      <w:r w:rsidR="00440B94">
        <w:t>, but $40/hour is a reasonable average</w:t>
      </w:r>
      <w:r>
        <w:t>.</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rPr>
          <w:b/>
          <w:bCs/>
        </w:rPr>
      </w:pPr>
      <w:r>
        <w:rPr>
          <w:b/>
          <w:bCs/>
        </w:rPr>
        <w:t>13. Provide an estimate of the total annual cost burden to respondents or record keepers resulting from the collection of information.  (Do not include the cost of any hour burden shown in Items 12 and 14.)</w:t>
      </w:r>
    </w:p>
    <w:p w:rsidR="00F03119" w:rsidRDefault="00F03119">
      <w:pPr>
        <w:pStyle w:val="Style"/>
        <w:numPr>
          <w:ilvl w:val="0"/>
          <w:numId w:val="5"/>
        </w:numPr>
        <w:tabs>
          <w:tab w:val="left" w:pos="-360"/>
          <w:tab w:val="left" w:pos="0"/>
          <w:tab w:val="left" w:pos="270"/>
          <w:tab w:val="left" w:pos="1440"/>
        </w:tabs>
        <w:rPr>
          <w:b/>
          <w:bCs/>
        </w:rPr>
      </w:pPr>
      <w:r>
        <w:rPr>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w:t>
      </w:r>
      <w:r>
        <w:rPr>
          <w:b/>
          <w:bCs/>
        </w:rPr>
        <w:lastRenderedPageBreak/>
        <w:t>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03119" w:rsidRDefault="00F03119">
      <w:pPr>
        <w:pStyle w:val="Style"/>
        <w:numPr>
          <w:ilvl w:val="0"/>
          <w:numId w:val="5"/>
        </w:numPr>
        <w:tabs>
          <w:tab w:val="left" w:pos="-360"/>
          <w:tab w:val="left" w:pos="0"/>
          <w:tab w:val="left" w:pos="270"/>
          <w:tab w:val="left" w:pos="1440"/>
        </w:tabs>
        <w:rPr>
          <w:b/>
          <w:bCs/>
        </w:rPr>
      </w:pPr>
      <w:r>
        <w:rPr>
          <w:b/>
          <w:bC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03119" w:rsidRDefault="00F03119">
      <w:pPr>
        <w:pStyle w:val="Style"/>
        <w:numPr>
          <w:ilvl w:val="0"/>
          <w:numId w:val="5"/>
        </w:numPr>
        <w:tabs>
          <w:tab w:val="left" w:pos="-360"/>
          <w:tab w:val="left" w:pos="0"/>
          <w:tab w:val="left" w:pos="270"/>
          <w:tab w:val="left" w:pos="1440"/>
        </w:tabs>
      </w:pPr>
      <w:r>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pPr>
      <w:r>
        <w:t xml:space="preserve">The collection of </w:t>
      </w:r>
      <w:r w:rsidR="00AC3027">
        <w:t xml:space="preserve">CRDC </w:t>
      </w:r>
      <w:r>
        <w:t xml:space="preserve">data for the foreseeable future will require no additional systems development efforts by the </w:t>
      </w:r>
      <w:r w:rsidR="004A36E4">
        <w:t>local agencies</w:t>
      </w:r>
      <w:r>
        <w:t xml:space="preserve">.  </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pPr>
    </w:p>
    <w:p w:rsidR="00F03119" w:rsidRDefault="00F03119">
      <w:pPr>
        <w:pStyle w:val="BodyText"/>
        <w:tabs>
          <w:tab w:val="left" w:pos="-360"/>
          <w:tab w:val="left" w:pos="0"/>
          <w:tab w:val="left" w:pos="270"/>
          <w:tab w:val="left" w:pos="1440"/>
        </w:tabs>
      </w:pPr>
      <w: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pPr>
      <w:r>
        <w:t>The estimated government cost for the next Ci</w:t>
      </w:r>
      <w:r w:rsidR="005C3890">
        <w:t>vil Rights Data Collection is $</w:t>
      </w:r>
      <w:r w:rsidR="005126BD">
        <w:t>3</w:t>
      </w:r>
      <w:r w:rsidR="005C3890">
        <w:t>,</w:t>
      </w:r>
      <w:r w:rsidR="004C5E98">
        <w:t>8</w:t>
      </w:r>
      <w:r>
        <w:t>00,000.</w:t>
      </w:r>
      <w:r w:rsidR="00670A5C">
        <w:t xml:space="preserve">  This estimate is based on contractual costs to develop a revised survey tool, provide technical support for users, and produce </w:t>
      </w:r>
      <w:r w:rsidR="00B30F59">
        <w:t xml:space="preserve">and analyze </w:t>
      </w:r>
      <w:r w:rsidR="00670A5C">
        <w:t>the resulting database of survey responses.</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pPr>
    </w:p>
    <w:p w:rsidR="00F03119" w:rsidRDefault="00F03119">
      <w:pPr>
        <w:pStyle w:val="BodyText"/>
        <w:tabs>
          <w:tab w:val="left" w:pos="-360"/>
          <w:tab w:val="left" w:pos="0"/>
          <w:tab w:val="left" w:pos="270"/>
          <w:tab w:val="left" w:pos="1440"/>
        </w:tabs>
      </w:pPr>
      <w:r>
        <w:t>15. Explain the reasons for any program changes or adjustments reported in Items 13 or 14 of the OMB Form 83-I.</w:t>
      </w:r>
    </w:p>
    <w:p w:rsidR="00F03119" w:rsidRDefault="00F03119">
      <w:pPr>
        <w:tabs>
          <w:tab w:val="left" w:pos="-360"/>
          <w:tab w:val="left" w:pos="0"/>
          <w:tab w:val="left" w:pos="270"/>
          <w:tab w:val="left" w:pos="1440"/>
        </w:tabs>
      </w:pPr>
    </w:p>
    <w:p w:rsidR="00F03119" w:rsidRDefault="00670A5C" w:rsidP="00670A5C">
      <w:pPr>
        <w:tabs>
          <w:tab w:val="left" w:pos="-360"/>
          <w:tab w:val="left" w:pos="0"/>
          <w:tab w:val="left" w:pos="270"/>
          <w:tab w:val="left" w:pos="1440"/>
        </w:tabs>
        <w:spacing w:after="120"/>
      </w:pPr>
      <w:r>
        <w:t xml:space="preserve">Approximately 7,000 LEAs will respond </w:t>
      </w:r>
      <w:r w:rsidR="003312B9">
        <w:t xml:space="preserve">to the CRDC </w:t>
      </w:r>
      <w:r>
        <w:t>for themselves and their 77,000 schools to th</w:t>
      </w:r>
      <w:r w:rsidR="003312B9">
        <w:t>is</w:t>
      </w:r>
      <w:r>
        <w:t xml:space="preserve"> request for data.  This results in a total </w:t>
      </w:r>
      <w:r w:rsidR="003312B9">
        <w:t xml:space="preserve">CRDC </w:t>
      </w:r>
      <w:r>
        <w:t xml:space="preserve">burden estimate of </w:t>
      </w:r>
      <w:r w:rsidR="008437E8">
        <w:t xml:space="preserve">1,005,200 </w:t>
      </w:r>
      <w:r>
        <w:t>hours, all of which must be treated as new burden since the burden was set to zero in 2007, as explained above.</w:t>
      </w:r>
      <w:r w:rsidR="003312B9">
        <w:t xml:space="preserve">  The ESS burden is unchanged.</w:t>
      </w:r>
    </w:p>
    <w:p w:rsidR="00670A5C" w:rsidRDefault="00670A5C" w:rsidP="005126BD">
      <w:pPr>
        <w:tabs>
          <w:tab w:val="left" w:pos="-360"/>
          <w:tab w:val="left" w:pos="0"/>
          <w:tab w:val="left" w:pos="270"/>
          <w:tab w:val="left" w:pos="1440"/>
        </w:tabs>
      </w:pPr>
      <w:r>
        <w:lastRenderedPageBreak/>
        <w:t>The government cost is similar to the cost of previous surveys, the last of which was the 2006 CRDC, conducted in 2007.</w:t>
      </w:r>
    </w:p>
    <w:p w:rsidR="00F03119" w:rsidRDefault="00F03119">
      <w:pPr>
        <w:tabs>
          <w:tab w:val="left" w:pos="-360"/>
          <w:tab w:val="left" w:pos="0"/>
          <w:tab w:val="left" w:pos="270"/>
          <w:tab w:val="left" w:pos="1440"/>
        </w:tabs>
      </w:pPr>
    </w:p>
    <w:p w:rsidR="00F03119" w:rsidRDefault="00F03119">
      <w:pPr>
        <w:pStyle w:val="BodyText"/>
        <w:tabs>
          <w:tab w:val="left" w:pos="-360"/>
          <w:tab w:val="left" w:pos="0"/>
          <w:tab w:val="left" w:pos="270"/>
          <w:tab w:val="left" w:pos="1440"/>
        </w:tabs>
      </w:pPr>
    </w:p>
    <w:p w:rsidR="00F03119" w:rsidRDefault="00F03119" w:rsidP="00B30F59">
      <w:pPr>
        <w:pStyle w:val="BodyText"/>
        <w:tabs>
          <w:tab w:val="left" w:pos="-360"/>
          <w:tab w:val="left" w:pos="0"/>
          <w:tab w:val="left" w:pos="270"/>
          <w:tab w:val="left" w:pos="1440"/>
        </w:tabs>
      </w:pPr>
      <w: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30F59" w:rsidRDefault="00B30F59" w:rsidP="00B30F59">
      <w:pPr>
        <w:pStyle w:val="BodyText"/>
        <w:tabs>
          <w:tab w:val="left" w:pos="-360"/>
          <w:tab w:val="left" w:pos="0"/>
          <w:tab w:val="left" w:pos="270"/>
          <w:tab w:val="left" w:pos="1440"/>
        </w:tabs>
      </w:pPr>
    </w:p>
    <w:p w:rsidR="00F03119" w:rsidRDefault="00FA60DD">
      <w:pPr>
        <w:tabs>
          <w:tab w:val="left" w:pos="-360"/>
          <w:tab w:val="left" w:pos="0"/>
          <w:tab w:val="left" w:pos="270"/>
          <w:tab w:val="left" w:pos="1440"/>
        </w:tabs>
      </w:pPr>
      <w:r>
        <w:t xml:space="preserve">The Department presently makes CRDC results available </w:t>
      </w:r>
      <w:r w:rsidR="006425A4">
        <w:t xml:space="preserve">to the public </w:t>
      </w:r>
      <w:r>
        <w:t>on the Web</w:t>
      </w:r>
      <w:r w:rsidR="006425A4">
        <w:t xml:space="preserve"> at </w:t>
      </w:r>
      <w:hyperlink r:id="rId9" w:history="1">
        <w:r w:rsidR="006425A4" w:rsidRPr="009F76C9">
          <w:rPr>
            <w:rStyle w:val="Hyperlink"/>
          </w:rPr>
          <w:t>http://ocrdat</w:t>
        </w:r>
        <w:r w:rsidR="006425A4" w:rsidRPr="009F76C9">
          <w:rPr>
            <w:rStyle w:val="Hyperlink"/>
          </w:rPr>
          <w:t>a</w:t>
        </w:r>
        <w:r w:rsidR="006425A4" w:rsidRPr="009F76C9">
          <w:rPr>
            <w:rStyle w:val="Hyperlink"/>
          </w:rPr>
          <w:t>.ed.gov</w:t>
        </w:r>
      </w:hyperlink>
      <w:r w:rsidR="006425A4">
        <w:t xml:space="preserve">. </w:t>
      </w:r>
      <w:r>
        <w:t xml:space="preserve"> </w:t>
      </w:r>
      <w:r w:rsidR="006425A4">
        <w:t xml:space="preserve">This site provides a user-friendly Flexible Tables software product that displays CRDC data </w:t>
      </w:r>
      <w:r>
        <w:t xml:space="preserve">with privacy protections in place.  </w:t>
      </w:r>
      <w:r w:rsidR="006425A4">
        <w:t>N</w:t>
      </w:r>
      <w:r>
        <w:t>ational and state projections based on the raw data</w:t>
      </w:r>
      <w:r w:rsidR="006425A4">
        <w:t xml:space="preserve"> are also available at this site under Downloads</w:t>
      </w:r>
      <w:r>
        <w:t xml:space="preserve">.  </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pPr>
    </w:p>
    <w:p w:rsidR="00F03119" w:rsidRDefault="00F03119">
      <w:pPr>
        <w:pStyle w:val="BodyText"/>
        <w:tabs>
          <w:tab w:val="left" w:pos="-360"/>
          <w:tab w:val="left" w:pos="0"/>
          <w:tab w:val="left" w:pos="270"/>
          <w:tab w:val="left" w:pos="1440"/>
        </w:tabs>
      </w:pPr>
      <w:r>
        <w:t>17.  If seeking approval to not display the expiration date for OMB approval of the information collection, explain the reasons that display would be inappropriate.</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pPr>
      <w:r>
        <w:t xml:space="preserve">This collection </w:t>
      </w:r>
      <w:r w:rsidR="00FA60DD">
        <w:t xml:space="preserve">will </w:t>
      </w:r>
      <w:r>
        <w:t xml:space="preserve">display the OMB approval date in </w:t>
      </w:r>
      <w:r w:rsidR="00FA60DD">
        <w:t xml:space="preserve">all </w:t>
      </w:r>
      <w:r>
        <w:t xml:space="preserve">transmittal documents requesting the information from the </w:t>
      </w:r>
      <w:r w:rsidR="00FA60DD">
        <w:t>s</w:t>
      </w:r>
      <w:r>
        <w:t xml:space="preserve">tate </w:t>
      </w:r>
      <w:r w:rsidR="00FA60DD">
        <w:t xml:space="preserve">or local </w:t>
      </w:r>
      <w:r>
        <w:t xml:space="preserve">agencies and in any written discussion or representation of the collection.  The OMB number will be properly displayed on any </w:t>
      </w:r>
      <w:r w:rsidR="00EB4FC9">
        <w:t xml:space="preserve">the </w:t>
      </w:r>
      <w:r>
        <w:t xml:space="preserve">Web form </w:t>
      </w:r>
      <w:r w:rsidR="00EB4FC9">
        <w:t xml:space="preserve">and paper form </w:t>
      </w:r>
      <w:r>
        <w:t>used by the Civil Rights Data Collection.</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pPr>
    </w:p>
    <w:p w:rsidR="00F03119" w:rsidRDefault="00F03119">
      <w:pPr>
        <w:pStyle w:val="BodyText"/>
        <w:tabs>
          <w:tab w:val="left" w:pos="-360"/>
          <w:tab w:val="left" w:pos="0"/>
          <w:tab w:val="left" w:pos="270"/>
          <w:tab w:val="left" w:pos="1440"/>
        </w:tabs>
      </w:pPr>
      <w:r>
        <w:t>18. Explain each exception to the certification statement identified in Item 20, "Certification for Paperwork Reduction Act Submissions," of OMB Form 83-I.</w:t>
      </w:r>
    </w:p>
    <w:p w:rsidR="00F03119" w:rsidRDefault="00F03119">
      <w:pPr>
        <w:tabs>
          <w:tab w:val="left" w:pos="-360"/>
          <w:tab w:val="left" w:pos="0"/>
          <w:tab w:val="left" w:pos="270"/>
          <w:tab w:val="left" w:pos="1440"/>
        </w:tabs>
      </w:pPr>
    </w:p>
    <w:p w:rsidR="00F03119" w:rsidRDefault="00F03119">
      <w:pPr>
        <w:tabs>
          <w:tab w:val="left" w:pos="-360"/>
          <w:tab w:val="left" w:pos="0"/>
          <w:tab w:val="left" w:pos="270"/>
          <w:tab w:val="left" w:pos="1440"/>
        </w:tabs>
      </w:pPr>
      <w:r>
        <w:t>ED is requesting no exemptions from the Certification.</w:t>
      </w:r>
    </w:p>
    <w:p w:rsidR="00F03119" w:rsidRDefault="00F03119">
      <w:pPr>
        <w:tabs>
          <w:tab w:val="left" w:pos="-360"/>
          <w:tab w:val="left" w:pos="0"/>
          <w:tab w:val="left" w:pos="270"/>
          <w:tab w:val="left" w:pos="1440"/>
        </w:tabs>
      </w:pPr>
    </w:p>
    <w:p w:rsidR="0072792F" w:rsidRDefault="0072792F">
      <w:pPr>
        <w:tabs>
          <w:tab w:val="left" w:pos="-360"/>
          <w:tab w:val="left" w:pos="0"/>
          <w:tab w:val="left" w:pos="270"/>
          <w:tab w:val="left" w:pos="1440"/>
        </w:tabs>
      </w:pPr>
    </w:p>
    <w:sectPr w:rsidR="0072792F">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056" w:rsidRDefault="009E5056">
      <w:r>
        <w:separator/>
      </w:r>
    </w:p>
  </w:endnote>
  <w:endnote w:type="continuationSeparator" w:id="0">
    <w:p w:rsidR="009E5056" w:rsidRDefault="009E50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E8" w:rsidRDefault="008437E8">
    <w:pPr>
      <w:spacing w:line="240" w:lineRule="exact"/>
    </w:pPr>
  </w:p>
  <w:p w:rsidR="008437E8" w:rsidRDefault="008437E8">
    <w:pPr>
      <w:framePr w:w="9361" w:wrap="notBeside" w:vAnchor="text" w:hAnchor="text" w:x="1" w:y="1"/>
      <w:jc w:val="center"/>
    </w:pPr>
    <w:fldSimple w:instr="PAGE ">
      <w:r w:rsidR="00CE2A4B">
        <w:rPr>
          <w:noProof/>
        </w:rPr>
        <w:t>3</w:t>
      </w:r>
    </w:fldSimple>
  </w:p>
  <w:p w:rsidR="008437E8" w:rsidRDefault="008437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056" w:rsidRDefault="009E5056">
      <w:r>
        <w:separator/>
      </w:r>
    </w:p>
  </w:footnote>
  <w:footnote w:type="continuationSeparator" w:id="0">
    <w:p w:rsidR="009E5056" w:rsidRDefault="009E50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321ECD"/>
    <w:multiLevelType w:val="hybridMultilevel"/>
    <w:tmpl w:val="B4E8C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B608DE"/>
    <w:multiLevelType w:val="hybridMultilevel"/>
    <w:tmpl w:val="9BC8C944"/>
    <w:lvl w:ilvl="0" w:tplc="404E7DE0">
      <w:start w:val="16"/>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60625D"/>
    <w:multiLevelType w:val="hybridMultilevel"/>
    <w:tmpl w:val="68C0E74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0852B8"/>
    <w:multiLevelType w:val="hybridMultilevel"/>
    <w:tmpl w:val="6B5E9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6C3ECB"/>
    <w:multiLevelType w:val="hybridMultilevel"/>
    <w:tmpl w:val="72187196"/>
    <w:lvl w:ilvl="0" w:tplc="FFFFFFFF">
      <w:start w:val="1"/>
      <w:numFmt w:val="bullet"/>
      <w:lvlText w:val=""/>
      <w:lvlJc w:val="left"/>
      <w:pPr>
        <w:tabs>
          <w:tab w:val="num" w:pos="1060"/>
        </w:tabs>
        <w:ind w:left="1060" w:hanging="360"/>
      </w:pPr>
      <w:rPr>
        <w:rFonts w:ascii="Wingdings" w:hAnsi="Wingdings" w:hint="default"/>
      </w:rPr>
    </w:lvl>
    <w:lvl w:ilvl="1" w:tplc="FFFFFFFF">
      <w:start w:val="3"/>
      <w:numFmt w:val="decimal"/>
      <w:lvlText w:val="%2."/>
      <w:lvlJc w:val="left"/>
      <w:pPr>
        <w:tabs>
          <w:tab w:val="num" w:pos="1780"/>
        </w:tabs>
        <w:ind w:left="1780" w:hanging="360"/>
      </w:pPr>
      <w:rPr>
        <w:rFonts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lvl>
  </w:abstractNum>
  <w:abstractNum w:abstractNumId="7">
    <w:nsid w:val="2AF06DEE"/>
    <w:multiLevelType w:val="hybridMultilevel"/>
    <w:tmpl w:val="487076AC"/>
    <w:lvl w:ilvl="0" w:tplc="32C667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70925"/>
    <w:multiLevelType w:val="hybridMultilevel"/>
    <w:tmpl w:val="1EAE7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FA5496"/>
    <w:multiLevelType w:val="multilevel"/>
    <w:tmpl w:val="6578252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53A065C4"/>
    <w:multiLevelType w:val="hybridMultilevel"/>
    <w:tmpl w:val="01EC1426"/>
    <w:lvl w:ilvl="0" w:tplc="4A284C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345B6B"/>
    <w:multiLevelType w:val="hybridMultilevel"/>
    <w:tmpl w:val="9ECC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7D7218"/>
    <w:multiLevelType w:val="hybridMultilevel"/>
    <w:tmpl w:val="6578252C"/>
    <w:lvl w:ilvl="0" w:tplc="13A2AF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5496362"/>
    <w:multiLevelType w:val="hybridMultilevel"/>
    <w:tmpl w:val="46F8274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62F6583"/>
    <w:multiLevelType w:val="hybridMultilevel"/>
    <w:tmpl w:val="3614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DA305C"/>
    <w:multiLevelType w:val="hybridMultilevel"/>
    <w:tmpl w:val="C7AA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FC4A09"/>
    <w:multiLevelType w:val="hybridMultilevel"/>
    <w:tmpl w:val="A08802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B64DB0"/>
    <w:multiLevelType w:val="hybridMultilevel"/>
    <w:tmpl w:val="4A88A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C04038E"/>
    <w:multiLevelType w:val="hybridMultilevel"/>
    <w:tmpl w:val="204A1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985C21"/>
    <w:multiLevelType w:val="hybridMultilevel"/>
    <w:tmpl w:val="75A8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2">
    <w:abstractNumId w:val="4"/>
  </w:num>
  <w:num w:numId="3">
    <w:abstractNumId w:val="18"/>
  </w:num>
  <w:num w:numId="4">
    <w:abstractNumId w:val="17"/>
  </w:num>
  <w:num w:numId="5">
    <w:abstractNumId w:val="1"/>
  </w:num>
  <w:num w:numId="6">
    <w:abstractNumId w:val="3"/>
  </w:num>
  <w:num w:numId="7">
    <w:abstractNumId w:val="2"/>
  </w:num>
  <w:num w:numId="8">
    <w:abstractNumId w:val="13"/>
  </w:num>
  <w:num w:numId="9">
    <w:abstractNumId w:val="16"/>
  </w:num>
  <w:num w:numId="10">
    <w:abstractNumId w:val="8"/>
  </w:num>
  <w:num w:numId="11">
    <w:abstractNumId w:val="10"/>
  </w:num>
  <w:num w:numId="12">
    <w:abstractNumId w:val="7"/>
  </w:num>
  <w:num w:numId="13">
    <w:abstractNumId w:val="6"/>
  </w:num>
  <w:num w:numId="14">
    <w:abstractNumId w:val="5"/>
  </w:num>
  <w:num w:numId="15">
    <w:abstractNumId w:val="12"/>
  </w:num>
  <w:num w:numId="16">
    <w:abstractNumId w:val="9"/>
  </w:num>
  <w:num w:numId="17">
    <w:abstractNumId w:val="15"/>
  </w:num>
  <w:num w:numId="18">
    <w:abstractNumId w:val="14"/>
  </w:num>
  <w:num w:numId="19">
    <w:abstractNumId w:val="1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footnotePr>
    <w:footnote w:id="-1"/>
    <w:footnote w:id="0"/>
  </w:footnotePr>
  <w:endnotePr>
    <w:endnote w:id="-1"/>
    <w:endnote w:id="0"/>
  </w:endnotePr>
  <w:compat/>
  <w:rsids>
    <w:rsidRoot w:val="00325921"/>
    <w:rsid w:val="00015F11"/>
    <w:rsid w:val="00022404"/>
    <w:rsid w:val="00034C74"/>
    <w:rsid w:val="000547F6"/>
    <w:rsid w:val="00057D54"/>
    <w:rsid w:val="00061B4C"/>
    <w:rsid w:val="00063849"/>
    <w:rsid w:val="00072BEB"/>
    <w:rsid w:val="00085BFB"/>
    <w:rsid w:val="000A3430"/>
    <w:rsid w:val="000C1F4D"/>
    <w:rsid w:val="000D27A4"/>
    <w:rsid w:val="000F7122"/>
    <w:rsid w:val="00161056"/>
    <w:rsid w:val="00162D55"/>
    <w:rsid w:val="00166397"/>
    <w:rsid w:val="00177052"/>
    <w:rsid w:val="00180893"/>
    <w:rsid w:val="00191657"/>
    <w:rsid w:val="001E4716"/>
    <w:rsid w:val="001E4A12"/>
    <w:rsid w:val="001E52F9"/>
    <w:rsid w:val="00223187"/>
    <w:rsid w:val="0023780C"/>
    <w:rsid w:val="0028108E"/>
    <w:rsid w:val="00282D07"/>
    <w:rsid w:val="00283041"/>
    <w:rsid w:val="00285B69"/>
    <w:rsid w:val="002970DB"/>
    <w:rsid w:val="002B053A"/>
    <w:rsid w:val="002F606B"/>
    <w:rsid w:val="00303B94"/>
    <w:rsid w:val="00320927"/>
    <w:rsid w:val="00325921"/>
    <w:rsid w:val="003312B9"/>
    <w:rsid w:val="00334ECE"/>
    <w:rsid w:val="003F1CA9"/>
    <w:rsid w:val="003F54FA"/>
    <w:rsid w:val="00401C0D"/>
    <w:rsid w:val="004119A2"/>
    <w:rsid w:val="0043623D"/>
    <w:rsid w:val="00440B94"/>
    <w:rsid w:val="004458E6"/>
    <w:rsid w:val="00462B56"/>
    <w:rsid w:val="00462EE1"/>
    <w:rsid w:val="00480597"/>
    <w:rsid w:val="004922DA"/>
    <w:rsid w:val="004A36E4"/>
    <w:rsid w:val="004B79B8"/>
    <w:rsid w:val="004C5E98"/>
    <w:rsid w:val="004D28D6"/>
    <w:rsid w:val="004E6ABF"/>
    <w:rsid w:val="004F7E2E"/>
    <w:rsid w:val="005113EF"/>
    <w:rsid w:val="005126BD"/>
    <w:rsid w:val="00532B52"/>
    <w:rsid w:val="0053716D"/>
    <w:rsid w:val="00544DC5"/>
    <w:rsid w:val="005613BD"/>
    <w:rsid w:val="0056286D"/>
    <w:rsid w:val="005A30B5"/>
    <w:rsid w:val="005B3035"/>
    <w:rsid w:val="005C24BF"/>
    <w:rsid w:val="005C3890"/>
    <w:rsid w:val="005D1D68"/>
    <w:rsid w:val="005F162E"/>
    <w:rsid w:val="00607BB8"/>
    <w:rsid w:val="006233EC"/>
    <w:rsid w:val="006406FC"/>
    <w:rsid w:val="006425A4"/>
    <w:rsid w:val="00670A5C"/>
    <w:rsid w:val="00706675"/>
    <w:rsid w:val="007206D0"/>
    <w:rsid w:val="00721DDC"/>
    <w:rsid w:val="00727078"/>
    <w:rsid w:val="0072792F"/>
    <w:rsid w:val="007350F3"/>
    <w:rsid w:val="00735B36"/>
    <w:rsid w:val="0074451A"/>
    <w:rsid w:val="0076746A"/>
    <w:rsid w:val="00795F8B"/>
    <w:rsid w:val="007B138B"/>
    <w:rsid w:val="007B7510"/>
    <w:rsid w:val="007D4C10"/>
    <w:rsid w:val="007D6C14"/>
    <w:rsid w:val="007E178A"/>
    <w:rsid w:val="007E6B8D"/>
    <w:rsid w:val="008243C4"/>
    <w:rsid w:val="0082735D"/>
    <w:rsid w:val="008437E8"/>
    <w:rsid w:val="00877997"/>
    <w:rsid w:val="00880C21"/>
    <w:rsid w:val="008A12D8"/>
    <w:rsid w:val="008B51BA"/>
    <w:rsid w:val="008E5586"/>
    <w:rsid w:val="008F2DD3"/>
    <w:rsid w:val="009217FD"/>
    <w:rsid w:val="0092710C"/>
    <w:rsid w:val="00965136"/>
    <w:rsid w:val="0099092B"/>
    <w:rsid w:val="009E5056"/>
    <w:rsid w:val="00A05111"/>
    <w:rsid w:val="00A41C2F"/>
    <w:rsid w:val="00A438E2"/>
    <w:rsid w:val="00AB086D"/>
    <w:rsid w:val="00AC1BA7"/>
    <w:rsid w:val="00AC3027"/>
    <w:rsid w:val="00AC6CA0"/>
    <w:rsid w:val="00AC6E06"/>
    <w:rsid w:val="00AD7693"/>
    <w:rsid w:val="00AF3579"/>
    <w:rsid w:val="00B1228A"/>
    <w:rsid w:val="00B254D4"/>
    <w:rsid w:val="00B30F59"/>
    <w:rsid w:val="00B345DD"/>
    <w:rsid w:val="00B3579A"/>
    <w:rsid w:val="00B431F3"/>
    <w:rsid w:val="00B54225"/>
    <w:rsid w:val="00B71333"/>
    <w:rsid w:val="00B96918"/>
    <w:rsid w:val="00BC086A"/>
    <w:rsid w:val="00BD359D"/>
    <w:rsid w:val="00BE406A"/>
    <w:rsid w:val="00BF4A2C"/>
    <w:rsid w:val="00C242FA"/>
    <w:rsid w:val="00C41331"/>
    <w:rsid w:val="00C50A9E"/>
    <w:rsid w:val="00C73347"/>
    <w:rsid w:val="00C85CED"/>
    <w:rsid w:val="00CA1D59"/>
    <w:rsid w:val="00CC6B16"/>
    <w:rsid w:val="00CD720B"/>
    <w:rsid w:val="00CE2A4B"/>
    <w:rsid w:val="00D15C6C"/>
    <w:rsid w:val="00D263EF"/>
    <w:rsid w:val="00D61731"/>
    <w:rsid w:val="00D6615C"/>
    <w:rsid w:val="00D76AD3"/>
    <w:rsid w:val="00D97AE4"/>
    <w:rsid w:val="00DA3FEA"/>
    <w:rsid w:val="00DB57C3"/>
    <w:rsid w:val="00DC42AA"/>
    <w:rsid w:val="00DC7541"/>
    <w:rsid w:val="00DD3045"/>
    <w:rsid w:val="00E1430F"/>
    <w:rsid w:val="00E37DC5"/>
    <w:rsid w:val="00E52E6A"/>
    <w:rsid w:val="00E70319"/>
    <w:rsid w:val="00E87A03"/>
    <w:rsid w:val="00EA39A7"/>
    <w:rsid w:val="00EB4FC9"/>
    <w:rsid w:val="00EE03A7"/>
    <w:rsid w:val="00EE44C4"/>
    <w:rsid w:val="00F03119"/>
    <w:rsid w:val="00F04EEC"/>
    <w:rsid w:val="00F078BD"/>
    <w:rsid w:val="00F5309B"/>
    <w:rsid w:val="00F5577E"/>
    <w:rsid w:val="00F60813"/>
    <w:rsid w:val="00F63C2D"/>
    <w:rsid w:val="00F74E88"/>
    <w:rsid w:val="00FA60DD"/>
    <w:rsid w:val="00FD2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jc w:val="center"/>
      <w:outlineLvl w:val="3"/>
    </w:pPr>
    <w:rPr>
      <w:rFonts w:ascii="Univers" w:hAnsi="Univers"/>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jc w:val="center"/>
      <w:outlineLvl w:val="5"/>
    </w:pPr>
    <w:rPr>
      <w:sz w:val="28"/>
    </w:rPr>
  </w:style>
  <w:style w:type="paragraph" w:styleId="Heading7">
    <w:name w:val="heading 7"/>
    <w:basedOn w:val="Normal"/>
    <w:next w:val="Normal"/>
    <w:qFormat/>
    <w:pPr>
      <w:keepNext/>
      <w:tabs>
        <w:tab w:val="left" w:pos="9000"/>
      </w:tabs>
      <w:jc w:val="both"/>
      <w:outlineLvl w:val="6"/>
    </w:pPr>
    <w:rPr>
      <w:b/>
      <w:bCs/>
      <w:u w:val="single"/>
    </w:rPr>
  </w:style>
  <w:style w:type="paragraph" w:styleId="Heading8">
    <w:name w:val="heading 8"/>
    <w:basedOn w:val="Normal"/>
    <w:next w:val="Normal"/>
    <w:qFormat/>
    <w:pPr>
      <w:keepNext/>
      <w:tabs>
        <w:tab w:val="left" w:pos="9000"/>
      </w:tabs>
      <w:spacing w:before="240"/>
      <w:outlineLvl w:val="7"/>
    </w:pPr>
    <w:rPr>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rPr>
  </w:style>
  <w:style w:type="paragraph" w:customStyle="1" w:styleId="Style">
    <w:name w:val="Style"/>
    <w:basedOn w:val="Normal"/>
    <w:pPr>
      <w:widowControl w:val="0"/>
      <w:ind w:left="270" w:hanging="270"/>
    </w:pPr>
    <w:rPr>
      <w:snapToGrid w:val="0"/>
      <w:szCs w:val="20"/>
    </w:rPr>
  </w:style>
  <w:style w:type="paragraph" w:styleId="BodyText2">
    <w:name w:val="Body Text 2"/>
    <w:basedOn w:val="Normal"/>
    <w:semiHidden/>
    <w:pPr>
      <w:jc w:val="both"/>
    </w:pPr>
  </w:style>
  <w:style w:type="paragraph" w:styleId="BodyTextIndent">
    <w:name w:val="Body Text Indent"/>
    <w:basedOn w:val="Normal"/>
    <w:semiHidden/>
    <w:pPr>
      <w:ind w:left="360"/>
    </w:pPr>
  </w:style>
  <w:style w:type="paragraph" w:styleId="BodyTextIndent2">
    <w:name w:val="Body Text Indent 2"/>
    <w:basedOn w:val="Normal"/>
    <w:semiHidden/>
    <w:pPr>
      <w:ind w:left="720"/>
    </w:pPr>
  </w:style>
  <w:style w:type="paragraph" w:styleId="BodyTextIndent3">
    <w:name w:val="Body Text Indent 3"/>
    <w:basedOn w:val="Normal"/>
    <w:semiHidden/>
    <w:pPr>
      <w:autoSpaceDE w:val="0"/>
      <w:autoSpaceDN w:val="0"/>
      <w:adjustRightInd w:val="0"/>
      <w:ind w:left="1520"/>
    </w:pPr>
    <w:rPr>
      <w:szCs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B345DD"/>
    <w:rPr>
      <w:rFonts w:ascii="Tahoma" w:hAnsi="Tahoma" w:cs="Tahoma"/>
      <w:sz w:val="16"/>
      <w:szCs w:val="16"/>
    </w:rPr>
  </w:style>
  <w:style w:type="character" w:customStyle="1" w:styleId="BalloonTextChar">
    <w:name w:val="Balloon Text Char"/>
    <w:basedOn w:val="DefaultParagraphFont"/>
    <w:link w:val="BalloonText"/>
    <w:uiPriority w:val="99"/>
    <w:semiHidden/>
    <w:rsid w:val="00B345DD"/>
    <w:rPr>
      <w:rFonts w:ascii="Tahoma" w:hAnsi="Tahoma" w:cs="Tahoma"/>
      <w:sz w:val="16"/>
      <w:szCs w:val="16"/>
    </w:rPr>
  </w:style>
  <w:style w:type="paragraph" w:customStyle="1" w:styleId="P1-StandPara">
    <w:name w:val="P1-Stand Para"/>
    <w:rsid w:val="00AB086D"/>
    <w:pPr>
      <w:spacing w:line="360" w:lineRule="atLeast"/>
      <w:ind w:firstLine="1152"/>
      <w:jc w:val="both"/>
    </w:pPr>
    <w:rPr>
      <w:sz w:val="22"/>
    </w:rPr>
  </w:style>
  <w:style w:type="table" w:styleId="TableGrid">
    <w:name w:val="Table Grid"/>
    <w:basedOn w:val="TableNormal"/>
    <w:uiPriority w:val="59"/>
    <w:rsid w:val="005A30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80597"/>
    <w:pPr>
      <w:tabs>
        <w:tab w:val="center" w:pos="4680"/>
        <w:tab w:val="right" w:pos="9360"/>
      </w:tabs>
    </w:pPr>
  </w:style>
  <w:style w:type="character" w:customStyle="1" w:styleId="HeaderChar">
    <w:name w:val="Header Char"/>
    <w:basedOn w:val="DefaultParagraphFont"/>
    <w:link w:val="Header"/>
    <w:uiPriority w:val="99"/>
    <w:semiHidden/>
    <w:rsid w:val="00480597"/>
    <w:rPr>
      <w:sz w:val="24"/>
      <w:szCs w:val="24"/>
    </w:rPr>
  </w:style>
  <w:style w:type="paragraph" w:styleId="Footer">
    <w:name w:val="footer"/>
    <w:basedOn w:val="Normal"/>
    <w:link w:val="FooterChar"/>
    <w:uiPriority w:val="99"/>
    <w:semiHidden/>
    <w:unhideWhenUsed/>
    <w:rsid w:val="00480597"/>
    <w:pPr>
      <w:tabs>
        <w:tab w:val="center" w:pos="4680"/>
        <w:tab w:val="right" w:pos="9360"/>
      </w:tabs>
    </w:pPr>
  </w:style>
  <w:style w:type="character" w:customStyle="1" w:styleId="FooterChar">
    <w:name w:val="Footer Char"/>
    <w:basedOn w:val="DefaultParagraphFont"/>
    <w:link w:val="Footer"/>
    <w:uiPriority w:val="99"/>
    <w:semiHidden/>
    <w:rsid w:val="0048059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ov/about/offices/list/ocr/know.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crdata.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4257A-3CB1-4240-BF84-D9C42106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4250</Words>
  <Characters>23498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Draft 8/14/2003</vt:lpstr>
    </vt:vector>
  </TitlesOfParts>
  <Company>U.S. Department of Education</Company>
  <LinksUpToDate>false</LinksUpToDate>
  <CharactersWithSpaces>27693</CharactersWithSpaces>
  <SharedDoc>false</SharedDoc>
  <HLinks>
    <vt:vector size="12" baseType="variant">
      <vt:variant>
        <vt:i4>3997729</vt:i4>
      </vt:variant>
      <vt:variant>
        <vt:i4>3</vt:i4>
      </vt:variant>
      <vt:variant>
        <vt:i4>0</vt:i4>
      </vt:variant>
      <vt:variant>
        <vt:i4>5</vt:i4>
      </vt:variant>
      <vt:variant>
        <vt:lpwstr>http://ocrdata.ed.gov/</vt:lpwstr>
      </vt:variant>
      <vt:variant>
        <vt:lpwstr/>
      </vt:variant>
      <vt:variant>
        <vt:i4>7274534</vt:i4>
      </vt:variant>
      <vt:variant>
        <vt:i4>0</vt:i4>
      </vt:variant>
      <vt:variant>
        <vt:i4>0</vt:i4>
      </vt:variant>
      <vt:variant>
        <vt:i4>5</vt:i4>
      </vt:variant>
      <vt:variant>
        <vt:lpwstr>http://www.ed.gov/about/offices/list/ocr/know.html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8/14/2003</dc:title>
  <dc:creator>Pat.Sherrill</dc:creator>
  <cp:lastModifiedBy>Authorised User</cp:lastModifiedBy>
  <cp:revision>4</cp:revision>
  <cp:lastPrinted>2010-02-20T23:04:00Z</cp:lastPrinted>
  <dcterms:created xsi:type="dcterms:W3CDTF">2010-02-25T14:04:00Z</dcterms:created>
  <dcterms:modified xsi:type="dcterms:W3CDTF">2010-02-25T14:06:00Z</dcterms:modified>
</cp:coreProperties>
</file>