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ED" w:rsidRPr="00E87BD8" w:rsidRDefault="000F09ED" w:rsidP="0094344D">
      <w:pPr>
        <w:pStyle w:val="Title"/>
        <w:shd w:val="clear" w:color="auto" w:fill="auto"/>
        <w:rPr>
          <w:rFonts w:ascii="Times New Roman" w:hAnsi="Times New Roman"/>
        </w:rPr>
      </w:pPr>
      <w:r w:rsidRPr="00E87BD8">
        <w:rPr>
          <w:rFonts w:ascii="Times New Roman" w:hAnsi="Times New Roman"/>
        </w:rPr>
        <w:t>Race to the Top Application for Initial Funding:</w:t>
      </w:r>
    </w:p>
    <w:p w:rsidR="000F09ED" w:rsidRPr="00E87BD8" w:rsidRDefault="000F09ED" w:rsidP="0094344D">
      <w:pPr>
        <w:pStyle w:val="Title"/>
        <w:shd w:val="clear" w:color="auto" w:fill="auto"/>
        <w:rPr>
          <w:rFonts w:ascii="Times New Roman" w:hAnsi="Times New Roman"/>
        </w:rPr>
      </w:pPr>
      <w:r w:rsidRPr="00E87BD8">
        <w:rPr>
          <w:rFonts w:ascii="Times New Roman" w:hAnsi="Times New Roman"/>
        </w:rPr>
        <w:t>SUPPORTING STATEMENT</w:t>
      </w:r>
    </w:p>
    <w:p w:rsidR="000F09ED" w:rsidRPr="00E87BD8" w:rsidRDefault="000F09ED" w:rsidP="0094344D">
      <w:pPr>
        <w:pStyle w:val="Title"/>
        <w:shd w:val="clear" w:color="auto" w:fill="auto"/>
        <w:rPr>
          <w:rFonts w:ascii="Times New Roman" w:hAnsi="Times New Roman"/>
        </w:rPr>
      </w:pPr>
      <w:r w:rsidRPr="00E87BD8">
        <w:rPr>
          <w:rFonts w:ascii="Times New Roman" w:hAnsi="Times New Roman"/>
        </w:rPr>
        <w:tab/>
        <w:t>FOR PAPERWORK REDUCTION ACT SUBMISSION</w:t>
      </w: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A. Justification </w:t>
      </w:r>
    </w:p>
    <w:p w:rsidR="000F09ED" w:rsidRPr="00E87BD8" w:rsidRDefault="000F09ED" w:rsidP="0094344D">
      <w:pPr>
        <w:shd w:val="clear" w:color="auto" w:fill="auto"/>
      </w:pPr>
    </w:p>
    <w:p w:rsidR="000F09ED" w:rsidRPr="00E87BD8" w:rsidRDefault="000F09ED" w:rsidP="0094344D">
      <w:pPr>
        <w:pStyle w:val="BodyText"/>
        <w:shd w:val="clear" w:color="auto" w:fill="auto"/>
        <w:rPr>
          <w:rFonts w:ascii="Times New Roman" w:hAnsi="Times New Roman"/>
        </w:rPr>
      </w:pPr>
      <w:r w:rsidRPr="00E87BD8">
        <w:rPr>
          <w:rFonts w:ascii="Times New Roman" w:hAnsi="Times New Roman"/>
        </w:rPr>
        <w:t>A.1.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On February 17, 2009, President Barack Obama signed into law the American Recovery and Reinvestment Act of 2009 (ARRA), historic legislation designed to stimulate the economy, support job creation, and invest in critical sectors, including education.  The ARRA lays the foundation for education reform by supporting investments in innovative strategies that are most likely to lead to improved results for students, long-term gains in school and school system capacity, and increased productivity and effectiveness.  </w:t>
      </w:r>
    </w:p>
    <w:p w:rsidR="000F09ED" w:rsidRPr="00E87BD8" w:rsidRDefault="000F09ED" w:rsidP="0094344D">
      <w:pPr>
        <w:shd w:val="clear" w:color="auto" w:fill="auto"/>
      </w:pPr>
    </w:p>
    <w:p w:rsidR="000F09ED" w:rsidRPr="00E87BD8" w:rsidRDefault="000F09ED" w:rsidP="0094344D">
      <w:pPr>
        <w:shd w:val="clear" w:color="auto" w:fill="auto"/>
      </w:pPr>
      <w:r w:rsidRPr="00E87BD8">
        <w:t>The ARRA provides $4.3 billion for the Race to the Top Fund (referred to in the statu</w:t>
      </w:r>
      <w:r>
        <w:t>te</w:t>
      </w:r>
      <w:r w:rsidRPr="00E87BD8">
        <w:t xml:space="preserve"> as the State Incentive Grant Fund).  This is a competitive grant program designed to encourage and reward States that are implementing significant education reforms across the four “assurance” areas.  Specifically, section 14006(a) (2) of the ARRA requires States to have made significant progress in the following four education reform areas in order to receive a grant:  implementing standards and assessments, improving collection and use of data, improving teacher effectiveness and achieving equity in teacher distribution,</w:t>
      </w:r>
      <w:r>
        <w:t xml:space="preserve"> </w:t>
      </w:r>
      <w:r w:rsidRPr="00E87BD8">
        <w:t>and supporting struggling schools.   In addition, as required by section 14006(c) of the ARRA, States that receive a Race to the Top grant must used at least 50 percent of the award to provide subgrants to local educational agencies (LEAs), including public charter schools identified as LEAs under State law, based upon LEAs’ relative shares of funding under Part A of Title I of the Elementary and Secondary Education Act of 1965, as amended (ESEA).  LEAs that choose to participate in their State’s Race to the Top proposal must use their funding under this grant to support the State’s plan, as set forth in agreements between the State and participating LEAs.</w:t>
      </w: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In order to allow for the Race to the Top grants to be awarded in two phases, we are committed to expediting the application for Race to the Top, necessitating emergency clearance of the application.  </w:t>
      </w:r>
    </w:p>
    <w:p w:rsidR="000F09ED" w:rsidRPr="00E87BD8" w:rsidRDefault="000F09ED" w:rsidP="0094344D">
      <w:pPr>
        <w:shd w:val="clear" w:color="auto" w:fill="auto"/>
      </w:pPr>
    </w:p>
    <w:p w:rsidR="000F09ED" w:rsidRPr="00E87BD8" w:rsidRDefault="000F09ED" w:rsidP="0094344D">
      <w:pPr>
        <w:pStyle w:val="BodyText"/>
        <w:shd w:val="clear" w:color="auto" w:fill="auto"/>
        <w:rPr>
          <w:rFonts w:ascii="Times New Roman" w:hAnsi="Times New Roman"/>
        </w:rPr>
      </w:pPr>
      <w:r w:rsidRPr="00E87BD8">
        <w:rPr>
          <w:rFonts w:ascii="Times New Roman" w:hAnsi="Times New Roman"/>
        </w:rPr>
        <w:t>A.2.  Indicate how, by whom, and for what purpose the information is to be used.  Except for a new collection, indicate the actual use the agency has made of the information received from the current collection.</w:t>
      </w:r>
    </w:p>
    <w:p w:rsidR="000F09ED" w:rsidRPr="00E87BD8" w:rsidRDefault="000F09ED" w:rsidP="0094344D">
      <w:pPr>
        <w:shd w:val="clear" w:color="auto" w:fill="auto"/>
      </w:pPr>
    </w:p>
    <w:p w:rsidR="000F09ED" w:rsidRPr="00E87BD8" w:rsidRDefault="000F09ED" w:rsidP="0094344D">
      <w:pPr>
        <w:shd w:val="clear" w:color="auto" w:fill="auto"/>
      </w:pPr>
      <w:r w:rsidRPr="00E87BD8">
        <w:rPr>
          <w:shd w:val="clear" w:color="auto" w:fill="FFFFFF"/>
        </w:rPr>
        <w:t>The information collected is in the form of a single application submitted by States. A</w:t>
      </w:r>
      <w:r w:rsidRPr="00E87BD8">
        <w:t xml:space="preserve"> State must submit to the Department an application that provides the following information:</w:t>
      </w:r>
    </w:p>
    <w:p w:rsidR="000F09ED" w:rsidRPr="00E87BD8" w:rsidRDefault="000F09ED" w:rsidP="0094344D">
      <w:pPr>
        <w:shd w:val="clear" w:color="auto" w:fill="auto"/>
      </w:pPr>
      <w:r w:rsidRPr="00E87BD8">
        <w:t xml:space="preserve">Race to the Top Application Assurances that include the signature of the Governor or authorized representative. </w:t>
      </w:r>
      <w:r w:rsidRPr="00E87BD8">
        <w:rPr>
          <w:i/>
          <w:iCs/>
        </w:rPr>
        <w:t>(Part III of the Application)</w:t>
      </w:r>
    </w:p>
    <w:p w:rsidR="000F09ED" w:rsidRPr="00E87BD8" w:rsidRDefault="000F09ED" w:rsidP="0094344D">
      <w:pPr>
        <w:shd w:val="clear" w:color="auto" w:fill="auto"/>
      </w:pPr>
      <w:r w:rsidRPr="00E87BD8">
        <w:t>Assurances</w:t>
      </w:r>
      <w:r>
        <w:t>:</w:t>
      </w:r>
      <w:r w:rsidRPr="00E87BD8">
        <w:t xml:space="preserve"> Accountability, Transparency, Reporting Assurances and Other Assurances and Certifications. (</w:t>
      </w:r>
      <w:r w:rsidRPr="00E87BD8">
        <w:rPr>
          <w:i/>
        </w:rPr>
        <w:t>Part IV of the Application</w:t>
      </w:r>
      <w:r w:rsidRPr="00E87BD8">
        <w:t>)</w:t>
      </w:r>
    </w:p>
    <w:p w:rsidR="000F09ED" w:rsidRPr="00E87BD8" w:rsidRDefault="000F09ED" w:rsidP="0094344D">
      <w:pPr>
        <w:shd w:val="clear" w:color="auto" w:fill="auto"/>
      </w:pPr>
      <w:r w:rsidRPr="00E87BD8">
        <w:t xml:space="preserve">Progress and Plans in the Four Education Reform Areas. </w:t>
      </w:r>
      <w:r w:rsidRPr="00E87BD8">
        <w:rPr>
          <w:i/>
          <w:iCs/>
        </w:rPr>
        <w:t>(Part V of the Application)</w:t>
      </w:r>
    </w:p>
    <w:p w:rsidR="000F09ED" w:rsidRPr="00E87BD8" w:rsidRDefault="000F09ED" w:rsidP="0094344D">
      <w:pPr>
        <w:shd w:val="clear" w:color="auto" w:fill="auto"/>
      </w:pPr>
      <w:r w:rsidRPr="00E87BD8">
        <w:t>Competition Priorities (Part VI of the Application)</w:t>
      </w:r>
    </w:p>
    <w:p w:rsidR="000F09ED" w:rsidRPr="00E87BD8" w:rsidRDefault="000F09ED" w:rsidP="0094344D">
      <w:pPr>
        <w:shd w:val="clear" w:color="auto" w:fill="auto"/>
      </w:pPr>
      <w:r w:rsidRPr="00E87BD8">
        <w:t>Budget Part I: Summary Table</w:t>
      </w:r>
    </w:p>
    <w:p w:rsidR="000F09ED" w:rsidRPr="00E87BD8" w:rsidRDefault="000F09ED" w:rsidP="0094344D">
      <w:pPr>
        <w:shd w:val="clear" w:color="auto" w:fill="auto"/>
      </w:pPr>
      <w:r w:rsidRPr="00E87BD8">
        <w:t>Budget Part II: Narrative</w:t>
      </w:r>
    </w:p>
    <w:p w:rsidR="000F09ED" w:rsidRPr="00E87BD8" w:rsidRDefault="000F09ED" w:rsidP="0094344D">
      <w:pPr>
        <w:shd w:val="clear" w:color="auto" w:fill="auto"/>
      </w:pPr>
      <w:r w:rsidRPr="00E87BD8">
        <w:t>Indirect Costs.</w:t>
      </w:r>
    </w:p>
    <w:p w:rsidR="000F09ED" w:rsidRPr="00E87BD8" w:rsidRDefault="000F09ED" w:rsidP="0094344D">
      <w:pPr>
        <w:shd w:val="clear" w:color="auto" w:fill="auto"/>
      </w:pPr>
    </w:p>
    <w:p w:rsidR="000F09ED" w:rsidRPr="00E87BD8" w:rsidRDefault="000F09ED" w:rsidP="0094344D">
      <w:pPr>
        <w:shd w:val="clear" w:color="auto" w:fill="auto"/>
      </w:pPr>
      <w:r w:rsidRPr="00E87BD8">
        <w:rPr>
          <w:shd w:val="clear" w:color="auto" w:fill="FFFFFF"/>
        </w:rPr>
        <w:t>This is a new collection.</w:t>
      </w:r>
      <w:r w:rsidRPr="00E87BD8">
        <w:t xml:space="preserve"> The Department will use a two-tiered review process to judge the eligible applications. The initial tier will consider only the applications submitted by the States; the finalist tier will consider both applications and in-person presentations.  In both tiers, the Department will use independent reviewers who have been chosen from a pool of </w:t>
      </w:r>
      <w:r w:rsidRPr="00E87BD8">
        <w:rPr>
          <w:rStyle w:val="apple-style-span"/>
        </w:rPr>
        <w:t>qualified educators, policymakers, scholars, and business leaders</w:t>
      </w:r>
      <w:r w:rsidRPr="00E87BD8">
        <w:t xml:space="preserve">.  </w:t>
      </w:r>
      <w:r w:rsidRPr="00E87BD8">
        <w:rPr>
          <w:rStyle w:val="apple-style-span"/>
        </w:rPr>
        <w:t xml:space="preserve">All reviewers will be thoroughly screened for conflicts of interest to ensure a fair and competitive review process. </w:t>
      </w:r>
    </w:p>
    <w:p w:rsidR="000F09ED" w:rsidRPr="00E87BD8" w:rsidRDefault="000F09ED" w:rsidP="0094344D">
      <w:pPr>
        <w:shd w:val="clear" w:color="auto" w:fill="auto"/>
      </w:pPr>
    </w:p>
    <w:p w:rsidR="000F09ED" w:rsidRPr="00E87BD8" w:rsidRDefault="000F09ED" w:rsidP="0094344D">
      <w:pPr>
        <w:pStyle w:val="BodyText"/>
        <w:shd w:val="clear" w:color="auto" w:fill="auto"/>
        <w:rPr>
          <w:rFonts w:ascii="Times New Roman" w:hAnsi="Times New Roman"/>
        </w:rPr>
      </w:pPr>
      <w:r w:rsidRPr="00E87BD8">
        <w:rPr>
          <w:rFonts w:ascii="Times New Roman" w:hAnsi="Times New Roman"/>
          <w:shd w:val="clear" w:color="auto" w:fill="FFFFFF"/>
        </w:rPr>
        <w:t>A.3.  Describe whether, and to what extent, the collection of information involves the use of</w:t>
      </w:r>
      <w:r w:rsidRPr="00E87BD8">
        <w:rPr>
          <w:rFonts w:ascii="Times New Roman" w:hAnsi="Times New Roman"/>
        </w:rPr>
        <w:t xml:space="preserve">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The information requested under this collection will be gathered by email, fax, or other non-electronic means such as courier or postal service. The Department is </w:t>
      </w:r>
      <w:r>
        <w:t xml:space="preserve">considering </w:t>
      </w:r>
      <w:r w:rsidRPr="00E87BD8">
        <w:t xml:space="preserve"> employing</w:t>
      </w:r>
      <w:r>
        <w:t xml:space="preserve"> other</w:t>
      </w:r>
      <w:r w:rsidRPr="00E87BD8">
        <w:t xml:space="preserve"> electronic means</w:t>
      </w:r>
      <w:r>
        <w:t>, such as e-application, if time allows given the</w:t>
      </w:r>
      <w:r w:rsidRPr="00E87BD8">
        <w:t xml:space="preserve"> the short timeframe of this application process. The employment of electronic means such as an online grants application or data warehouse would require additional time to set up the appropriate structure. The Department expects no more than 52 applications under this collection, and therefore has sufficient capacity to deal with the number of email or paper-based submissions</w:t>
      </w:r>
      <w:r>
        <w:t xml:space="preserve"> but may employ other electronic means such as e-applications if this proves to be feasbile </w:t>
      </w:r>
      <w:r w:rsidRPr="00E87BD8">
        <w:t>. The information gathered through this process is detailed in A2.</w:t>
      </w:r>
    </w:p>
    <w:p w:rsidR="000F09ED" w:rsidRPr="00E87BD8" w:rsidRDefault="000F09ED" w:rsidP="0094344D">
      <w:pPr>
        <w:shd w:val="clear" w:color="auto" w:fill="auto"/>
      </w:pPr>
    </w:p>
    <w:p w:rsidR="000F09ED" w:rsidRPr="00E87BD8" w:rsidRDefault="000F09ED" w:rsidP="0094344D">
      <w:pPr>
        <w:pStyle w:val="BodyText"/>
        <w:shd w:val="clear" w:color="auto" w:fill="auto"/>
        <w:rPr>
          <w:rFonts w:ascii="Times New Roman" w:hAnsi="Times New Roman"/>
        </w:rPr>
      </w:pPr>
      <w:r w:rsidRPr="00E87BD8">
        <w:rPr>
          <w:rFonts w:ascii="Times New Roman" w:hAnsi="Times New Roman"/>
        </w:rPr>
        <w:t>A.4.  Describe efforts to identify duplication.  Show specifically why any similar information already available cannot be used or modified for use of the purposes described in Item 2 above.</w:t>
      </w:r>
    </w:p>
    <w:p w:rsidR="000F09ED" w:rsidRPr="00E87BD8" w:rsidRDefault="000F09ED" w:rsidP="0094344D">
      <w:pPr>
        <w:shd w:val="clear" w:color="auto" w:fill="auto"/>
      </w:pPr>
    </w:p>
    <w:p w:rsidR="000F09ED" w:rsidRPr="00E87BD8" w:rsidRDefault="000F09ED" w:rsidP="0094344D">
      <w:pPr>
        <w:shd w:val="clear" w:color="auto" w:fill="auto"/>
      </w:pPr>
      <w:r w:rsidRPr="00E87BD8">
        <w:t>The assurances and information requested under this collection are unique to the Race to the Top program, and the Department has not collected</w:t>
      </w:r>
      <w:r>
        <w:t xml:space="preserve"> them</w:t>
      </w:r>
      <w:r w:rsidRPr="00E87BD8">
        <w:t xml:space="preserve"> in the past. Even in the event of similar or comparable information for other programs in the past, the assurances are specific to the Race to the Top program and the information is specific to the present point in time. Therefore, any comparable information and assurances that were collected in the past would not satisfy the requirements for this program. </w:t>
      </w: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The Department has made every effort to reduce the burden on States in producing the information. Where applicable, States may use existing data sources that the Department has on file. </w:t>
      </w:r>
      <w:r>
        <w:t xml:space="preserve">In addition, of the eight </w:t>
      </w:r>
      <w:r w:rsidRPr="00E87BD8">
        <w:t xml:space="preserve">selection criteria for which performance measures are </w:t>
      </w:r>
      <w:r>
        <w:t xml:space="preserve">possible, the Department has made four of the measures optional. </w:t>
      </w:r>
    </w:p>
    <w:p w:rsidR="000F09ED" w:rsidRPr="00E87BD8" w:rsidRDefault="000F09ED" w:rsidP="0094344D">
      <w:pPr>
        <w:shd w:val="clear" w:color="auto" w:fill="auto"/>
        <w:ind w:left="0"/>
      </w:pPr>
    </w:p>
    <w:p w:rsidR="000F09ED" w:rsidRPr="00E87BD8" w:rsidRDefault="000F09ED" w:rsidP="0094344D">
      <w:pPr>
        <w:pStyle w:val="BodyText"/>
        <w:shd w:val="clear" w:color="auto" w:fill="auto"/>
        <w:rPr>
          <w:rFonts w:ascii="Times New Roman" w:hAnsi="Times New Roman"/>
        </w:rPr>
      </w:pPr>
      <w:r w:rsidRPr="00E87BD8">
        <w:rPr>
          <w:rFonts w:ascii="Times New Roman" w:hAnsi="Times New Roman"/>
        </w:rPr>
        <w:t>A.5.  If the collection of information impacts small businesses or other small entities (Item 5 of OMB Form 83-I), describe any methods used to minimize burden.</w:t>
      </w:r>
    </w:p>
    <w:p w:rsidR="000F09ED" w:rsidRPr="00E87BD8" w:rsidRDefault="000F09ED" w:rsidP="0094344D">
      <w:pPr>
        <w:shd w:val="clear" w:color="auto" w:fill="auto"/>
      </w:pPr>
    </w:p>
    <w:p w:rsidR="000F09ED" w:rsidRPr="00E87BD8" w:rsidRDefault="000F09ED" w:rsidP="0094344D">
      <w:pPr>
        <w:shd w:val="clear" w:color="auto" w:fill="auto"/>
      </w:pPr>
      <w:r w:rsidRPr="00E87BD8">
        <w:t>The Secretary certifies that this proposed action will not have a significant economic impact on a substantial</w:t>
      </w:r>
      <w:r>
        <w:t xml:space="preserve"> number of small entities. The S</w:t>
      </w:r>
      <w:r w:rsidRPr="00E87BD8">
        <w:t>ecretary makes this certification because the only entities eligible to apply for grants are States and States are not small entities.</w:t>
      </w:r>
    </w:p>
    <w:p w:rsidR="000F09ED" w:rsidRPr="00E87BD8" w:rsidRDefault="000F09ED" w:rsidP="0094344D">
      <w:pPr>
        <w:pStyle w:val="EndnoteText"/>
        <w:shd w:val="clear" w:color="auto" w:fill="auto"/>
      </w:pPr>
    </w:p>
    <w:p w:rsidR="000F09ED" w:rsidRPr="00E87BD8" w:rsidRDefault="000F09ED" w:rsidP="0094344D">
      <w:pPr>
        <w:pStyle w:val="BodyText"/>
        <w:shd w:val="clear" w:color="auto" w:fill="auto"/>
        <w:rPr>
          <w:rFonts w:ascii="Times New Roman" w:hAnsi="Times New Roman"/>
        </w:rPr>
      </w:pPr>
      <w:r w:rsidRPr="00E87BD8">
        <w:rPr>
          <w:rFonts w:ascii="Times New Roman" w:hAnsi="Times New Roman"/>
        </w:rPr>
        <w:t>A.6.  Describe the consequences to Federal program or policy activities if the collection is not conducted or is conducted less frequently, as well as any technical or legal obstacles to reducing burden.</w:t>
      </w: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The consequence of not conducting the collection of information under the Race to the Top program application process would be that States would not be able to receive Race to the Top funds and the program could not be implemented. The Department must conduct this collection in order to award all program funds by September 30, 2010.  The Department would be out of compliance with the Stabilization provision of ARRA if it does not conduct this information collection. </w:t>
      </w: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The Department intends to award funds in two phases beginning in Spring 2010. The requested emergency clearance will provide time for Phase </w:t>
      </w:r>
      <w:r>
        <w:t>1</w:t>
      </w:r>
      <w:r w:rsidRPr="00E87BD8">
        <w:t xml:space="preserve"> awards to be made so that States that are not successful will receive feedback and may revise and resubmit prior to the Phase </w:t>
      </w:r>
      <w:r>
        <w:t xml:space="preserve">2 </w:t>
      </w:r>
      <w:r w:rsidRPr="00E87BD8">
        <w:t xml:space="preserve">application deadline. </w:t>
      </w:r>
    </w:p>
    <w:p w:rsidR="000F09ED" w:rsidRPr="00E87BD8" w:rsidRDefault="000F09ED" w:rsidP="0094344D">
      <w:pPr>
        <w:shd w:val="clear" w:color="auto" w:fill="auto"/>
      </w:pPr>
    </w:p>
    <w:p w:rsidR="000F09ED" w:rsidRPr="00A43776" w:rsidRDefault="000F09ED" w:rsidP="0094344D">
      <w:pPr>
        <w:shd w:val="clear" w:color="auto" w:fill="auto"/>
        <w:rPr>
          <w:i/>
        </w:rPr>
      </w:pPr>
      <w:r w:rsidRPr="00A43776">
        <w:rPr>
          <w:i/>
        </w:rPr>
        <w:t>A.7. Explain any special circumstances that would cause an information collection to be conducted in a manner:</w:t>
      </w:r>
    </w:p>
    <w:p w:rsidR="000F09ED" w:rsidRPr="00A43776" w:rsidRDefault="000F09ED" w:rsidP="00A43776">
      <w:pPr>
        <w:pStyle w:val="ListParagraph"/>
        <w:numPr>
          <w:ilvl w:val="0"/>
          <w:numId w:val="17"/>
        </w:numPr>
        <w:shd w:val="clear" w:color="auto" w:fill="auto"/>
        <w:rPr>
          <w:i/>
        </w:rPr>
      </w:pPr>
      <w:r w:rsidRPr="00A43776">
        <w:rPr>
          <w:i/>
        </w:rPr>
        <w:t>requiring respondents to report information to the agency more often than quarterly;</w:t>
      </w:r>
    </w:p>
    <w:p w:rsidR="000F09ED" w:rsidRPr="00A43776" w:rsidRDefault="000F09ED" w:rsidP="00A43776">
      <w:pPr>
        <w:pStyle w:val="ListParagraph"/>
        <w:numPr>
          <w:ilvl w:val="0"/>
          <w:numId w:val="17"/>
        </w:numPr>
        <w:shd w:val="clear" w:color="auto" w:fill="auto"/>
        <w:rPr>
          <w:i/>
        </w:rPr>
      </w:pPr>
      <w:r w:rsidRPr="00A43776">
        <w:rPr>
          <w:i/>
        </w:rPr>
        <w:t>requiring respondents to prepare a written response to a collection of information in fewer than 30 days after receipt of it;</w:t>
      </w:r>
    </w:p>
    <w:p w:rsidR="000F09ED" w:rsidRPr="00A43776" w:rsidRDefault="000F09ED" w:rsidP="00A43776">
      <w:pPr>
        <w:pStyle w:val="ListParagraph"/>
        <w:numPr>
          <w:ilvl w:val="0"/>
          <w:numId w:val="17"/>
        </w:numPr>
        <w:shd w:val="clear" w:color="auto" w:fill="auto"/>
        <w:rPr>
          <w:i/>
        </w:rPr>
      </w:pPr>
      <w:r w:rsidRPr="00A43776">
        <w:rPr>
          <w:i/>
        </w:rPr>
        <w:t>requiring respondents to submit more than an original and two copies of any document;</w:t>
      </w:r>
    </w:p>
    <w:p w:rsidR="000F09ED" w:rsidRPr="00A43776" w:rsidRDefault="000F09ED" w:rsidP="00A43776">
      <w:pPr>
        <w:pStyle w:val="ListParagraph"/>
        <w:numPr>
          <w:ilvl w:val="0"/>
          <w:numId w:val="17"/>
        </w:numPr>
        <w:shd w:val="clear" w:color="auto" w:fill="auto"/>
        <w:rPr>
          <w:i/>
        </w:rPr>
      </w:pPr>
      <w:r w:rsidRPr="00A43776">
        <w:rPr>
          <w:i/>
        </w:rPr>
        <w:t>requiring respondents to retain records, other than health, medical, government contract, grant-in-aid, or tax records for more than three years;</w:t>
      </w:r>
    </w:p>
    <w:p w:rsidR="000F09ED" w:rsidRPr="00A43776" w:rsidRDefault="000F09ED" w:rsidP="00A43776">
      <w:pPr>
        <w:pStyle w:val="ListParagraph"/>
        <w:numPr>
          <w:ilvl w:val="0"/>
          <w:numId w:val="17"/>
        </w:numPr>
        <w:shd w:val="clear" w:color="auto" w:fill="auto"/>
        <w:rPr>
          <w:i/>
        </w:rPr>
      </w:pPr>
      <w:r w:rsidRPr="00A43776">
        <w:rPr>
          <w:i/>
        </w:rPr>
        <w:t>in connection with a statistical survey, that is not designed to produce valid and reliable results than can be generalized to the universe of study;</w:t>
      </w:r>
    </w:p>
    <w:p w:rsidR="000F09ED" w:rsidRPr="00A43776" w:rsidRDefault="000F09ED" w:rsidP="00A43776">
      <w:pPr>
        <w:pStyle w:val="ListParagraph"/>
        <w:numPr>
          <w:ilvl w:val="0"/>
          <w:numId w:val="17"/>
        </w:numPr>
        <w:shd w:val="clear" w:color="auto" w:fill="auto"/>
        <w:rPr>
          <w:i/>
        </w:rPr>
      </w:pPr>
      <w:r w:rsidRPr="00A43776">
        <w:rPr>
          <w:i/>
        </w:rPr>
        <w:t>requiring the use of a statistical data classification that has not been reviewed and approved by OMB;</w:t>
      </w:r>
    </w:p>
    <w:p w:rsidR="000F09ED" w:rsidRPr="00A43776" w:rsidRDefault="000F09ED" w:rsidP="00A43776">
      <w:pPr>
        <w:pStyle w:val="ListParagraph"/>
        <w:numPr>
          <w:ilvl w:val="0"/>
          <w:numId w:val="17"/>
        </w:numPr>
        <w:shd w:val="clear" w:color="auto" w:fill="auto"/>
        <w:rPr>
          <w:i/>
        </w:rPr>
      </w:pPr>
      <w:r w:rsidRPr="00A43776">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F09ED" w:rsidRPr="00A43776" w:rsidRDefault="000F09ED" w:rsidP="00A43776">
      <w:pPr>
        <w:pStyle w:val="ListParagraph"/>
        <w:numPr>
          <w:ilvl w:val="0"/>
          <w:numId w:val="17"/>
        </w:numPr>
        <w:shd w:val="clear" w:color="auto" w:fill="auto"/>
        <w:rPr>
          <w:i/>
        </w:rPr>
      </w:pPr>
      <w:r w:rsidRPr="00A43776">
        <w:rPr>
          <w:i/>
        </w:rPr>
        <w:t>requiring respondents to submit proprietary trade secrets, or other confidential information unless the agency can demonstrate that it has instituted procedures to protect the information’s confidentiality to the extent permitted by law.</w:t>
      </w:r>
    </w:p>
    <w:p w:rsidR="000F09ED" w:rsidRPr="00E87BD8" w:rsidRDefault="000F09ED" w:rsidP="0094344D">
      <w:pPr>
        <w:shd w:val="clear" w:color="auto" w:fill="auto"/>
      </w:pPr>
    </w:p>
    <w:p w:rsidR="000F09ED" w:rsidRPr="00E87BD8" w:rsidRDefault="000F09ED" w:rsidP="0094344D">
      <w:pPr>
        <w:shd w:val="clear" w:color="auto" w:fill="auto"/>
      </w:pPr>
      <w:r w:rsidRPr="00E87BD8">
        <w:t>This collection is consistent with 5 CFR 1320.5.</w:t>
      </w:r>
    </w:p>
    <w:p w:rsidR="000F09ED" w:rsidRPr="00E87BD8" w:rsidRDefault="000F09ED" w:rsidP="0094344D">
      <w:pPr>
        <w:shd w:val="clear" w:color="auto" w:fill="auto"/>
      </w:pPr>
    </w:p>
    <w:p w:rsidR="000F09ED" w:rsidRDefault="000F09ED" w:rsidP="0094344D">
      <w:pPr>
        <w:shd w:val="clear" w:color="auto" w:fill="auto"/>
      </w:pPr>
      <w:r w:rsidRPr="00A43776">
        <w:rPr>
          <w:i/>
        </w:rPr>
        <w:t>A.8.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t xml:space="preserve"> </w:t>
      </w:r>
    </w:p>
    <w:p w:rsidR="000F09ED" w:rsidRPr="00E87BD8" w:rsidRDefault="000F09ED" w:rsidP="00A43776">
      <w:pPr>
        <w:shd w:val="clear" w:color="auto" w:fill="auto"/>
        <w:ind w:left="0"/>
        <w:rPr>
          <w:rStyle w:val="a"/>
          <w:b/>
          <w:i/>
          <w:iCs/>
        </w:rPr>
      </w:pPr>
    </w:p>
    <w:p w:rsidR="000F09ED" w:rsidRPr="00E87BD8" w:rsidRDefault="000F09ED" w:rsidP="0094344D">
      <w:pPr>
        <w:shd w:val="clear" w:color="auto" w:fill="auto"/>
        <w:rPr>
          <w:rStyle w:val="a"/>
          <w:i/>
          <w:iCs/>
        </w:rPr>
      </w:pPr>
      <w:r w:rsidRPr="00E87BD8">
        <w:rPr>
          <w:rStyle w:val="a"/>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F09ED" w:rsidRPr="00E87BD8" w:rsidRDefault="000F09ED" w:rsidP="0094344D">
      <w:pPr>
        <w:shd w:val="clear" w:color="auto" w:fill="auto"/>
        <w:rPr>
          <w:rStyle w:val="a"/>
          <w:i/>
          <w:iCs/>
        </w:rPr>
      </w:pPr>
    </w:p>
    <w:p w:rsidR="000F09ED" w:rsidRPr="00E87BD8" w:rsidRDefault="000F09ED" w:rsidP="0094344D">
      <w:pPr>
        <w:shd w:val="clear" w:color="auto" w:fill="auto"/>
        <w:rPr>
          <w:rStyle w:val="a"/>
          <w:i/>
          <w:iCs/>
        </w:rPr>
      </w:pPr>
      <w:r w:rsidRPr="00E87BD8">
        <w:rPr>
          <w:rStyle w:val="a"/>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F09ED" w:rsidRPr="00E87BD8" w:rsidRDefault="000F09ED" w:rsidP="0094344D">
      <w:pPr>
        <w:shd w:val="clear" w:color="auto" w:fill="auto"/>
      </w:pPr>
    </w:p>
    <w:p w:rsidR="000F09ED" w:rsidRPr="00E87BD8" w:rsidRDefault="000F09ED" w:rsidP="00A43776">
      <w:pPr>
        <w:shd w:val="clear" w:color="auto" w:fill="auto"/>
      </w:pPr>
      <w:r w:rsidRPr="00E87BD8">
        <w:t>Although this collection will be submitted under emergency processing, the public will have an opportunity to comment during this emergency processing.</w:t>
      </w:r>
      <w:r>
        <w:t xml:space="preserve"> Since this is an ARRA-related emergency collection and there is an immediate need to make applications available, ED is requesting that the comment period be waived.  However, a 60-day comment period will be offered during a regular collection review. The Department does not anticipate significant changes to the application package between the two phases of the competition.</w:t>
      </w:r>
    </w:p>
    <w:p w:rsidR="000F09ED" w:rsidRPr="00E87BD8" w:rsidRDefault="000F09ED" w:rsidP="0094344D">
      <w:pPr>
        <w:shd w:val="clear" w:color="auto" w:fill="auto"/>
      </w:pP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A.9. </w:t>
      </w:r>
      <w:r w:rsidRPr="00E87BD8">
        <w:rPr>
          <w:rStyle w:val="a"/>
          <w:i/>
          <w:iCs/>
        </w:rPr>
        <w:t>Explain any decision to provide any payment or gift to respondents, other than remuneration of contractors or grantees.</w:t>
      </w:r>
    </w:p>
    <w:p w:rsidR="000F09ED" w:rsidRPr="00E87BD8" w:rsidRDefault="000F09ED" w:rsidP="0094344D">
      <w:pPr>
        <w:shd w:val="clear" w:color="auto" w:fill="auto"/>
      </w:pPr>
    </w:p>
    <w:p w:rsidR="000F09ED" w:rsidRPr="00E87BD8" w:rsidRDefault="000F09ED" w:rsidP="0094344D">
      <w:pPr>
        <w:shd w:val="clear" w:color="auto" w:fill="auto"/>
      </w:pPr>
      <w:r w:rsidRPr="00E87BD8">
        <w:t>No payments or gifts to respondents have been made.</w:t>
      </w:r>
    </w:p>
    <w:p w:rsidR="000F09ED" w:rsidRPr="00E87BD8" w:rsidRDefault="000F09ED" w:rsidP="0094344D">
      <w:pPr>
        <w:shd w:val="clear" w:color="auto" w:fill="auto"/>
      </w:pPr>
    </w:p>
    <w:p w:rsidR="000F09ED" w:rsidRPr="00E87BD8" w:rsidRDefault="000F09ED" w:rsidP="0094344D">
      <w:pPr>
        <w:pStyle w:val="BodyText"/>
        <w:shd w:val="clear" w:color="auto" w:fill="auto"/>
        <w:rPr>
          <w:rFonts w:ascii="Times New Roman" w:hAnsi="Times New Roman"/>
        </w:rPr>
      </w:pPr>
      <w:r w:rsidRPr="00E87BD8">
        <w:rPr>
          <w:rFonts w:ascii="Times New Roman" w:hAnsi="Times New Roman"/>
        </w:rPr>
        <w:t xml:space="preserve">A.10. Describe any assurance of confidentiality provided to respondents and the </w:t>
      </w:r>
      <w:r w:rsidRPr="00E87BD8">
        <w:rPr>
          <w:rFonts w:ascii="Times New Roman" w:hAnsi="Times New Roman"/>
          <w:i w:val="0"/>
        </w:rPr>
        <w:t>basis for the assurance in statute, regulation, or agency policy.</w:t>
      </w:r>
    </w:p>
    <w:p w:rsidR="000F09ED" w:rsidRPr="00E87BD8" w:rsidRDefault="000F09ED" w:rsidP="0094344D">
      <w:pPr>
        <w:shd w:val="clear" w:color="auto" w:fill="auto"/>
      </w:pPr>
    </w:p>
    <w:p w:rsidR="000F09ED" w:rsidRPr="00E87BD8" w:rsidRDefault="000F09ED" w:rsidP="0094344D">
      <w:pPr>
        <w:shd w:val="clear" w:color="auto" w:fill="auto"/>
      </w:pPr>
      <w:r w:rsidRPr="00E87BD8">
        <w:t>There is no assurance of confidentiality.</w:t>
      </w:r>
    </w:p>
    <w:p w:rsidR="000F09ED" w:rsidRPr="00E87BD8" w:rsidRDefault="000F09ED" w:rsidP="0094344D">
      <w:pPr>
        <w:shd w:val="clear" w:color="auto" w:fill="auto"/>
      </w:pPr>
    </w:p>
    <w:p w:rsidR="000F09ED" w:rsidRPr="00E87BD8" w:rsidRDefault="000F09ED" w:rsidP="0094344D">
      <w:pPr>
        <w:pStyle w:val="BodyText"/>
        <w:shd w:val="clear" w:color="auto" w:fill="auto"/>
        <w:rPr>
          <w:rFonts w:ascii="Times New Roman" w:hAnsi="Times New Roman"/>
        </w:rPr>
      </w:pPr>
      <w:r w:rsidRPr="00E87BD8">
        <w:rPr>
          <w:rFonts w:ascii="Times New Roman" w:hAnsi="Times New Roman"/>
        </w:rPr>
        <w:t>A.11.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09ED" w:rsidRPr="00E87BD8" w:rsidRDefault="000F09ED" w:rsidP="0094344D">
      <w:pPr>
        <w:shd w:val="clear" w:color="auto" w:fill="auto"/>
      </w:pPr>
    </w:p>
    <w:p w:rsidR="000F09ED" w:rsidRPr="00E87BD8" w:rsidRDefault="000F09ED" w:rsidP="0094344D">
      <w:pPr>
        <w:shd w:val="clear" w:color="auto" w:fill="auto"/>
      </w:pPr>
      <w:r w:rsidRPr="00E87BD8">
        <w:t>There are no questions of a sensitive nature.</w:t>
      </w:r>
    </w:p>
    <w:p w:rsidR="000F09ED" w:rsidRPr="00E87BD8" w:rsidRDefault="000F09ED" w:rsidP="0094344D">
      <w:pPr>
        <w:shd w:val="clear" w:color="auto" w:fill="auto"/>
      </w:pPr>
    </w:p>
    <w:p w:rsidR="000F09ED" w:rsidRPr="00E87BD8" w:rsidRDefault="000F09ED" w:rsidP="0094344D">
      <w:pPr>
        <w:shd w:val="clear" w:color="auto" w:fill="auto"/>
        <w:rPr>
          <w:rStyle w:val="a"/>
          <w:i/>
          <w:iCs/>
        </w:rPr>
      </w:pPr>
      <w:r w:rsidRPr="00E87BD8">
        <w:t xml:space="preserve">A.12. </w:t>
      </w:r>
      <w:r w:rsidRPr="00E87BD8">
        <w:rPr>
          <w:rStyle w:val="a"/>
          <w:i/>
          <w:iCs/>
        </w:rPr>
        <w:t xml:space="preserve">Provide estimates of the hour burden of the collection of information.  </w:t>
      </w:r>
    </w:p>
    <w:p w:rsidR="000F09ED" w:rsidRPr="00E87BD8" w:rsidRDefault="000F09ED" w:rsidP="0094344D">
      <w:pPr>
        <w:shd w:val="clear" w:color="auto" w:fill="auto"/>
      </w:pPr>
    </w:p>
    <w:p w:rsidR="000F09ED" w:rsidRPr="00E87BD8" w:rsidRDefault="000F09ED" w:rsidP="0094344D">
      <w:pPr>
        <w:pStyle w:val="Heading1"/>
        <w:shd w:val="clear" w:color="auto" w:fill="auto"/>
      </w:pPr>
      <w:r w:rsidRPr="00E87BD8">
        <w:t>A. Burden hours for respondents</w:t>
      </w:r>
    </w:p>
    <w:p w:rsidR="000F09ED" w:rsidRDefault="000F09ED" w:rsidP="0094344D">
      <w:pPr>
        <w:shd w:val="clear" w:color="auto" w:fill="auto"/>
        <w:ind w:firstLine="720"/>
      </w:pPr>
    </w:p>
    <w:p w:rsidR="000F09ED" w:rsidRDefault="000F09ED" w:rsidP="0094344D">
      <w:pPr>
        <w:shd w:val="clear" w:color="auto" w:fill="auto"/>
      </w:pPr>
      <w:r>
        <w:t xml:space="preserve">The Department </w:t>
      </w:r>
      <w:r w:rsidRPr="00043374">
        <w:t>estimate that each SEA would spend approximately 681 hours of staff time to address the application requirements and criteria, prepare the application, and obtain necessary clearances.  The total number of hours for all 52 SEAs is an estimated 35,412 hours (52 SEAs (the 50 States plus the District of Columbia and Puerto Rico) times 681 hours equals 35,412 hours.)  We estimate the average total cost per hour of the State-level staff who carry out this work to be $30.00 an hour.  The total estimated cost for all States would be $1,062,360 ($30.00 X 35,412 hours = $1,062,360).</w:t>
      </w:r>
    </w:p>
    <w:p w:rsidR="000F09ED" w:rsidRDefault="000F09ED" w:rsidP="0094344D">
      <w:pPr>
        <w:shd w:val="clear" w:color="auto" w:fill="auto"/>
      </w:pPr>
    </w:p>
    <w:tbl>
      <w:tblPr>
        <w:tblW w:w="901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10"/>
        <w:gridCol w:w="1908"/>
      </w:tblGrid>
      <w:tr w:rsidR="000F09ED" w:rsidRPr="00716664" w:rsidTr="00716664">
        <w:tc>
          <w:tcPr>
            <w:tcW w:w="7110" w:type="dxa"/>
          </w:tcPr>
          <w:p w:rsidR="000F09ED" w:rsidRPr="00716664" w:rsidRDefault="000F09ED" w:rsidP="00716664">
            <w:pPr>
              <w:shd w:val="clear" w:color="auto" w:fill="auto"/>
              <w:ind w:left="0"/>
              <w:rPr>
                <w:b/>
                <w:bCs/>
                <w:szCs w:val="24"/>
              </w:rPr>
            </w:pPr>
            <w:r w:rsidRPr="00716664">
              <w:rPr>
                <w:b/>
                <w:bCs/>
                <w:szCs w:val="24"/>
              </w:rPr>
              <w:t>A. State Success Factors</w:t>
            </w:r>
          </w:p>
        </w:tc>
        <w:tc>
          <w:tcPr>
            <w:tcW w:w="1908" w:type="dxa"/>
          </w:tcPr>
          <w:p w:rsidR="000F09ED" w:rsidRPr="00716664" w:rsidRDefault="000F09ED" w:rsidP="00716664">
            <w:pPr>
              <w:shd w:val="clear" w:color="auto" w:fill="auto"/>
              <w:rPr>
                <w:b/>
                <w:szCs w:val="24"/>
              </w:rPr>
            </w:pPr>
            <w:r w:rsidRPr="00716664">
              <w:rPr>
                <w:b/>
                <w:szCs w:val="24"/>
              </w:rPr>
              <w:t>Hours </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(A)(1)  Articulating State’s education reform agenda and LEAs’ participation in it</w:t>
            </w:r>
          </w:p>
        </w:tc>
        <w:tc>
          <w:tcPr>
            <w:tcW w:w="1908" w:type="dxa"/>
          </w:tcPr>
          <w:p w:rsidR="000F09ED" w:rsidRPr="00716664" w:rsidRDefault="000F09ED" w:rsidP="00716664">
            <w:pPr>
              <w:shd w:val="clear" w:color="auto" w:fill="auto"/>
              <w:jc w:val="center"/>
              <w:rPr>
                <w:szCs w:val="24"/>
              </w:rPr>
            </w:pPr>
            <w:r w:rsidRPr="00716664">
              <w:rPr>
                <w:szCs w:val="24"/>
              </w:rPr>
              <w:t>60</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(A)(2)  Building strong statewide capacity to implement, scale and sustain proposed plans</w:t>
            </w:r>
          </w:p>
        </w:tc>
        <w:tc>
          <w:tcPr>
            <w:tcW w:w="1908" w:type="dxa"/>
          </w:tcPr>
          <w:p w:rsidR="000F09ED" w:rsidRPr="00716664" w:rsidRDefault="000F09ED" w:rsidP="00716664">
            <w:pPr>
              <w:shd w:val="clear" w:color="auto" w:fill="auto"/>
              <w:jc w:val="center"/>
              <w:rPr>
                <w:szCs w:val="24"/>
              </w:rPr>
            </w:pPr>
            <w:r w:rsidRPr="00716664">
              <w:rPr>
                <w:szCs w:val="24"/>
              </w:rPr>
              <w:t>80</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(A)(3)  Demonstrating significant progress in raising achievement and closing gaps</w:t>
            </w:r>
          </w:p>
        </w:tc>
        <w:tc>
          <w:tcPr>
            <w:tcW w:w="1908" w:type="dxa"/>
          </w:tcPr>
          <w:p w:rsidR="000F09ED" w:rsidRPr="00716664" w:rsidRDefault="000F09ED" w:rsidP="00716664">
            <w:pPr>
              <w:shd w:val="clear" w:color="auto" w:fill="auto"/>
              <w:jc w:val="center"/>
              <w:rPr>
                <w:szCs w:val="24"/>
              </w:rPr>
            </w:pPr>
            <w:r w:rsidRPr="00716664">
              <w:rPr>
                <w:szCs w:val="24"/>
              </w:rPr>
              <w:t>80</w:t>
            </w:r>
          </w:p>
        </w:tc>
      </w:tr>
      <w:tr w:rsidR="000F09ED" w:rsidRPr="00716664" w:rsidTr="00716664">
        <w:tc>
          <w:tcPr>
            <w:tcW w:w="7110" w:type="dxa"/>
          </w:tcPr>
          <w:p w:rsidR="000F09ED" w:rsidRPr="00716664" w:rsidRDefault="000F09ED" w:rsidP="00716664">
            <w:pPr>
              <w:shd w:val="clear" w:color="auto" w:fill="auto"/>
              <w:ind w:left="0"/>
              <w:rPr>
                <w:b/>
                <w:bCs/>
                <w:szCs w:val="24"/>
              </w:rPr>
            </w:pPr>
            <w:r w:rsidRPr="00716664">
              <w:rPr>
                <w:b/>
                <w:bCs/>
                <w:szCs w:val="24"/>
              </w:rPr>
              <w:t>B. Standards and Assessments</w:t>
            </w:r>
          </w:p>
        </w:tc>
        <w:tc>
          <w:tcPr>
            <w:tcW w:w="1908" w:type="dxa"/>
          </w:tcPr>
          <w:p w:rsidR="000F09ED" w:rsidRPr="00716664" w:rsidRDefault="000F09ED" w:rsidP="00716664">
            <w:pPr>
              <w:shd w:val="clear" w:color="auto" w:fill="auto"/>
              <w:jc w:val="center"/>
              <w:rPr>
                <w:szCs w:val="24"/>
              </w:rPr>
            </w:pPr>
            <w:r w:rsidRPr="00716664">
              <w:rPr>
                <w:szCs w:val="24"/>
              </w:rPr>
              <w:t> </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(B)(1)  Developing and adopting common standards</w:t>
            </w:r>
          </w:p>
        </w:tc>
        <w:tc>
          <w:tcPr>
            <w:tcW w:w="1908" w:type="dxa"/>
          </w:tcPr>
          <w:p w:rsidR="000F09ED" w:rsidRPr="00716664" w:rsidRDefault="000F09ED" w:rsidP="00716664">
            <w:pPr>
              <w:shd w:val="clear" w:color="auto" w:fill="auto"/>
              <w:jc w:val="center"/>
              <w:rPr>
                <w:szCs w:val="24"/>
              </w:rPr>
            </w:pPr>
            <w:r w:rsidRPr="00716664">
              <w:rPr>
                <w:szCs w:val="24"/>
              </w:rPr>
              <w:t>8</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(B)(2)  Developing and implementing common, high-quality assessments</w:t>
            </w:r>
          </w:p>
        </w:tc>
        <w:tc>
          <w:tcPr>
            <w:tcW w:w="1908" w:type="dxa"/>
          </w:tcPr>
          <w:p w:rsidR="000F09ED" w:rsidRPr="00716664" w:rsidRDefault="000F09ED" w:rsidP="00716664">
            <w:pPr>
              <w:shd w:val="clear" w:color="auto" w:fill="auto"/>
              <w:jc w:val="center"/>
              <w:rPr>
                <w:szCs w:val="24"/>
              </w:rPr>
            </w:pPr>
            <w:r w:rsidRPr="00716664">
              <w:rPr>
                <w:szCs w:val="24"/>
              </w:rPr>
              <w:t>8</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(B)(3)  Supporting the transition to enhanced standards and high-quality assessments</w:t>
            </w:r>
          </w:p>
        </w:tc>
        <w:tc>
          <w:tcPr>
            <w:tcW w:w="1908" w:type="dxa"/>
          </w:tcPr>
          <w:p w:rsidR="000F09ED" w:rsidRPr="00716664" w:rsidRDefault="000F09ED" w:rsidP="00716664">
            <w:pPr>
              <w:shd w:val="clear" w:color="auto" w:fill="auto"/>
              <w:jc w:val="center"/>
              <w:rPr>
                <w:szCs w:val="24"/>
              </w:rPr>
            </w:pPr>
            <w:r w:rsidRPr="00716664">
              <w:rPr>
                <w:szCs w:val="24"/>
              </w:rPr>
              <w:t>15</w:t>
            </w:r>
          </w:p>
        </w:tc>
      </w:tr>
      <w:tr w:rsidR="000F09ED" w:rsidRPr="00716664" w:rsidTr="00716664">
        <w:tc>
          <w:tcPr>
            <w:tcW w:w="7110" w:type="dxa"/>
          </w:tcPr>
          <w:p w:rsidR="000F09ED" w:rsidRPr="00716664" w:rsidRDefault="000F09ED" w:rsidP="00716664">
            <w:pPr>
              <w:shd w:val="clear" w:color="auto" w:fill="auto"/>
              <w:ind w:left="0"/>
              <w:rPr>
                <w:b/>
                <w:bCs/>
                <w:szCs w:val="24"/>
              </w:rPr>
            </w:pPr>
            <w:r w:rsidRPr="00716664">
              <w:rPr>
                <w:b/>
                <w:bCs/>
                <w:szCs w:val="24"/>
              </w:rPr>
              <w:t>C. Data Systems to Support Instruction</w:t>
            </w:r>
          </w:p>
        </w:tc>
        <w:tc>
          <w:tcPr>
            <w:tcW w:w="1908" w:type="dxa"/>
          </w:tcPr>
          <w:p w:rsidR="000F09ED" w:rsidRPr="00716664" w:rsidRDefault="000F09ED" w:rsidP="00716664">
            <w:pPr>
              <w:shd w:val="clear" w:color="auto" w:fill="auto"/>
              <w:jc w:val="center"/>
              <w:rPr>
                <w:szCs w:val="24"/>
              </w:rPr>
            </w:pPr>
            <w:r w:rsidRPr="00716664">
              <w:rPr>
                <w:szCs w:val="24"/>
              </w:rPr>
              <w:t> </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(C)(1)  Fully implementing a statewide longitudinal data system</w:t>
            </w:r>
          </w:p>
        </w:tc>
        <w:tc>
          <w:tcPr>
            <w:tcW w:w="1908" w:type="dxa"/>
          </w:tcPr>
          <w:p w:rsidR="000F09ED" w:rsidRPr="00716664" w:rsidRDefault="000F09ED" w:rsidP="00716664">
            <w:pPr>
              <w:shd w:val="clear" w:color="auto" w:fill="auto"/>
              <w:jc w:val="center"/>
              <w:rPr>
                <w:szCs w:val="24"/>
              </w:rPr>
            </w:pPr>
            <w:r w:rsidRPr="00716664">
              <w:rPr>
                <w:szCs w:val="24"/>
              </w:rPr>
              <w:t>3</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(C)(2)  Accessing and using State data</w:t>
            </w:r>
          </w:p>
        </w:tc>
        <w:tc>
          <w:tcPr>
            <w:tcW w:w="1908" w:type="dxa"/>
          </w:tcPr>
          <w:p w:rsidR="000F09ED" w:rsidRPr="00716664" w:rsidRDefault="000F09ED" w:rsidP="00716664">
            <w:pPr>
              <w:shd w:val="clear" w:color="auto" w:fill="auto"/>
              <w:jc w:val="center"/>
              <w:rPr>
                <w:szCs w:val="24"/>
              </w:rPr>
            </w:pPr>
            <w:r w:rsidRPr="00716664">
              <w:rPr>
                <w:szCs w:val="24"/>
              </w:rPr>
              <w:t>15</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(C)(3)  Using data to improve instruction</w:t>
            </w:r>
          </w:p>
        </w:tc>
        <w:tc>
          <w:tcPr>
            <w:tcW w:w="1908" w:type="dxa"/>
          </w:tcPr>
          <w:p w:rsidR="000F09ED" w:rsidRPr="00716664" w:rsidRDefault="000F09ED" w:rsidP="00716664">
            <w:pPr>
              <w:shd w:val="clear" w:color="auto" w:fill="auto"/>
              <w:jc w:val="center"/>
              <w:rPr>
                <w:szCs w:val="24"/>
              </w:rPr>
            </w:pPr>
            <w:r w:rsidRPr="00716664">
              <w:rPr>
                <w:szCs w:val="24"/>
              </w:rPr>
              <w:t>50</w:t>
            </w:r>
          </w:p>
        </w:tc>
      </w:tr>
      <w:tr w:rsidR="000F09ED" w:rsidRPr="00716664" w:rsidTr="00716664">
        <w:tc>
          <w:tcPr>
            <w:tcW w:w="7110" w:type="dxa"/>
          </w:tcPr>
          <w:p w:rsidR="000F09ED" w:rsidRPr="00716664" w:rsidRDefault="000F09ED" w:rsidP="00716664">
            <w:pPr>
              <w:shd w:val="clear" w:color="auto" w:fill="auto"/>
              <w:ind w:left="0"/>
              <w:rPr>
                <w:b/>
                <w:bCs/>
                <w:szCs w:val="24"/>
              </w:rPr>
            </w:pPr>
            <w:r w:rsidRPr="00716664">
              <w:rPr>
                <w:b/>
                <w:bCs/>
                <w:szCs w:val="24"/>
              </w:rPr>
              <w:t>D. Great Teachers and Leaders</w:t>
            </w:r>
          </w:p>
        </w:tc>
        <w:tc>
          <w:tcPr>
            <w:tcW w:w="1908" w:type="dxa"/>
          </w:tcPr>
          <w:p w:rsidR="000F09ED" w:rsidRPr="00716664" w:rsidRDefault="000F09ED" w:rsidP="00716664">
            <w:pPr>
              <w:shd w:val="clear" w:color="auto" w:fill="auto"/>
              <w:jc w:val="center"/>
              <w:rPr>
                <w:szCs w:val="24"/>
              </w:rPr>
            </w:pPr>
            <w:r w:rsidRPr="00716664">
              <w:rPr>
                <w:szCs w:val="24"/>
              </w:rPr>
              <w:t> </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(D)(1) Providing alternative pathways for aspiring teachers and principals</w:t>
            </w:r>
          </w:p>
        </w:tc>
        <w:tc>
          <w:tcPr>
            <w:tcW w:w="1908" w:type="dxa"/>
          </w:tcPr>
          <w:p w:rsidR="000F09ED" w:rsidRPr="00716664" w:rsidRDefault="000F09ED" w:rsidP="00716664">
            <w:pPr>
              <w:shd w:val="clear" w:color="auto" w:fill="auto"/>
              <w:jc w:val="center"/>
              <w:rPr>
                <w:szCs w:val="24"/>
              </w:rPr>
            </w:pPr>
            <w:r w:rsidRPr="00716664">
              <w:rPr>
                <w:szCs w:val="24"/>
              </w:rPr>
              <w:t>15</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(D)(2)  Improving teacher and principal effectiveness based on performance</w:t>
            </w:r>
          </w:p>
        </w:tc>
        <w:tc>
          <w:tcPr>
            <w:tcW w:w="1908" w:type="dxa"/>
          </w:tcPr>
          <w:p w:rsidR="000F09ED" w:rsidRPr="00716664" w:rsidRDefault="000F09ED" w:rsidP="00716664">
            <w:pPr>
              <w:shd w:val="clear" w:color="auto" w:fill="auto"/>
              <w:jc w:val="center"/>
              <w:rPr>
                <w:szCs w:val="24"/>
              </w:rPr>
            </w:pPr>
            <w:r w:rsidRPr="00716664">
              <w:rPr>
                <w:szCs w:val="24"/>
              </w:rPr>
              <w:t>60</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(D)(3)  Ensuring equitable distribution of effective teachers and principals</w:t>
            </w:r>
          </w:p>
        </w:tc>
        <w:tc>
          <w:tcPr>
            <w:tcW w:w="1908" w:type="dxa"/>
          </w:tcPr>
          <w:p w:rsidR="000F09ED" w:rsidRPr="00716664" w:rsidRDefault="000F09ED" w:rsidP="00716664">
            <w:pPr>
              <w:shd w:val="clear" w:color="auto" w:fill="auto"/>
              <w:jc w:val="center"/>
              <w:rPr>
                <w:szCs w:val="24"/>
              </w:rPr>
            </w:pPr>
            <w:r w:rsidRPr="00716664">
              <w:rPr>
                <w:szCs w:val="24"/>
              </w:rPr>
              <w:t>40</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(D)(4)  Reporting the effectiveness of teacher and principal preparation programs</w:t>
            </w:r>
          </w:p>
        </w:tc>
        <w:tc>
          <w:tcPr>
            <w:tcW w:w="1908" w:type="dxa"/>
          </w:tcPr>
          <w:p w:rsidR="000F09ED" w:rsidRPr="00716664" w:rsidRDefault="000F09ED" w:rsidP="00716664">
            <w:pPr>
              <w:shd w:val="clear" w:color="auto" w:fill="auto"/>
              <w:jc w:val="center"/>
              <w:rPr>
                <w:szCs w:val="24"/>
              </w:rPr>
            </w:pPr>
            <w:r w:rsidRPr="00716664">
              <w:rPr>
                <w:szCs w:val="24"/>
              </w:rPr>
              <w:t>15</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(D)(5)  Providing effective support to teachers and principals</w:t>
            </w:r>
          </w:p>
        </w:tc>
        <w:tc>
          <w:tcPr>
            <w:tcW w:w="1908" w:type="dxa"/>
          </w:tcPr>
          <w:p w:rsidR="000F09ED" w:rsidRPr="00716664" w:rsidRDefault="000F09ED" w:rsidP="00716664">
            <w:pPr>
              <w:shd w:val="clear" w:color="auto" w:fill="auto"/>
              <w:jc w:val="center"/>
              <w:rPr>
                <w:szCs w:val="24"/>
              </w:rPr>
            </w:pPr>
            <w:r w:rsidRPr="00716664">
              <w:rPr>
                <w:szCs w:val="24"/>
              </w:rPr>
              <w:t>30</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E.  Turning Around the Lowest-Achieving Schools</w:t>
            </w:r>
          </w:p>
        </w:tc>
        <w:tc>
          <w:tcPr>
            <w:tcW w:w="1908" w:type="dxa"/>
          </w:tcPr>
          <w:p w:rsidR="000F09ED" w:rsidRPr="00716664" w:rsidRDefault="000F09ED" w:rsidP="00716664">
            <w:pPr>
              <w:shd w:val="clear" w:color="auto" w:fill="auto"/>
              <w:jc w:val="center"/>
              <w:rPr>
                <w:szCs w:val="24"/>
              </w:rPr>
            </w:pPr>
          </w:p>
        </w:tc>
      </w:tr>
      <w:tr w:rsidR="000F09ED" w:rsidRPr="00716664" w:rsidTr="00716664">
        <w:tc>
          <w:tcPr>
            <w:tcW w:w="7110" w:type="dxa"/>
            <w:vAlign w:val="bottom"/>
          </w:tcPr>
          <w:p w:rsidR="000F09ED" w:rsidRPr="00716664" w:rsidRDefault="000F09ED" w:rsidP="00716664">
            <w:pPr>
              <w:shd w:val="clear" w:color="auto" w:fill="auto"/>
              <w:ind w:left="0"/>
              <w:rPr>
                <w:b/>
                <w:bCs/>
                <w:szCs w:val="24"/>
              </w:rPr>
            </w:pPr>
            <w:r w:rsidRPr="00716664">
              <w:rPr>
                <w:b/>
                <w:bCs/>
                <w:szCs w:val="24"/>
              </w:rPr>
              <w:t>E. Turning Around the Lowest-Achieving Schools</w:t>
            </w:r>
          </w:p>
        </w:tc>
        <w:tc>
          <w:tcPr>
            <w:tcW w:w="1908" w:type="dxa"/>
          </w:tcPr>
          <w:p w:rsidR="000F09ED" w:rsidRPr="00716664" w:rsidRDefault="000F09ED" w:rsidP="00716664">
            <w:pPr>
              <w:shd w:val="clear" w:color="auto" w:fill="auto"/>
              <w:jc w:val="center"/>
              <w:rPr>
                <w:szCs w:val="24"/>
              </w:rPr>
            </w:pPr>
            <w:r w:rsidRPr="00716664">
              <w:rPr>
                <w:szCs w:val="24"/>
              </w:rPr>
              <w:t> </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(E)(1)  Intervening in the lowest-achieving schools and LEAs</w:t>
            </w:r>
          </w:p>
        </w:tc>
        <w:tc>
          <w:tcPr>
            <w:tcW w:w="1908" w:type="dxa"/>
          </w:tcPr>
          <w:p w:rsidR="000F09ED" w:rsidRPr="00716664" w:rsidRDefault="000F09ED" w:rsidP="00716664">
            <w:pPr>
              <w:shd w:val="clear" w:color="auto" w:fill="auto"/>
              <w:jc w:val="center"/>
              <w:rPr>
                <w:szCs w:val="24"/>
              </w:rPr>
            </w:pPr>
            <w:r w:rsidRPr="00716664">
              <w:rPr>
                <w:szCs w:val="24"/>
              </w:rPr>
              <w:t>15</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(E)(2)  Turning around the lowest- achieving schools</w:t>
            </w:r>
          </w:p>
        </w:tc>
        <w:tc>
          <w:tcPr>
            <w:tcW w:w="1908" w:type="dxa"/>
          </w:tcPr>
          <w:p w:rsidR="000F09ED" w:rsidRPr="00716664" w:rsidRDefault="000F09ED" w:rsidP="00716664">
            <w:pPr>
              <w:shd w:val="clear" w:color="auto" w:fill="auto"/>
              <w:jc w:val="center"/>
              <w:rPr>
                <w:szCs w:val="24"/>
              </w:rPr>
            </w:pPr>
            <w:r w:rsidRPr="00716664">
              <w:rPr>
                <w:szCs w:val="24"/>
              </w:rPr>
              <w:t>45</w:t>
            </w:r>
          </w:p>
        </w:tc>
      </w:tr>
      <w:tr w:rsidR="000F09ED" w:rsidRPr="00716664" w:rsidTr="00716664">
        <w:tc>
          <w:tcPr>
            <w:tcW w:w="7110" w:type="dxa"/>
            <w:vAlign w:val="bottom"/>
          </w:tcPr>
          <w:p w:rsidR="000F09ED" w:rsidRPr="00716664" w:rsidRDefault="000F09ED" w:rsidP="00716664">
            <w:pPr>
              <w:shd w:val="clear" w:color="auto" w:fill="auto"/>
              <w:ind w:left="0"/>
              <w:rPr>
                <w:b/>
                <w:bCs/>
                <w:szCs w:val="24"/>
              </w:rPr>
            </w:pPr>
            <w:r w:rsidRPr="00716664">
              <w:rPr>
                <w:b/>
                <w:bCs/>
                <w:szCs w:val="24"/>
              </w:rPr>
              <w:t>F. General Selection Criteria</w:t>
            </w:r>
          </w:p>
        </w:tc>
        <w:tc>
          <w:tcPr>
            <w:tcW w:w="1908" w:type="dxa"/>
          </w:tcPr>
          <w:p w:rsidR="000F09ED" w:rsidRPr="00716664" w:rsidRDefault="000F09ED" w:rsidP="00716664">
            <w:pPr>
              <w:shd w:val="clear" w:color="auto" w:fill="auto"/>
              <w:jc w:val="center"/>
              <w:rPr>
                <w:szCs w:val="24"/>
              </w:rPr>
            </w:pPr>
            <w:r w:rsidRPr="00716664">
              <w:rPr>
                <w:szCs w:val="24"/>
              </w:rPr>
              <w:t> </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(F)(1)  Making education funding a priority</w:t>
            </w:r>
          </w:p>
        </w:tc>
        <w:tc>
          <w:tcPr>
            <w:tcW w:w="1908" w:type="dxa"/>
          </w:tcPr>
          <w:p w:rsidR="000F09ED" w:rsidRPr="00716664" w:rsidRDefault="000F09ED" w:rsidP="00716664">
            <w:pPr>
              <w:shd w:val="clear" w:color="auto" w:fill="auto"/>
              <w:jc w:val="center"/>
              <w:rPr>
                <w:szCs w:val="24"/>
              </w:rPr>
            </w:pPr>
            <w:r w:rsidRPr="00716664">
              <w:rPr>
                <w:szCs w:val="24"/>
              </w:rPr>
              <w:t>45</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(F)(2)  Ensuring successful conditions for high-performing charters and other innovative schools</w:t>
            </w:r>
          </w:p>
        </w:tc>
        <w:tc>
          <w:tcPr>
            <w:tcW w:w="1908" w:type="dxa"/>
          </w:tcPr>
          <w:p w:rsidR="000F09ED" w:rsidRPr="00716664" w:rsidRDefault="000F09ED" w:rsidP="00716664">
            <w:pPr>
              <w:shd w:val="clear" w:color="auto" w:fill="auto"/>
              <w:jc w:val="center"/>
              <w:rPr>
                <w:szCs w:val="24"/>
              </w:rPr>
            </w:pPr>
            <w:r w:rsidRPr="00716664">
              <w:rPr>
                <w:szCs w:val="24"/>
              </w:rPr>
              <w:t>35</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(F)(3)  Demonstrating other significant reform conditions</w:t>
            </w:r>
          </w:p>
        </w:tc>
        <w:tc>
          <w:tcPr>
            <w:tcW w:w="1908" w:type="dxa"/>
          </w:tcPr>
          <w:p w:rsidR="000F09ED" w:rsidRPr="00716664" w:rsidRDefault="000F09ED" w:rsidP="00716664">
            <w:pPr>
              <w:shd w:val="clear" w:color="auto" w:fill="auto"/>
              <w:jc w:val="center"/>
              <w:rPr>
                <w:szCs w:val="24"/>
              </w:rPr>
            </w:pPr>
            <w:r w:rsidRPr="00716664">
              <w:rPr>
                <w:szCs w:val="24"/>
              </w:rPr>
              <w:t>0</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(F)(4)  Implementing other significant reform plans</w:t>
            </w:r>
          </w:p>
        </w:tc>
        <w:tc>
          <w:tcPr>
            <w:tcW w:w="1908" w:type="dxa"/>
          </w:tcPr>
          <w:p w:rsidR="000F09ED" w:rsidRPr="00716664" w:rsidRDefault="000F09ED" w:rsidP="00716664">
            <w:pPr>
              <w:shd w:val="clear" w:color="auto" w:fill="auto"/>
              <w:jc w:val="center"/>
              <w:rPr>
                <w:szCs w:val="24"/>
              </w:rPr>
            </w:pPr>
            <w:r w:rsidRPr="00716664">
              <w:rPr>
                <w:szCs w:val="24"/>
              </w:rPr>
              <w:t>0</w:t>
            </w:r>
          </w:p>
        </w:tc>
      </w:tr>
      <w:tr w:rsidR="000F09ED" w:rsidRPr="00716664" w:rsidTr="00716664">
        <w:tc>
          <w:tcPr>
            <w:tcW w:w="7110" w:type="dxa"/>
          </w:tcPr>
          <w:p w:rsidR="000F09ED" w:rsidRPr="00716664" w:rsidRDefault="000F09ED" w:rsidP="00716664">
            <w:pPr>
              <w:shd w:val="clear" w:color="auto" w:fill="auto"/>
              <w:ind w:left="0"/>
              <w:rPr>
                <w:b/>
                <w:bCs/>
                <w:szCs w:val="24"/>
              </w:rPr>
            </w:pPr>
            <w:r w:rsidRPr="00716664">
              <w:rPr>
                <w:b/>
                <w:bCs/>
                <w:szCs w:val="24"/>
              </w:rPr>
              <w:t>Application Requirements</w:t>
            </w:r>
          </w:p>
        </w:tc>
        <w:tc>
          <w:tcPr>
            <w:tcW w:w="1908" w:type="dxa"/>
            <w:vAlign w:val="bottom"/>
          </w:tcPr>
          <w:p w:rsidR="000F09ED" w:rsidRPr="00716664" w:rsidRDefault="000F09ED" w:rsidP="00716664">
            <w:pPr>
              <w:shd w:val="clear" w:color="auto" w:fill="auto"/>
              <w:jc w:val="center"/>
              <w:rPr>
                <w:szCs w:val="24"/>
              </w:rPr>
            </w:pPr>
            <w:r w:rsidRPr="00716664">
              <w:rPr>
                <w:szCs w:val="24"/>
              </w:rPr>
              <w:t> </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(a)  Required signatures</w:t>
            </w:r>
          </w:p>
        </w:tc>
        <w:tc>
          <w:tcPr>
            <w:tcW w:w="1908" w:type="dxa"/>
          </w:tcPr>
          <w:p w:rsidR="000F09ED" w:rsidRPr="00716664" w:rsidRDefault="000F09ED" w:rsidP="00716664">
            <w:pPr>
              <w:shd w:val="clear" w:color="auto" w:fill="auto"/>
              <w:jc w:val="center"/>
              <w:rPr>
                <w:szCs w:val="24"/>
              </w:rPr>
            </w:pPr>
            <w:r w:rsidRPr="00716664">
              <w:rPr>
                <w:szCs w:val="24"/>
              </w:rPr>
              <w:t>12</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(b)  Progress in the four education reform areas (as described in Selection Criterion (A)(3)(i))</w:t>
            </w:r>
          </w:p>
        </w:tc>
        <w:tc>
          <w:tcPr>
            <w:tcW w:w="1908" w:type="dxa"/>
          </w:tcPr>
          <w:p w:rsidR="000F09ED" w:rsidRPr="00716664" w:rsidRDefault="000F09ED" w:rsidP="00716664">
            <w:pPr>
              <w:shd w:val="clear" w:color="auto" w:fill="auto"/>
              <w:jc w:val="center"/>
              <w:rPr>
                <w:szCs w:val="24"/>
              </w:rPr>
            </w:pPr>
            <w:r w:rsidRPr="00716664">
              <w:rPr>
                <w:szCs w:val="24"/>
              </w:rPr>
              <w:t>n/a</w:t>
            </w:r>
          </w:p>
        </w:tc>
      </w:tr>
      <w:tr w:rsidR="000F09ED" w:rsidRPr="00716664" w:rsidTr="00716664">
        <w:tc>
          <w:tcPr>
            <w:tcW w:w="7110" w:type="dxa"/>
          </w:tcPr>
          <w:p w:rsidR="000F09ED" w:rsidRPr="00716664" w:rsidRDefault="000F09ED" w:rsidP="00716664">
            <w:pPr>
              <w:shd w:val="clear" w:color="auto" w:fill="auto"/>
              <w:ind w:left="0"/>
              <w:rPr>
                <w:szCs w:val="24"/>
              </w:rPr>
            </w:pPr>
            <w:r w:rsidRPr="00716664">
              <w:rPr>
                <w:szCs w:val="24"/>
              </w:rPr>
              <w:t>(c)  The State’s proposed budget (as described in Selection Criterion (A)(2)(i)(d)), including how it will (1) Achieve its targets (as described in Selection Criterion (A)(3)(iii)) and (2) give priority to high-need LEAs</w:t>
            </w:r>
          </w:p>
        </w:tc>
        <w:tc>
          <w:tcPr>
            <w:tcW w:w="1908" w:type="dxa"/>
          </w:tcPr>
          <w:p w:rsidR="000F09ED" w:rsidRPr="00716664" w:rsidRDefault="000F09ED" w:rsidP="00716664">
            <w:pPr>
              <w:shd w:val="clear" w:color="auto" w:fill="auto"/>
              <w:jc w:val="center"/>
              <w:rPr>
                <w:szCs w:val="24"/>
              </w:rPr>
            </w:pPr>
            <w:r w:rsidRPr="00716664">
              <w:rPr>
                <w:szCs w:val="24"/>
              </w:rPr>
              <w:t>10</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(d)  Required information for State Reform Conditions Criteria</w:t>
            </w:r>
          </w:p>
        </w:tc>
        <w:tc>
          <w:tcPr>
            <w:tcW w:w="1908" w:type="dxa"/>
          </w:tcPr>
          <w:p w:rsidR="000F09ED" w:rsidRPr="00716664" w:rsidRDefault="000F09ED" w:rsidP="00716664">
            <w:pPr>
              <w:shd w:val="clear" w:color="auto" w:fill="auto"/>
              <w:jc w:val="center"/>
              <w:rPr>
                <w:szCs w:val="24"/>
              </w:rPr>
            </w:pPr>
            <w:r w:rsidRPr="00716664">
              <w:rPr>
                <w:szCs w:val="24"/>
              </w:rPr>
              <w:t>n/a</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(e)  Required information for Reform Plan Criterion</w:t>
            </w:r>
          </w:p>
        </w:tc>
        <w:tc>
          <w:tcPr>
            <w:tcW w:w="1908" w:type="dxa"/>
          </w:tcPr>
          <w:p w:rsidR="000F09ED" w:rsidRPr="00716664" w:rsidRDefault="000F09ED" w:rsidP="00716664">
            <w:pPr>
              <w:shd w:val="clear" w:color="auto" w:fill="auto"/>
              <w:jc w:val="center"/>
              <w:rPr>
                <w:szCs w:val="24"/>
              </w:rPr>
            </w:pPr>
            <w:r w:rsidRPr="00716664">
              <w:rPr>
                <w:szCs w:val="24"/>
              </w:rPr>
              <w:t>n/a</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(f)  Attorney General certification</w:t>
            </w:r>
          </w:p>
        </w:tc>
        <w:tc>
          <w:tcPr>
            <w:tcW w:w="1908" w:type="dxa"/>
          </w:tcPr>
          <w:p w:rsidR="000F09ED" w:rsidRPr="00716664" w:rsidRDefault="000F09ED" w:rsidP="00716664">
            <w:pPr>
              <w:shd w:val="clear" w:color="auto" w:fill="auto"/>
              <w:jc w:val="center"/>
              <w:rPr>
                <w:szCs w:val="24"/>
              </w:rPr>
            </w:pPr>
            <w:r w:rsidRPr="00716664">
              <w:rPr>
                <w:szCs w:val="24"/>
              </w:rPr>
              <w:t>40</w:t>
            </w:r>
          </w:p>
        </w:tc>
      </w:tr>
      <w:tr w:rsidR="000F09ED" w:rsidRPr="00716664" w:rsidTr="00716664">
        <w:tc>
          <w:tcPr>
            <w:tcW w:w="7110" w:type="dxa"/>
            <w:vAlign w:val="bottom"/>
          </w:tcPr>
          <w:p w:rsidR="000F09ED" w:rsidRPr="00716664" w:rsidRDefault="000F09ED" w:rsidP="00716664">
            <w:pPr>
              <w:shd w:val="clear" w:color="auto" w:fill="auto"/>
              <w:ind w:left="0"/>
              <w:rPr>
                <w:szCs w:val="24"/>
              </w:rPr>
            </w:pPr>
            <w:r w:rsidRPr="00716664">
              <w:rPr>
                <w:szCs w:val="24"/>
              </w:rPr>
              <w:t>(g)  Subgroup guidance</w:t>
            </w:r>
          </w:p>
        </w:tc>
        <w:tc>
          <w:tcPr>
            <w:tcW w:w="1908" w:type="dxa"/>
          </w:tcPr>
          <w:p w:rsidR="000F09ED" w:rsidRPr="00716664" w:rsidRDefault="000F09ED" w:rsidP="00716664">
            <w:pPr>
              <w:shd w:val="clear" w:color="auto" w:fill="auto"/>
              <w:jc w:val="center"/>
              <w:rPr>
                <w:szCs w:val="24"/>
              </w:rPr>
            </w:pPr>
            <w:r w:rsidRPr="00716664">
              <w:rPr>
                <w:szCs w:val="24"/>
              </w:rPr>
              <w:t>n/a</w:t>
            </w:r>
          </w:p>
        </w:tc>
      </w:tr>
      <w:tr w:rsidR="000F09ED" w:rsidRPr="00716664" w:rsidTr="00716664">
        <w:tc>
          <w:tcPr>
            <w:tcW w:w="7110" w:type="dxa"/>
            <w:vAlign w:val="bottom"/>
          </w:tcPr>
          <w:p w:rsidR="000F09ED" w:rsidRPr="00716664" w:rsidRDefault="000F09ED" w:rsidP="00716664">
            <w:pPr>
              <w:shd w:val="clear" w:color="auto" w:fill="auto"/>
              <w:ind w:left="0"/>
              <w:rPr>
                <w:b/>
                <w:bCs/>
                <w:szCs w:val="24"/>
              </w:rPr>
            </w:pPr>
            <w:r w:rsidRPr="00716664">
              <w:rPr>
                <w:b/>
                <w:bCs/>
                <w:szCs w:val="24"/>
              </w:rPr>
              <w:t>Total</w:t>
            </w:r>
          </w:p>
        </w:tc>
        <w:tc>
          <w:tcPr>
            <w:tcW w:w="1908" w:type="dxa"/>
            <w:vAlign w:val="bottom"/>
          </w:tcPr>
          <w:p w:rsidR="000F09ED" w:rsidRPr="00716664" w:rsidRDefault="000F09ED" w:rsidP="00716664">
            <w:pPr>
              <w:shd w:val="clear" w:color="auto" w:fill="auto"/>
              <w:jc w:val="center"/>
              <w:rPr>
                <w:szCs w:val="24"/>
              </w:rPr>
            </w:pPr>
            <w:r w:rsidRPr="00716664">
              <w:rPr>
                <w:szCs w:val="24"/>
              </w:rPr>
              <w:t>681</w:t>
            </w:r>
          </w:p>
        </w:tc>
      </w:tr>
    </w:tbl>
    <w:p w:rsidR="000F09ED" w:rsidRPr="00043374" w:rsidRDefault="000F09ED" w:rsidP="0094344D">
      <w:pPr>
        <w:shd w:val="clear" w:color="auto" w:fill="auto"/>
      </w:pPr>
    </w:p>
    <w:p w:rsidR="000F09ED" w:rsidRPr="00E87BD8" w:rsidRDefault="000F09ED" w:rsidP="0094344D">
      <w:pPr>
        <w:shd w:val="clear" w:color="auto" w:fill="auto"/>
        <w:ind w:left="0"/>
      </w:pPr>
    </w:p>
    <w:p w:rsidR="000F09ED" w:rsidRPr="00E87BD8" w:rsidRDefault="000F09ED" w:rsidP="0094344D">
      <w:pPr>
        <w:pStyle w:val="Heading1"/>
        <w:shd w:val="clear" w:color="auto" w:fill="auto"/>
      </w:pPr>
      <w:r w:rsidRPr="00E87BD8">
        <w:t>B. Cost to Respondents</w:t>
      </w:r>
    </w:p>
    <w:p w:rsidR="000F09ED" w:rsidRPr="00E87BD8" w:rsidRDefault="000F09ED" w:rsidP="0094344D">
      <w:pPr>
        <w:shd w:val="clear" w:color="auto" w:fill="auto"/>
      </w:pPr>
    </w:p>
    <w:p w:rsidR="000F09ED" w:rsidRPr="00E87BD8" w:rsidRDefault="000F09ED" w:rsidP="0094344D">
      <w:pPr>
        <w:shd w:val="clear" w:color="auto" w:fill="auto"/>
      </w:pPr>
      <w:r w:rsidRPr="00E87BD8">
        <w:t xml:space="preserve">The Department estimates that the per-hour cost at </w:t>
      </w:r>
      <w:r>
        <w:t xml:space="preserve">State </w:t>
      </w:r>
      <w:r w:rsidRPr="00E87BD8">
        <w:t>level will average $</w:t>
      </w:r>
      <w:r>
        <w:t>3</w:t>
      </w:r>
      <w:r w:rsidRPr="00E87BD8">
        <w:t>0 per person (</w:t>
      </w:r>
      <w:r>
        <w:t xml:space="preserve">approximately </w:t>
      </w:r>
      <w:r w:rsidRPr="00E87BD8">
        <w:t>GS-1</w:t>
      </w:r>
      <w:r>
        <w:t>2</w:t>
      </w:r>
      <w:r w:rsidRPr="00E87BD8">
        <w:t xml:space="preserve"> equivalent) hour for a total of $</w:t>
      </w:r>
      <w:r w:rsidRPr="00043374">
        <w:t xml:space="preserve">1,062,360 </w:t>
      </w:r>
      <w:r w:rsidRPr="00E87BD8">
        <w:t xml:space="preserve"> (= 6</w:t>
      </w:r>
      <w:r>
        <w:t>81</w:t>
      </w:r>
      <w:r w:rsidRPr="00E87BD8">
        <w:t xml:space="preserve"> hours x $</w:t>
      </w:r>
      <w:r>
        <w:t>3</w:t>
      </w:r>
      <w:r w:rsidRPr="00E87BD8">
        <w:t>0 x 52 respondents).</w:t>
      </w:r>
    </w:p>
    <w:p w:rsidR="000F09ED" w:rsidRPr="00E87BD8" w:rsidRDefault="000F09ED" w:rsidP="0094344D">
      <w:pPr>
        <w:shd w:val="clear" w:color="auto" w:fill="auto"/>
        <w:tabs>
          <w:tab w:val="left" w:pos="-720"/>
        </w:tabs>
      </w:pPr>
    </w:p>
    <w:p w:rsidR="000F09ED" w:rsidRPr="00E87BD8" w:rsidRDefault="000F09ED" w:rsidP="0094344D">
      <w:pPr>
        <w:shd w:val="clear" w:color="auto" w:fill="auto"/>
        <w:tabs>
          <w:tab w:val="left" w:pos="-720"/>
        </w:tabs>
        <w:ind w:left="630"/>
        <w:rPr>
          <w:i/>
          <w:iCs/>
        </w:rPr>
      </w:pPr>
      <w:r w:rsidRPr="00E87BD8">
        <w:rPr>
          <w:i/>
          <w:iCs/>
        </w:rPr>
        <w:t xml:space="preserve">A.13.  </w:t>
      </w:r>
      <w:r w:rsidRPr="00E87BD8">
        <w:rPr>
          <w:rStyle w:val="a"/>
          <w:i/>
          <w:iCs/>
        </w:rPr>
        <w:t>Provide an estimate of the total annual cost burden to respondents or record keepers resulting from the collection of information.  (Do not include the cost of any hour burden shown in Items 12 and 14.)</w:t>
      </w:r>
    </w:p>
    <w:p w:rsidR="000F09ED" w:rsidRPr="00E87BD8" w:rsidRDefault="000F09ED" w:rsidP="0094344D">
      <w:pPr>
        <w:shd w:val="clear" w:color="auto" w:fill="auto"/>
        <w:tabs>
          <w:tab w:val="left" w:pos="-720"/>
        </w:tabs>
        <w:ind w:left="1440"/>
      </w:pPr>
    </w:p>
    <w:p w:rsidR="000F09ED" w:rsidRPr="00E87BD8" w:rsidRDefault="000F09ED" w:rsidP="0094344D">
      <w:pPr>
        <w:numPr>
          <w:ilvl w:val="0"/>
          <w:numId w:val="5"/>
        </w:numPr>
        <w:shd w:val="clear" w:color="auto" w:fill="auto"/>
        <w:tabs>
          <w:tab w:val="left" w:pos="-720"/>
          <w:tab w:val="left" w:pos="1247"/>
        </w:tabs>
        <w:ind w:left="1440"/>
        <w:rPr>
          <w:i/>
        </w:rPr>
      </w:pPr>
      <w:r w:rsidRPr="00E87BD8">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F09ED" w:rsidRPr="00E87BD8" w:rsidRDefault="000F09ED" w:rsidP="0094344D">
      <w:pPr>
        <w:numPr>
          <w:ilvl w:val="12"/>
          <w:numId w:val="0"/>
        </w:numPr>
        <w:shd w:val="clear" w:color="auto" w:fill="auto"/>
        <w:tabs>
          <w:tab w:val="left" w:pos="-720"/>
        </w:tabs>
        <w:ind w:left="1440"/>
        <w:rPr>
          <w:i/>
        </w:rPr>
      </w:pPr>
    </w:p>
    <w:p w:rsidR="000F09ED" w:rsidRPr="00E87BD8" w:rsidRDefault="000F09ED" w:rsidP="0094344D">
      <w:pPr>
        <w:numPr>
          <w:ilvl w:val="0"/>
          <w:numId w:val="5"/>
        </w:numPr>
        <w:shd w:val="clear" w:color="auto" w:fill="auto"/>
        <w:tabs>
          <w:tab w:val="left" w:pos="-720"/>
          <w:tab w:val="left" w:pos="1247"/>
        </w:tabs>
        <w:ind w:left="1440"/>
        <w:rPr>
          <w:i/>
        </w:rPr>
      </w:pPr>
      <w:r w:rsidRPr="00E87BD8">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F09ED" w:rsidRPr="00E87BD8" w:rsidRDefault="000F09ED" w:rsidP="0094344D">
      <w:pPr>
        <w:shd w:val="clear" w:color="auto" w:fill="auto"/>
        <w:tabs>
          <w:tab w:val="left" w:pos="-720"/>
          <w:tab w:val="left" w:pos="1247"/>
        </w:tabs>
        <w:ind w:left="0"/>
        <w:rPr>
          <w:i/>
        </w:rPr>
      </w:pPr>
    </w:p>
    <w:p w:rsidR="000F09ED" w:rsidRPr="00E87BD8" w:rsidRDefault="000F09ED" w:rsidP="0094344D">
      <w:pPr>
        <w:numPr>
          <w:ilvl w:val="0"/>
          <w:numId w:val="5"/>
        </w:numPr>
        <w:shd w:val="clear" w:color="auto" w:fill="auto"/>
        <w:tabs>
          <w:tab w:val="left" w:pos="-720"/>
          <w:tab w:val="left" w:pos="1247"/>
        </w:tabs>
        <w:ind w:left="1440"/>
        <w:rPr>
          <w:i/>
        </w:rPr>
      </w:pPr>
      <w:r w:rsidRPr="00E87BD8">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F09ED" w:rsidRPr="00E87BD8" w:rsidRDefault="000F09ED" w:rsidP="0094344D">
      <w:pPr>
        <w:shd w:val="clear" w:color="auto" w:fill="auto"/>
        <w:tabs>
          <w:tab w:val="left" w:pos="-720"/>
        </w:tabs>
        <w:ind w:left="1440"/>
      </w:pPr>
    </w:p>
    <w:p w:rsidR="000F09ED" w:rsidRPr="00E87BD8" w:rsidRDefault="000F09ED" w:rsidP="0094344D">
      <w:pPr>
        <w:shd w:val="clear" w:color="auto" w:fill="auto"/>
        <w:tabs>
          <w:tab w:val="left" w:pos="-720"/>
        </w:tabs>
        <w:ind w:left="1440"/>
      </w:pPr>
      <w:r w:rsidRPr="00E87BD8">
        <w:tab/>
        <w:t xml:space="preserve">Total </w:t>
      </w:r>
      <w:r>
        <w:t>Annualized Capital/Startup Cost:</w:t>
      </w:r>
      <w:r>
        <w:tab/>
      </w:r>
      <w:r w:rsidRPr="00E87BD8">
        <w:t>0</w:t>
      </w:r>
    </w:p>
    <w:p w:rsidR="000F09ED" w:rsidRPr="00E87BD8" w:rsidRDefault="000F09ED" w:rsidP="0094344D">
      <w:pPr>
        <w:shd w:val="clear" w:color="auto" w:fill="auto"/>
        <w:tabs>
          <w:tab w:val="left" w:pos="-720"/>
        </w:tabs>
        <w:ind w:left="1440"/>
      </w:pPr>
      <w:r>
        <w:tab/>
        <w:t>Total Annual Costs (O&amp;M)</w:t>
      </w:r>
      <w:r w:rsidRPr="00E87BD8">
        <w:t xml:space="preserve">: </w:t>
      </w:r>
      <w:r>
        <w:tab/>
      </w:r>
      <w:r>
        <w:tab/>
      </w:r>
      <w:r>
        <w:tab/>
      </w:r>
      <w:r w:rsidRPr="00E87BD8">
        <w:t>0</w:t>
      </w:r>
    </w:p>
    <w:p w:rsidR="000F09ED" w:rsidRPr="00E87BD8" w:rsidRDefault="000F09ED" w:rsidP="0094344D">
      <w:pPr>
        <w:shd w:val="clear" w:color="auto" w:fill="auto"/>
        <w:tabs>
          <w:tab w:val="left" w:pos="-720"/>
        </w:tabs>
        <w:ind w:left="2160"/>
      </w:pPr>
      <w:r>
        <w:t>_________________________________________</w:t>
      </w:r>
    </w:p>
    <w:p w:rsidR="000F09ED" w:rsidRPr="00E87BD8" w:rsidRDefault="000F09ED" w:rsidP="0094344D">
      <w:pPr>
        <w:shd w:val="clear" w:color="auto" w:fill="auto"/>
        <w:tabs>
          <w:tab w:val="left" w:pos="-720"/>
        </w:tabs>
        <w:ind w:left="2160"/>
      </w:pPr>
      <w:r w:rsidRPr="00E87BD8">
        <w:t>Total Annualized Costs Request</w:t>
      </w:r>
      <w:r>
        <w:t>ed</w:t>
      </w:r>
      <w:r w:rsidRPr="00E87BD8">
        <w:t>:</w:t>
      </w:r>
      <w:r>
        <w:t xml:space="preserve">              </w:t>
      </w:r>
      <w:r w:rsidRPr="00E87BD8">
        <w:t xml:space="preserve"> 0</w:t>
      </w:r>
    </w:p>
    <w:p w:rsidR="000F09ED" w:rsidRDefault="000F09ED" w:rsidP="0094344D">
      <w:pPr>
        <w:shd w:val="clear" w:color="auto" w:fill="auto"/>
        <w:tabs>
          <w:tab w:val="left" w:pos="-720"/>
        </w:tabs>
        <w:rPr>
          <w:rFonts w:ascii="Univers" w:hAnsi="Univers"/>
        </w:rPr>
      </w:pPr>
    </w:p>
    <w:p w:rsidR="000F09ED" w:rsidRDefault="000F09ED" w:rsidP="0094344D">
      <w:pPr>
        <w:shd w:val="clear" w:color="auto" w:fill="auto"/>
        <w:tabs>
          <w:tab w:val="left" w:pos="-720"/>
        </w:tabs>
      </w:pPr>
    </w:p>
    <w:p w:rsidR="000F09ED" w:rsidRDefault="000F09ED" w:rsidP="0094344D">
      <w:pPr>
        <w:shd w:val="clear" w:color="auto" w:fill="auto"/>
        <w:tabs>
          <w:tab w:val="left" w:pos="-720"/>
        </w:tabs>
      </w:pPr>
      <w:r w:rsidRPr="00060DDC">
        <w:t>There are no start-up costs for this collection.</w:t>
      </w:r>
    </w:p>
    <w:p w:rsidR="000F09ED" w:rsidRPr="00E87BD8" w:rsidRDefault="000F09ED" w:rsidP="0094344D">
      <w:pPr>
        <w:shd w:val="clear" w:color="auto" w:fill="auto"/>
        <w:tabs>
          <w:tab w:val="left" w:pos="-720"/>
        </w:tabs>
        <w:ind w:left="0"/>
      </w:pPr>
    </w:p>
    <w:p w:rsidR="000F09ED" w:rsidRPr="00E87BD8" w:rsidRDefault="000F09ED" w:rsidP="0094344D">
      <w:pPr>
        <w:shd w:val="clear" w:color="auto" w:fill="auto"/>
        <w:tabs>
          <w:tab w:val="left" w:pos="-720"/>
        </w:tabs>
        <w:rPr>
          <w:i/>
          <w:iCs/>
        </w:rPr>
      </w:pPr>
      <w:r w:rsidRPr="00E87BD8">
        <w:rPr>
          <w:i/>
          <w:iCs/>
        </w:rPr>
        <w:t xml:space="preserve">A.14. </w:t>
      </w:r>
      <w:r w:rsidRPr="00E87BD8">
        <w:rPr>
          <w:rStyle w:val="a"/>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F09ED" w:rsidRPr="00E87BD8" w:rsidRDefault="000F09ED" w:rsidP="0094344D">
      <w:pPr>
        <w:shd w:val="clear" w:color="auto" w:fill="auto"/>
        <w:tabs>
          <w:tab w:val="left" w:pos="-720"/>
        </w:tabs>
      </w:pPr>
    </w:p>
    <w:p w:rsidR="000F09ED" w:rsidRPr="00723FD8" w:rsidRDefault="000F09ED" w:rsidP="0094344D">
      <w:pPr>
        <w:shd w:val="clear" w:color="auto" w:fill="auto"/>
      </w:pPr>
      <w:r w:rsidRPr="00723FD8">
        <w:t>The Federal costs will involve screening the applications, managing the grant review, and awarding Race to the Top funds to States.  Calculations include the two phases:</w:t>
      </w:r>
    </w:p>
    <w:p w:rsidR="000F09ED" w:rsidRPr="00723FD8" w:rsidRDefault="000F09ED" w:rsidP="0094344D">
      <w:pPr>
        <w:pStyle w:val="BodyTextIndent"/>
        <w:shd w:val="clear" w:color="auto" w:fill="auto"/>
        <w:ind w:left="0"/>
        <w:rPr>
          <w:sz w:val="24"/>
          <w:szCs w:val="24"/>
        </w:rPr>
      </w:pPr>
    </w:p>
    <w:p w:rsidR="000F09ED" w:rsidRPr="00723FD8" w:rsidRDefault="000F09ED" w:rsidP="0094344D">
      <w:pPr>
        <w:pStyle w:val="BodyTextIndent"/>
        <w:numPr>
          <w:ilvl w:val="0"/>
          <w:numId w:val="16"/>
        </w:numPr>
        <w:shd w:val="clear" w:color="auto" w:fill="auto"/>
        <w:suppressAutoHyphens w:val="0"/>
        <w:rPr>
          <w:sz w:val="24"/>
          <w:szCs w:val="24"/>
        </w:rPr>
      </w:pPr>
      <w:r w:rsidRPr="00723FD8">
        <w:rPr>
          <w:sz w:val="24"/>
          <w:szCs w:val="24"/>
        </w:rPr>
        <w:t xml:space="preserve">Grade 13: </w:t>
      </w:r>
      <w:r>
        <w:rPr>
          <w:sz w:val="24"/>
          <w:szCs w:val="24"/>
        </w:rPr>
        <w:t>2,240</w:t>
      </w:r>
      <w:r w:rsidRPr="00723FD8">
        <w:rPr>
          <w:sz w:val="24"/>
          <w:szCs w:val="24"/>
        </w:rPr>
        <w:t xml:space="preserve"> hours at $43.04/hour = $</w:t>
      </w:r>
      <w:r>
        <w:rPr>
          <w:sz w:val="24"/>
          <w:szCs w:val="24"/>
        </w:rPr>
        <w:t>96,409.60</w:t>
      </w:r>
    </w:p>
    <w:p w:rsidR="000F09ED" w:rsidRPr="00723FD8" w:rsidRDefault="000F09ED" w:rsidP="0094344D">
      <w:pPr>
        <w:pStyle w:val="BodyTextIndent"/>
        <w:numPr>
          <w:ilvl w:val="0"/>
          <w:numId w:val="16"/>
        </w:numPr>
        <w:shd w:val="clear" w:color="auto" w:fill="auto"/>
        <w:suppressAutoHyphens w:val="0"/>
        <w:rPr>
          <w:sz w:val="24"/>
          <w:szCs w:val="24"/>
        </w:rPr>
      </w:pPr>
      <w:r>
        <w:rPr>
          <w:sz w:val="24"/>
          <w:szCs w:val="24"/>
        </w:rPr>
        <w:t>Grade 14: 250</w:t>
      </w:r>
      <w:r w:rsidRPr="00723FD8">
        <w:rPr>
          <w:sz w:val="24"/>
          <w:szCs w:val="24"/>
        </w:rPr>
        <w:t xml:space="preserve"> hours at $50.86/hour = $12,715</w:t>
      </w:r>
    </w:p>
    <w:p w:rsidR="000F09ED" w:rsidRPr="00723FD8" w:rsidRDefault="000F09ED" w:rsidP="0094344D">
      <w:pPr>
        <w:pStyle w:val="BodyTextIndent"/>
        <w:numPr>
          <w:ilvl w:val="0"/>
          <w:numId w:val="16"/>
        </w:numPr>
        <w:shd w:val="clear" w:color="auto" w:fill="auto"/>
        <w:suppressAutoHyphens w:val="0"/>
        <w:rPr>
          <w:sz w:val="24"/>
          <w:szCs w:val="24"/>
        </w:rPr>
      </w:pPr>
      <w:r w:rsidRPr="00723FD8">
        <w:rPr>
          <w:sz w:val="24"/>
          <w:szCs w:val="24"/>
        </w:rPr>
        <w:t>Grade 15: 350 hours at $61.76/hour = $21,616</w:t>
      </w:r>
    </w:p>
    <w:p w:rsidR="000F09ED" w:rsidRDefault="000F09ED" w:rsidP="0094344D">
      <w:pPr>
        <w:pStyle w:val="BodyTextIndent"/>
        <w:shd w:val="clear" w:color="auto" w:fill="auto"/>
        <w:ind w:left="0"/>
        <w:rPr>
          <w:sz w:val="24"/>
          <w:szCs w:val="24"/>
        </w:rPr>
      </w:pPr>
    </w:p>
    <w:p w:rsidR="000F09ED" w:rsidRPr="00E87BD8" w:rsidRDefault="000F09ED" w:rsidP="0094344D">
      <w:pPr>
        <w:shd w:val="clear" w:color="auto" w:fill="auto"/>
      </w:pPr>
      <w:r>
        <w:t xml:space="preserve">The Department plans to award a contract for assistance with the application review. The value of the grant review is expected to be approximately $2 million.  The calculation includes the review costs associated with both phases of the Race to the Top competition.  The total includes costs for meeting space for the review, contractual support, conference calls, printing, and mailing expenses, computer and printer rental, reviewer expenses (travel, lodging, honoraria, etc.).  </w:t>
      </w:r>
    </w:p>
    <w:p w:rsidR="000F09ED" w:rsidRPr="00E87BD8" w:rsidRDefault="000F09ED" w:rsidP="0094344D">
      <w:pPr>
        <w:shd w:val="clear" w:color="auto" w:fill="auto"/>
        <w:tabs>
          <w:tab w:val="left" w:pos="-720"/>
        </w:tabs>
        <w:rPr>
          <w:highlight w:val="yellow"/>
        </w:rPr>
      </w:pPr>
    </w:p>
    <w:p w:rsidR="000F09ED" w:rsidRPr="00E87BD8" w:rsidRDefault="000F09ED" w:rsidP="0094344D">
      <w:pPr>
        <w:pStyle w:val="BodyText"/>
        <w:shd w:val="clear" w:color="auto" w:fill="auto"/>
        <w:tabs>
          <w:tab w:val="clear" w:pos="0"/>
          <w:tab w:val="left" w:pos="-720"/>
        </w:tabs>
        <w:rPr>
          <w:rFonts w:ascii="Times New Roman" w:hAnsi="Times New Roman"/>
          <w:szCs w:val="24"/>
        </w:rPr>
      </w:pPr>
      <w:r w:rsidRPr="00E87BD8">
        <w:rPr>
          <w:rFonts w:ascii="Times New Roman" w:hAnsi="Times New Roman"/>
          <w:szCs w:val="24"/>
        </w:rPr>
        <w:t>A.15. Explain the reasons for any program changes or adjustments to #16f of the IC Data Part 1 Form.</w:t>
      </w:r>
    </w:p>
    <w:p w:rsidR="000F09ED" w:rsidRPr="00E87BD8" w:rsidRDefault="000F09ED" w:rsidP="0094344D">
      <w:pPr>
        <w:shd w:val="clear" w:color="auto" w:fill="auto"/>
        <w:tabs>
          <w:tab w:val="left" w:pos="-720"/>
        </w:tabs>
      </w:pPr>
    </w:p>
    <w:p w:rsidR="000F09ED" w:rsidRPr="00E87BD8" w:rsidRDefault="000F09ED" w:rsidP="0094344D">
      <w:pPr>
        <w:shd w:val="clear" w:color="auto" w:fill="auto"/>
        <w:tabs>
          <w:tab w:val="left" w:pos="-720"/>
        </w:tabs>
      </w:pPr>
      <w:r w:rsidRPr="00E87BD8">
        <w:t>This is a new collection related to a new program.</w:t>
      </w:r>
    </w:p>
    <w:p w:rsidR="000F09ED" w:rsidRPr="00E87BD8" w:rsidRDefault="000F09ED" w:rsidP="0094344D">
      <w:pPr>
        <w:shd w:val="clear" w:color="auto" w:fill="auto"/>
        <w:tabs>
          <w:tab w:val="left" w:pos="-720"/>
        </w:tabs>
      </w:pPr>
    </w:p>
    <w:p w:rsidR="000F09ED" w:rsidRPr="00E87BD8" w:rsidRDefault="000F09ED" w:rsidP="0094344D">
      <w:pPr>
        <w:shd w:val="clear" w:color="auto" w:fill="auto"/>
        <w:tabs>
          <w:tab w:val="left" w:pos="-720"/>
        </w:tabs>
        <w:rPr>
          <w:i/>
          <w:iCs/>
        </w:rPr>
      </w:pPr>
      <w:r w:rsidRPr="00E87BD8">
        <w:rPr>
          <w:i/>
          <w:iCs/>
        </w:rPr>
        <w:t xml:space="preserve">A.16. </w:t>
      </w:r>
      <w:r w:rsidRPr="00E87BD8">
        <w:rPr>
          <w:rStyle w:val="a"/>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09ED" w:rsidRPr="00E87BD8" w:rsidRDefault="000F09ED" w:rsidP="0094344D">
      <w:pPr>
        <w:shd w:val="clear" w:color="auto" w:fill="auto"/>
        <w:tabs>
          <w:tab w:val="left" w:pos="-720"/>
        </w:tabs>
      </w:pPr>
    </w:p>
    <w:p w:rsidR="000F09ED" w:rsidRPr="00E87BD8" w:rsidRDefault="000F09ED" w:rsidP="0094344D">
      <w:pPr>
        <w:shd w:val="clear" w:color="auto" w:fill="auto"/>
        <w:tabs>
          <w:tab w:val="left" w:pos="-720"/>
        </w:tabs>
      </w:pPr>
      <w:r w:rsidRPr="00E87BD8">
        <w:t>Some of the information collected in this grant application may be analyzed with performance data and shared on a government website such as recovery.gov or ed.gov.</w:t>
      </w:r>
    </w:p>
    <w:p w:rsidR="000F09ED" w:rsidRPr="00E87BD8" w:rsidRDefault="000F09ED" w:rsidP="0094344D">
      <w:pPr>
        <w:shd w:val="clear" w:color="auto" w:fill="auto"/>
        <w:tabs>
          <w:tab w:val="left" w:pos="-720"/>
        </w:tabs>
      </w:pPr>
    </w:p>
    <w:p w:rsidR="000F09ED" w:rsidRPr="00E87BD8" w:rsidRDefault="000F09ED" w:rsidP="0094344D">
      <w:pPr>
        <w:shd w:val="clear" w:color="auto" w:fill="auto"/>
        <w:tabs>
          <w:tab w:val="left" w:pos="-720"/>
        </w:tabs>
        <w:rPr>
          <w:i/>
          <w:iCs/>
        </w:rPr>
      </w:pPr>
      <w:r w:rsidRPr="00E87BD8">
        <w:rPr>
          <w:i/>
          <w:iCs/>
        </w:rPr>
        <w:t xml:space="preserve">A.17. </w:t>
      </w:r>
      <w:r w:rsidRPr="00E87BD8">
        <w:rPr>
          <w:rStyle w:val="a"/>
          <w:i/>
          <w:iCs/>
        </w:rPr>
        <w:t>If seeking approval to not display the expiration date for OMB approval of the information collection, explain the reasons that display would be inappropriate.</w:t>
      </w:r>
    </w:p>
    <w:p w:rsidR="000F09ED" w:rsidRPr="00E87BD8" w:rsidRDefault="000F09ED" w:rsidP="0094344D">
      <w:pPr>
        <w:pStyle w:val="EndnoteText"/>
        <w:shd w:val="clear" w:color="auto" w:fill="auto"/>
      </w:pPr>
    </w:p>
    <w:p w:rsidR="000F09ED" w:rsidRPr="00E87BD8" w:rsidRDefault="000F09ED" w:rsidP="0094344D">
      <w:pPr>
        <w:shd w:val="clear" w:color="auto" w:fill="auto"/>
        <w:tabs>
          <w:tab w:val="left" w:pos="-720"/>
        </w:tabs>
      </w:pPr>
      <w:r w:rsidRPr="00E87BD8">
        <w:t xml:space="preserve">The expiration date will be displayed on the form.  </w:t>
      </w:r>
    </w:p>
    <w:p w:rsidR="000F09ED" w:rsidRPr="00E87BD8" w:rsidRDefault="000F09ED" w:rsidP="0094344D">
      <w:pPr>
        <w:shd w:val="clear" w:color="auto" w:fill="auto"/>
        <w:tabs>
          <w:tab w:val="left" w:pos="-720"/>
        </w:tabs>
      </w:pPr>
    </w:p>
    <w:p w:rsidR="000F09ED" w:rsidRPr="00E87BD8" w:rsidRDefault="000F09ED" w:rsidP="0094344D">
      <w:pPr>
        <w:shd w:val="clear" w:color="auto" w:fill="auto"/>
        <w:tabs>
          <w:tab w:val="left" w:pos="-720"/>
        </w:tabs>
        <w:rPr>
          <w:i/>
          <w:iCs/>
        </w:rPr>
      </w:pPr>
      <w:r w:rsidRPr="00E87BD8">
        <w:rPr>
          <w:i/>
          <w:iCs/>
        </w:rPr>
        <w:t xml:space="preserve">A18. </w:t>
      </w:r>
      <w:r w:rsidRPr="00E87BD8">
        <w:rPr>
          <w:rStyle w:val="a"/>
          <w:i/>
          <w:iCs/>
        </w:rPr>
        <w:t>Explain each exception to the certification statement identified in Item 20, “Certification for Paperwork Reduction Act Submissions,” of OMB Form 83-I.</w:t>
      </w:r>
    </w:p>
    <w:p w:rsidR="000F09ED" w:rsidRPr="00E87BD8" w:rsidRDefault="000F09ED" w:rsidP="0094344D">
      <w:pPr>
        <w:shd w:val="clear" w:color="auto" w:fill="auto"/>
        <w:tabs>
          <w:tab w:val="left" w:pos="-720"/>
        </w:tabs>
      </w:pPr>
    </w:p>
    <w:p w:rsidR="000F09ED" w:rsidRPr="00E87BD8" w:rsidRDefault="000F09ED" w:rsidP="0094344D">
      <w:pPr>
        <w:shd w:val="clear" w:color="auto" w:fill="auto"/>
      </w:pPr>
      <w:r>
        <w:t>The Department is requesting an</w:t>
      </w:r>
      <w:r w:rsidRPr="00E87BD8">
        <w:t xml:space="preserve"> exception to </w:t>
      </w:r>
      <w:r>
        <w:t xml:space="preserve">the provision certifying a reduction in burden for small entities because the provision does not apply. </w:t>
      </w:r>
      <w:r w:rsidRPr="00E87BD8">
        <w:t xml:space="preserve">The Secretary </w:t>
      </w:r>
      <w:r>
        <w:t xml:space="preserve">has certified in A.5. (above) </w:t>
      </w:r>
      <w:r w:rsidRPr="00E87BD8">
        <w:t xml:space="preserve"> that this proposed action will not have a significant economic </w:t>
      </w:r>
      <w:r>
        <w:t xml:space="preserve">impact on small entities </w:t>
      </w:r>
      <w:r w:rsidRPr="00E87BD8">
        <w:t>because the only entities eligible to apply for grants are States and States are not small entities.</w:t>
      </w:r>
      <w:r>
        <w:t xml:space="preserve"> Additionally, the provision for certifying the use of effective and efficient statistical survey methodology does not apply to this proposed action.</w:t>
      </w:r>
    </w:p>
    <w:p w:rsidR="000F09ED" w:rsidRPr="00E87BD8" w:rsidRDefault="000F09ED" w:rsidP="0094344D">
      <w:pPr>
        <w:shd w:val="clear" w:color="auto" w:fill="auto"/>
        <w:tabs>
          <w:tab w:val="left" w:pos="-720"/>
        </w:tabs>
      </w:pPr>
    </w:p>
    <w:p w:rsidR="000F09ED" w:rsidRPr="00E87BD8" w:rsidRDefault="000F09ED" w:rsidP="0094344D">
      <w:pPr>
        <w:pStyle w:val="EndnoteText"/>
        <w:shd w:val="clear" w:color="auto" w:fill="auto"/>
      </w:pPr>
    </w:p>
    <w:p w:rsidR="000F09ED" w:rsidRPr="00E87BD8" w:rsidRDefault="000F09ED" w:rsidP="0094344D">
      <w:pPr>
        <w:pStyle w:val="EndnoteText"/>
        <w:shd w:val="clear" w:color="auto" w:fill="auto"/>
        <w:rPr>
          <w:b/>
          <w:bCs/>
        </w:rPr>
      </w:pPr>
      <w:r w:rsidRPr="00E87BD8">
        <w:rPr>
          <w:b/>
          <w:bCs/>
        </w:rPr>
        <w:t>B. COLLECTION OF INFORMATION EMPLOYING STATISTICAL METHODS</w:t>
      </w:r>
    </w:p>
    <w:p w:rsidR="000F09ED" w:rsidRPr="00E87BD8" w:rsidRDefault="000F09ED" w:rsidP="0094344D">
      <w:pPr>
        <w:pStyle w:val="EndnoteText"/>
        <w:shd w:val="clear" w:color="auto" w:fill="auto"/>
      </w:pPr>
    </w:p>
    <w:p w:rsidR="000F09ED" w:rsidRPr="00E87BD8" w:rsidRDefault="000F09ED" w:rsidP="0094344D">
      <w:pPr>
        <w:pStyle w:val="EndnoteText"/>
        <w:shd w:val="clear" w:color="auto" w:fill="auto"/>
      </w:pPr>
      <w:r w:rsidRPr="00E87BD8">
        <w:t>This information collection does not employ statistical methods.</w:t>
      </w:r>
    </w:p>
    <w:p w:rsidR="000F09ED" w:rsidRPr="00E87BD8" w:rsidRDefault="000F09ED" w:rsidP="0094344D">
      <w:pPr>
        <w:shd w:val="clear" w:color="auto" w:fill="auto"/>
        <w:tabs>
          <w:tab w:val="left" w:pos="-720"/>
        </w:tabs>
      </w:pPr>
    </w:p>
    <w:p w:rsidR="000F09ED" w:rsidRPr="00E87BD8" w:rsidRDefault="000F09ED" w:rsidP="0094344D">
      <w:pPr>
        <w:shd w:val="clear" w:color="auto" w:fill="auto"/>
        <w:tabs>
          <w:tab w:val="left" w:pos="-720"/>
        </w:tabs>
      </w:pPr>
    </w:p>
    <w:sectPr w:rsidR="000F09ED" w:rsidRPr="00E87BD8" w:rsidSect="004C6F8C">
      <w:headerReference w:type="default" r:id="rId7"/>
      <w:footerReference w:type="default" r:id="rId8"/>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9ED" w:rsidRDefault="000F09ED" w:rsidP="00EC7BB4"/>
  </w:endnote>
  <w:endnote w:type="continuationSeparator" w:id="0">
    <w:p w:rsidR="000F09ED" w:rsidRDefault="000F09ED" w:rsidP="00EC7BB4">
      <w:r>
        <w:t xml:space="preserve"> </w:t>
      </w:r>
    </w:p>
  </w:endnote>
  <w:endnote w:type="continuationNotice" w:id="1">
    <w:p w:rsidR="000F09ED" w:rsidRDefault="000F09ED" w:rsidP="00EC7BB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ED" w:rsidRDefault="000F09ED" w:rsidP="00E87BD8">
    <w:pPr>
      <w:shd w:val="clear" w:color="auto" w:fill="auto"/>
      <w:tabs>
        <w:tab w:val="left" w:pos="0"/>
      </w:tabs>
      <w:ind w:left="0"/>
    </w:pPr>
    <w:r>
      <w:rPr>
        <w:noProof/>
      </w:rPr>
      <w:pict>
        <v:rect id="_x0000_s2049" style="position:absolute;margin-left:1.5pt;margin-top:12pt;width:465pt;height:12pt;z-index:-251656192;mso-position-horizontal-relative:margin" o:allowincell="f" filled="f" stroked="f" strokeweight="0">
          <v:textbox style="mso-next-textbox:#_x0000_s2049" inset="0,0,0,0">
            <w:txbxContent>
              <w:p w:rsidR="000F09ED" w:rsidRDefault="000F09ED" w:rsidP="00E87BD8">
                <w:pPr>
                  <w:shd w:val="clear" w:color="auto" w:fill="auto"/>
                  <w:tabs>
                    <w:tab w:val="center" w:pos="4650"/>
                  </w:tabs>
                  <w:jc w:val="both"/>
                </w:pPr>
                <w:r>
                  <w:tab/>
                </w:r>
                <w:fldSimple w:instr="page \* arabic">
                  <w:r>
                    <w:rPr>
                      <w:noProof/>
                    </w:rPr>
                    <w:t>6</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9ED" w:rsidRDefault="000F09ED" w:rsidP="00EC7BB4">
      <w:r>
        <w:separator/>
      </w:r>
    </w:p>
  </w:footnote>
  <w:footnote w:type="continuationSeparator" w:id="0">
    <w:p w:rsidR="000F09ED" w:rsidRDefault="000F09ED" w:rsidP="00EC7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ED" w:rsidRDefault="000F09ED" w:rsidP="00E87BD8">
    <w:pPr>
      <w:pStyle w:val="Header"/>
      <w:shd w:val="clear" w:color="auto" w:fill="auto"/>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F27092A"/>
    <w:multiLevelType w:val="hybridMultilevel"/>
    <w:tmpl w:val="00D0A7C4"/>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cs="Times New Roman" w:hint="default"/>
      </w:rPr>
    </w:lvl>
    <w:lvl w:ilvl="2" w:tplc="336649E6">
      <w:start w:val="1"/>
      <w:numFmt w:val="lowerLetter"/>
      <w:lvlText w:val="(%3)"/>
      <w:lvlJc w:val="left"/>
      <w:pPr>
        <w:tabs>
          <w:tab w:val="num" w:pos="2160"/>
        </w:tabs>
        <w:ind w:left="2160" w:hanging="360"/>
      </w:pPr>
      <w:rPr>
        <w:rFonts w:cs="Times New Roman" w:hint="default"/>
      </w:rPr>
    </w:lvl>
    <w:lvl w:ilvl="3" w:tplc="FBA8E4AE">
      <w:start w:val="1"/>
      <w:numFmt w:val="decimal"/>
      <w:lvlText w:val="%4."/>
      <w:lvlJc w:val="left"/>
      <w:pPr>
        <w:tabs>
          <w:tab w:val="num" w:pos="2880"/>
        </w:tabs>
        <w:ind w:left="2880" w:hanging="360"/>
      </w:pPr>
      <w:rPr>
        <w:rFonts w:cs="Times New Roman" w:hint="default"/>
      </w:rPr>
    </w:lvl>
    <w:lvl w:ilvl="4" w:tplc="29C4C4E0">
      <w:start w:val="3"/>
      <w:numFmt w:val="upperLetter"/>
      <w:lvlText w:val="(%5)"/>
      <w:lvlJc w:val="left"/>
      <w:pPr>
        <w:tabs>
          <w:tab w:val="num" w:pos="3600"/>
        </w:tabs>
        <w:ind w:left="3600" w:hanging="360"/>
      </w:pPr>
      <w:rPr>
        <w:rFonts w:cs="Times New Roman" w:hint="default"/>
      </w:rPr>
    </w:lvl>
    <w:lvl w:ilvl="5" w:tplc="8012A7BA">
      <w:start w:val="1"/>
      <w:numFmt w:val="upperLetter"/>
      <w:lvlText w:val="%6."/>
      <w:lvlJc w:val="left"/>
      <w:pPr>
        <w:tabs>
          <w:tab w:val="num" w:pos="4320"/>
        </w:tabs>
        <w:ind w:left="4320" w:hanging="360"/>
      </w:pPr>
      <w:rPr>
        <w:rFonts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4A6686"/>
    <w:multiLevelType w:val="hybridMultilevel"/>
    <w:tmpl w:val="FEBC02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5B563E0"/>
    <w:multiLevelType w:val="multilevel"/>
    <w:tmpl w:val="90825D18"/>
    <w:lvl w:ilvl="0">
      <w:start w:val="3"/>
      <w:numFmt w:val="decimal"/>
      <w:lvlText w:val="%1-"/>
      <w:lvlJc w:val="left"/>
      <w:pPr>
        <w:tabs>
          <w:tab w:val="num" w:pos="510"/>
        </w:tabs>
        <w:ind w:left="510" w:hanging="510"/>
      </w:pPr>
      <w:rPr>
        <w:rFonts w:cs="Times New Roman" w:hint="default"/>
        <w:u w:val="none"/>
      </w:rPr>
    </w:lvl>
    <w:lvl w:ilvl="1">
      <w:start w:val="3"/>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5">
    <w:nsid w:val="784D6EAC"/>
    <w:multiLevelType w:val="hybridMultilevel"/>
    <w:tmpl w:val="21C8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7"/>
  </w:num>
  <w:num w:numId="4">
    <w:abstractNumId w:val="13"/>
  </w:num>
  <w:num w:numId="5">
    <w:abstractNumId w:val="2"/>
  </w:num>
  <w:num w:numId="6">
    <w:abstractNumId w:val="3"/>
  </w:num>
  <w:num w:numId="7">
    <w:abstractNumId w:val="10"/>
  </w:num>
  <w:num w:numId="8">
    <w:abstractNumId w:val="9"/>
  </w:num>
  <w:num w:numId="9">
    <w:abstractNumId w:val="11"/>
  </w:num>
  <w:num w:numId="10">
    <w:abstractNumId w:val="5"/>
  </w:num>
  <w:num w:numId="11">
    <w:abstractNumId w:val="1"/>
  </w:num>
  <w:num w:numId="12">
    <w:abstractNumId w:val="4"/>
  </w:num>
  <w:num w:numId="13">
    <w:abstractNumId w:val="14"/>
  </w:num>
  <w:num w:numId="14">
    <w:abstractNumId w:val="6"/>
  </w:num>
  <w:num w:numId="15">
    <w:abstractNumId w:val="12"/>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40E"/>
    <w:rsid w:val="00043374"/>
    <w:rsid w:val="00046FB6"/>
    <w:rsid w:val="00056C44"/>
    <w:rsid w:val="00060DDC"/>
    <w:rsid w:val="000924B5"/>
    <w:rsid w:val="000A327D"/>
    <w:rsid w:val="000B2631"/>
    <w:rsid w:val="000B6CD6"/>
    <w:rsid w:val="000F09ED"/>
    <w:rsid w:val="00114E3F"/>
    <w:rsid w:val="00150EA6"/>
    <w:rsid w:val="00162CC6"/>
    <w:rsid w:val="0018479F"/>
    <w:rsid w:val="001E24BD"/>
    <w:rsid w:val="00224A00"/>
    <w:rsid w:val="00246F1B"/>
    <w:rsid w:val="002529AB"/>
    <w:rsid w:val="002B4849"/>
    <w:rsid w:val="002B763A"/>
    <w:rsid w:val="00341CA7"/>
    <w:rsid w:val="003A196A"/>
    <w:rsid w:val="003B0AD4"/>
    <w:rsid w:val="004A3601"/>
    <w:rsid w:val="004B6133"/>
    <w:rsid w:val="004C51AB"/>
    <w:rsid w:val="004C6F8C"/>
    <w:rsid w:val="004D24E7"/>
    <w:rsid w:val="004D2F12"/>
    <w:rsid w:val="0055055C"/>
    <w:rsid w:val="00551E11"/>
    <w:rsid w:val="00596A69"/>
    <w:rsid w:val="005A4CED"/>
    <w:rsid w:val="005E6867"/>
    <w:rsid w:val="00667020"/>
    <w:rsid w:val="006978FA"/>
    <w:rsid w:val="006A4028"/>
    <w:rsid w:val="00716664"/>
    <w:rsid w:val="00723FD8"/>
    <w:rsid w:val="0079236C"/>
    <w:rsid w:val="007A6C54"/>
    <w:rsid w:val="007D2826"/>
    <w:rsid w:val="007E740E"/>
    <w:rsid w:val="008400E0"/>
    <w:rsid w:val="008A38DC"/>
    <w:rsid w:val="008C61AD"/>
    <w:rsid w:val="008D01FD"/>
    <w:rsid w:val="00910585"/>
    <w:rsid w:val="00911CC5"/>
    <w:rsid w:val="0094344D"/>
    <w:rsid w:val="00960A00"/>
    <w:rsid w:val="00A43776"/>
    <w:rsid w:val="00AE0D91"/>
    <w:rsid w:val="00B04D98"/>
    <w:rsid w:val="00B37ADD"/>
    <w:rsid w:val="00B77EA1"/>
    <w:rsid w:val="00BA76D3"/>
    <w:rsid w:val="00BC22D5"/>
    <w:rsid w:val="00BF5E82"/>
    <w:rsid w:val="00C70BC8"/>
    <w:rsid w:val="00C809AF"/>
    <w:rsid w:val="00D60F9F"/>
    <w:rsid w:val="00D86DC5"/>
    <w:rsid w:val="00DD13E2"/>
    <w:rsid w:val="00DE6446"/>
    <w:rsid w:val="00DF4921"/>
    <w:rsid w:val="00E11170"/>
    <w:rsid w:val="00E87BD8"/>
    <w:rsid w:val="00EA6B75"/>
    <w:rsid w:val="00EB5B73"/>
    <w:rsid w:val="00EC7BB4"/>
    <w:rsid w:val="00F536C2"/>
    <w:rsid w:val="00FE53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B4"/>
    <w:pPr>
      <w:shd w:val="clear" w:color="auto" w:fill="FFFF00"/>
      <w:suppressAutoHyphens/>
      <w:ind w:left="720"/>
    </w:pPr>
    <w:rPr>
      <w:color w:val="000000"/>
      <w:sz w:val="24"/>
      <w:szCs w:val="20"/>
    </w:rPr>
  </w:style>
  <w:style w:type="paragraph" w:styleId="Heading1">
    <w:name w:val="heading 1"/>
    <w:basedOn w:val="Normal"/>
    <w:next w:val="Normal"/>
    <w:link w:val="Heading1Char"/>
    <w:uiPriority w:val="99"/>
    <w:qFormat/>
    <w:rsid w:val="004C6F8C"/>
    <w:pPr>
      <w:keepNext/>
      <w:outlineLvl w:val="0"/>
    </w:pPr>
    <w:rPr>
      <w:u w:val="single"/>
    </w:rPr>
  </w:style>
  <w:style w:type="paragraph" w:styleId="Heading3">
    <w:name w:val="heading 3"/>
    <w:basedOn w:val="Normal"/>
    <w:next w:val="Normal"/>
    <w:link w:val="Heading3Char"/>
    <w:uiPriority w:val="99"/>
    <w:qFormat/>
    <w:rsid w:val="004C6F8C"/>
    <w:pPr>
      <w:keepNext/>
      <w:spacing w:line="480" w:lineRule="exact"/>
      <w:outlineLvl w:val="2"/>
    </w:pPr>
    <w:rPr>
      <w:rFonts w:ascii="CG Times" w:hAnsi="CG Time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4E9"/>
    <w:rPr>
      <w:rFonts w:asciiTheme="majorHAnsi" w:eastAsiaTheme="majorEastAsia" w:hAnsiTheme="majorHAnsi" w:cstheme="majorBidi"/>
      <w:b/>
      <w:bCs/>
      <w:color w:val="000000"/>
      <w:kern w:val="32"/>
      <w:sz w:val="32"/>
      <w:szCs w:val="32"/>
      <w:shd w:val="clear" w:color="auto" w:fill="FFFF00"/>
    </w:rPr>
  </w:style>
  <w:style w:type="character" w:customStyle="1" w:styleId="Heading3Char">
    <w:name w:val="Heading 3 Char"/>
    <w:basedOn w:val="DefaultParagraphFont"/>
    <w:link w:val="Heading3"/>
    <w:uiPriority w:val="9"/>
    <w:semiHidden/>
    <w:rsid w:val="005D44E9"/>
    <w:rPr>
      <w:rFonts w:asciiTheme="majorHAnsi" w:eastAsiaTheme="majorEastAsia" w:hAnsiTheme="majorHAnsi" w:cstheme="majorBidi"/>
      <w:b/>
      <w:bCs/>
      <w:color w:val="000000"/>
      <w:sz w:val="26"/>
      <w:szCs w:val="26"/>
      <w:shd w:val="clear" w:color="auto" w:fill="FFFF00"/>
    </w:rPr>
  </w:style>
  <w:style w:type="paragraph" w:styleId="EndnoteText">
    <w:name w:val="endnote text"/>
    <w:basedOn w:val="Normal"/>
    <w:link w:val="EndnoteTextChar"/>
    <w:uiPriority w:val="99"/>
    <w:semiHidden/>
    <w:rsid w:val="004C6F8C"/>
    <w:pPr>
      <w:tabs>
        <w:tab w:val="left" w:pos="-720"/>
      </w:tabs>
    </w:pPr>
  </w:style>
  <w:style w:type="character" w:customStyle="1" w:styleId="EndnoteTextChar">
    <w:name w:val="Endnote Text Char"/>
    <w:basedOn w:val="DefaultParagraphFont"/>
    <w:link w:val="EndnoteText"/>
    <w:uiPriority w:val="99"/>
    <w:semiHidden/>
    <w:rsid w:val="005D44E9"/>
    <w:rPr>
      <w:color w:val="000000"/>
      <w:sz w:val="20"/>
      <w:szCs w:val="20"/>
      <w:shd w:val="clear" w:color="auto" w:fill="FFFF00"/>
    </w:rPr>
  </w:style>
  <w:style w:type="character" w:styleId="EndnoteReference">
    <w:name w:val="endnote reference"/>
    <w:basedOn w:val="DefaultParagraphFont"/>
    <w:uiPriority w:val="99"/>
    <w:semiHidden/>
    <w:rsid w:val="004C6F8C"/>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4C6F8C"/>
    <w:pPr>
      <w:tabs>
        <w:tab w:val="left" w:pos="-720"/>
      </w:tabs>
    </w:pPr>
  </w:style>
  <w:style w:type="character" w:customStyle="1" w:styleId="FootnoteTextChar">
    <w:name w:val="Footnote Text Char"/>
    <w:basedOn w:val="DefaultParagraphFont"/>
    <w:link w:val="FootnoteText"/>
    <w:uiPriority w:val="99"/>
    <w:semiHidden/>
    <w:rsid w:val="005D44E9"/>
    <w:rPr>
      <w:color w:val="000000"/>
      <w:sz w:val="20"/>
      <w:szCs w:val="20"/>
      <w:shd w:val="clear" w:color="auto" w:fill="FFFF00"/>
    </w:rPr>
  </w:style>
  <w:style w:type="character" w:styleId="FootnoteReference">
    <w:name w:val="footnote reference"/>
    <w:basedOn w:val="DefaultParagraphFont"/>
    <w:uiPriority w:val="99"/>
    <w:semiHidden/>
    <w:rsid w:val="004C6F8C"/>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4C6F8C"/>
    <w:rPr>
      <w:rFonts w:cs="Times New Roman"/>
    </w:rPr>
  </w:style>
  <w:style w:type="character" w:customStyle="1" w:styleId="EquationCaption">
    <w:name w:val="_Equation Caption"/>
    <w:basedOn w:val="DefaultParagraphFont"/>
    <w:uiPriority w:val="99"/>
    <w:rsid w:val="004C6F8C"/>
    <w:rPr>
      <w:rFonts w:cs="Times New Roman"/>
    </w:rPr>
  </w:style>
  <w:style w:type="paragraph" w:styleId="Footer">
    <w:name w:val="footer"/>
    <w:basedOn w:val="Normal"/>
    <w:link w:val="FooterChar"/>
    <w:uiPriority w:val="99"/>
    <w:rsid w:val="004C6F8C"/>
    <w:pPr>
      <w:tabs>
        <w:tab w:val="left" w:pos="0"/>
        <w:tab w:val="center" w:pos="4320"/>
        <w:tab w:val="right" w:pos="8640"/>
      </w:tabs>
    </w:pPr>
  </w:style>
  <w:style w:type="character" w:customStyle="1" w:styleId="FooterChar">
    <w:name w:val="Footer Char"/>
    <w:basedOn w:val="DefaultParagraphFont"/>
    <w:link w:val="Footer"/>
    <w:uiPriority w:val="99"/>
    <w:semiHidden/>
    <w:rsid w:val="005D44E9"/>
    <w:rPr>
      <w:color w:val="000000"/>
      <w:sz w:val="24"/>
      <w:szCs w:val="20"/>
      <w:shd w:val="clear" w:color="auto" w:fill="FFFF00"/>
    </w:rPr>
  </w:style>
  <w:style w:type="paragraph" w:styleId="Header">
    <w:name w:val="header"/>
    <w:basedOn w:val="Normal"/>
    <w:link w:val="HeaderChar"/>
    <w:uiPriority w:val="99"/>
    <w:rsid w:val="004C6F8C"/>
    <w:pPr>
      <w:tabs>
        <w:tab w:val="left" w:pos="0"/>
        <w:tab w:val="left" w:pos="360"/>
        <w:tab w:val="right" w:pos="9000"/>
        <w:tab w:val="left" w:pos="9360"/>
      </w:tabs>
    </w:pPr>
  </w:style>
  <w:style w:type="character" w:customStyle="1" w:styleId="HeaderChar">
    <w:name w:val="Header Char"/>
    <w:basedOn w:val="DefaultParagraphFont"/>
    <w:link w:val="Header"/>
    <w:uiPriority w:val="99"/>
    <w:semiHidden/>
    <w:rsid w:val="005D44E9"/>
    <w:rPr>
      <w:color w:val="000000"/>
      <w:sz w:val="24"/>
      <w:szCs w:val="20"/>
      <w:shd w:val="clear" w:color="auto" w:fill="FFFF00"/>
    </w:rPr>
  </w:style>
  <w:style w:type="character" w:styleId="PageNumber">
    <w:name w:val="page number"/>
    <w:basedOn w:val="DefaultParagraphFont"/>
    <w:uiPriority w:val="99"/>
    <w:rsid w:val="004C6F8C"/>
    <w:rPr>
      <w:rFonts w:cs="Times New Roman"/>
    </w:rPr>
  </w:style>
  <w:style w:type="character" w:customStyle="1" w:styleId="EquationCaption1">
    <w:name w:val="_Equation Caption1"/>
    <w:basedOn w:val="DefaultParagraphFont"/>
    <w:uiPriority w:val="99"/>
    <w:rsid w:val="004C6F8C"/>
    <w:rPr>
      <w:rFonts w:cs="Times New Roman"/>
    </w:rPr>
  </w:style>
  <w:style w:type="paragraph" w:styleId="TOC1">
    <w:name w:val="toc 1"/>
    <w:basedOn w:val="Normal"/>
    <w:next w:val="Normal"/>
    <w:uiPriority w:val="99"/>
    <w:semiHidden/>
    <w:rsid w:val="004C6F8C"/>
    <w:pPr>
      <w:tabs>
        <w:tab w:val="right" w:leader="dot" w:pos="9360"/>
      </w:tabs>
      <w:spacing w:before="480"/>
      <w:ind w:right="720" w:hanging="720"/>
    </w:pPr>
  </w:style>
  <w:style w:type="paragraph" w:styleId="TOC2">
    <w:name w:val="toc 2"/>
    <w:basedOn w:val="Normal"/>
    <w:next w:val="Normal"/>
    <w:uiPriority w:val="99"/>
    <w:semiHidden/>
    <w:rsid w:val="004C6F8C"/>
    <w:pPr>
      <w:tabs>
        <w:tab w:val="right" w:leader="dot" w:pos="9360"/>
      </w:tabs>
      <w:ind w:left="1440" w:right="720" w:hanging="720"/>
    </w:pPr>
  </w:style>
  <w:style w:type="paragraph" w:styleId="TOC3">
    <w:name w:val="toc 3"/>
    <w:basedOn w:val="Normal"/>
    <w:next w:val="Normal"/>
    <w:uiPriority w:val="99"/>
    <w:semiHidden/>
    <w:rsid w:val="004C6F8C"/>
    <w:pPr>
      <w:tabs>
        <w:tab w:val="right" w:leader="dot" w:pos="9360"/>
      </w:tabs>
      <w:ind w:left="2160" w:right="720" w:hanging="720"/>
    </w:pPr>
  </w:style>
  <w:style w:type="paragraph" w:styleId="TOC4">
    <w:name w:val="toc 4"/>
    <w:basedOn w:val="Normal"/>
    <w:next w:val="Normal"/>
    <w:uiPriority w:val="99"/>
    <w:semiHidden/>
    <w:rsid w:val="004C6F8C"/>
    <w:pPr>
      <w:tabs>
        <w:tab w:val="right" w:leader="dot" w:pos="9360"/>
      </w:tabs>
      <w:ind w:left="2880" w:right="720" w:hanging="720"/>
    </w:pPr>
  </w:style>
  <w:style w:type="paragraph" w:styleId="TOC5">
    <w:name w:val="toc 5"/>
    <w:basedOn w:val="Normal"/>
    <w:next w:val="Normal"/>
    <w:uiPriority w:val="99"/>
    <w:semiHidden/>
    <w:rsid w:val="004C6F8C"/>
    <w:pPr>
      <w:tabs>
        <w:tab w:val="right" w:leader="dot" w:pos="9360"/>
      </w:tabs>
      <w:ind w:left="3600" w:right="720" w:hanging="720"/>
    </w:pPr>
  </w:style>
  <w:style w:type="paragraph" w:styleId="TOC6">
    <w:name w:val="toc 6"/>
    <w:basedOn w:val="Normal"/>
    <w:next w:val="Normal"/>
    <w:uiPriority w:val="99"/>
    <w:semiHidden/>
    <w:rsid w:val="004C6F8C"/>
    <w:pPr>
      <w:tabs>
        <w:tab w:val="right" w:pos="9360"/>
      </w:tabs>
      <w:ind w:hanging="720"/>
    </w:pPr>
  </w:style>
  <w:style w:type="paragraph" w:styleId="TOC7">
    <w:name w:val="toc 7"/>
    <w:basedOn w:val="Normal"/>
    <w:next w:val="Normal"/>
    <w:uiPriority w:val="99"/>
    <w:semiHidden/>
    <w:rsid w:val="004C6F8C"/>
    <w:pPr>
      <w:ind w:hanging="720"/>
    </w:pPr>
  </w:style>
  <w:style w:type="paragraph" w:styleId="TOC8">
    <w:name w:val="toc 8"/>
    <w:basedOn w:val="Normal"/>
    <w:next w:val="Normal"/>
    <w:uiPriority w:val="99"/>
    <w:semiHidden/>
    <w:rsid w:val="004C6F8C"/>
    <w:pPr>
      <w:tabs>
        <w:tab w:val="right" w:pos="9360"/>
      </w:tabs>
      <w:ind w:hanging="720"/>
    </w:pPr>
  </w:style>
  <w:style w:type="paragraph" w:styleId="TOC9">
    <w:name w:val="toc 9"/>
    <w:basedOn w:val="Normal"/>
    <w:next w:val="Normal"/>
    <w:uiPriority w:val="99"/>
    <w:semiHidden/>
    <w:rsid w:val="004C6F8C"/>
    <w:pPr>
      <w:tabs>
        <w:tab w:val="right" w:leader="dot" w:pos="9360"/>
      </w:tabs>
      <w:ind w:hanging="720"/>
    </w:pPr>
  </w:style>
  <w:style w:type="paragraph" w:styleId="Index1">
    <w:name w:val="index 1"/>
    <w:basedOn w:val="Normal"/>
    <w:next w:val="Normal"/>
    <w:uiPriority w:val="99"/>
    <w:semiHidden/>
    <w:rsid w:val="004C6F8C"/>
    <w:pPr>
      <w:tabs>
        <w:tab w:val="right" w:leader="dot" w:pos="9360"/>
      </w:tabs>
      <w:ind w:left="1440" w:right="720" w:hanging="1440"/>
    </w:pPr>
  </w:style>
  <w:style w:type="paragraph" w:styleId="Index2">
    <w:name w:val="index 2"/>
    <w:basedOn w:val="Normal"/>
    <w:next w:val="Normal"/>
    <w:uiPriority w:val="99"/>
    <w:semiHidden/>
    <w:rsid w:val="004C6F8C"/>
    <w:pPr>
      <w:tabs>
        <w:tab w:val="right" w:leader="dot" w:pos="9360"/>
      </w:tabs>
      <w:ind w:left="1440" w:right="720" w:hanging="720"/>
    </w:pPr>
  </w:style>
  <w:style w:type="paragraph" w:styleId="TOAHeading">
    <w:name w:val="toa heading"/>
    <w:basedOn w:val="Normal"/>
    <w:next w:val="Normal"/>
    <w:uiPriority w:val="99"/>
    <w:semiHidden/>
    <w:rsid w:val="004C6F8C"/>
    <w:pPr>
      <w:tabs>
        <w:tab w:val="right" w:pos="9360"/>
      </w:tabs>
    </w:pPr>
  </w:style>
  <w:style w:type="paragraph" w:styleId="Caption">
    <w:name w:val="caption"/>
    <w:basedOn w:val="Normal"/>
    <w:next w:val="Normal"/>
    <w:uiPriority w:val="99"/>
    <w:qFormat/>
    <w:rsid w:val="004C6F8C"/>
  </w:style>
  <w:style w:type="character" w:customStyle="1" w:styleId="EquationCaption2">
    <w:name w:val="_Equation Caption2"/>
    <w:basedOn w:val="DefaultParagraphFont"/>
    <w:uiPriority w:val="99"/>
    <w:rsid w:val="004C6F8C"/>
    <w:rPr>
      <w:rFonts w:cs="Times New Roman"/>
    </w:rPr>
  </w:style>
  <w:style w:type="character" w:customStyle="1" w:styleId="EquationCaption3">
    <w:name w:val="_Equation Caption3"/>
    <w:uiPriority w:val="99"/>
    <w:rsid w:val="004C6F8C"/>
  </w:style>
  <w:style w:type="character" w:customStyle="1" w:styleId="a">
    <w:name w:val="À"/>
    <w:basedOn w:val="DefaultParagraphFont"/>
    <w:uiPriority w:val="99"/>
    <w:rsid w:val="004C6F8C"/>
    <w:rPr>
      <w:rFonts w:cs="Times New Roman"/>
    </w:rPr>
  </w:style>
  <w:style w:type="paragraph" w:styleId="Title">
    <w:name w:val="Title"/>
    <w:basedOn w:val="Normal"/>
    <w:link w:val="TitleChar"/>
    <w:uiPriority w:val="99"/>
    <w:qFormat/>
    <w:rsid w:val="004C6F8C"/>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5D44E9"/>
    <w:rPr>
      <w:rFonts w:asciiTheme="majorHAnsi" w:eastAsiaTheme="majorEastAsia" w:hAnsiTheme="majorHAnsi" w:cstheme="majorBidi"/>
      <w:b/>
      <w:bCs/>
      <w:color w:val="000000"/>
      <w:kern w:val="28"/>
      <w:sz w:val="32"/>
      <w:szCs w:val="32"/>
      <w:shd w:val="clear" w:color="auto" w:fill="FFFF00"/>
    </w:rPr>
  </w:style>
  <w:style w:type="paragraph" w:styleId="BodyText">
    <w:name w:val="Body Text"/>
    <w:basedOn w:val="Normal"/>
    <w:link w:val="BodyTextChar"/>
    <w:uiPriority w:val="99"/>
    <w:rsid w:val="004C6F8C"/>
    <w:pPr>
      <w:tabs>
        <w:tab w:val="left" w:pos="0"/>
      </w:tabs>
    </w:pPr>
    <w:rPr>
      <w:rFonts w:ascii="Univers" w:hAnsi="Univers"/>
      <w:i/>
      <w:iCs/>
    </w:rPr>
  </w:style>
  <w:style w:type="character" w:customStyle="1" w:styleId="BodyTextChar">
    <w:name w:val="Body Text Char"/>
    <w:basedOn w:val="DefaultParagraphFont"/>
    <w:link w:val="BodyText"/>
    <w:uiPriority w:val="99"/>
    <w:semiHidden/>
    <w:rsid w:val="005D44E9"/>
    <w:rPr>
      <w:color w:val="000000"/>
      <w:sz w:val="24"/>
      <w:szCs w:val="20"/>
      <w:shd w:val="clear" w:color="auto" w:fill="FFFF00"/>
    </w:rPr>
  </w:style>
  <w:style w:type="character" w:styleId="Emphasis">
    <w:name w:val="Emphasis"/>
    <w:basedOn w:val="DefaultParagraphFont"/>
    <w:uiPriority w:val="99"/>
    <w:qFormat/>
    <w:rsid w:val="004C6F8C"/>
    <w:rPr>
      <w:rFonts w:cs="Times New Roman"/>
      <w:i/>
    </w:rPr>
  </w:style>
  <w:style w:type="paragraph" w:styleId="BalloonText">
    <w:name w:val="Balloon Text"/>
    <w:basedOn w:val="Normal"/>
    <w:link w:val="BalloonTextChar"/>
    <w:uiPriority w:val="99"/>
    <w:semiHidden/>
    <w:rsid w:val="004C6F8C"/>
    <w:rPr>
      <w:rFonts w:ascii="Tahoma" w:hAnsi="Tahoma" w:cs="Tahoma"/>
      <w:sz w:val="16"/>
      <w:szCs w:val="16"/>
    </w:rPr>
  </w:style>
  <w:style w:type="character" w:customStyle="1" w:styleId="BalloonTextChar">
    <w:name w:val="Balloon Text Char"/>
    <w:basedOn w:val="DefaultParagraphFont"/>
    <w:link w:val="BalloonText"/>
    <w:uiPriority w:val="99"/>
    <w:semiHidden/>
    <w:rsid w:val="005D44E9"/>
    <w:rPr>
      <w:color w:val="000000"/>
      <w:sz w:val="0"/>
      <w:szCs w:val="0"/>
      <w:shd w:val="clear" w:color="auto" w:fill="FFFF00"/>
    </w:rPr>
  </w:style>
  <w:style w:type="character" w:styleId="Hyperlink">
    <w:name w:val="Hyperlink"/>
    <w:basedOn w:val="DefaultParagraphFont"/>
    <w:uiPriority w:val="99"/>
    <w:rsid w:val="004C6F8C"/>
    <w:rPr>
      <w:rFonts w:cs="Times New Roman"/>
      <w:color w:val="0000FF"/>
      <w:u w:val="single"/>
    </w:rPr>
  </w:style>
  <w:style w:type="paragraph" w:styleId="BodyTextIndent3">
    <w:name w:val="Body Text Indent 3"/>
    <w:basedOn w:val="Normal"/>
    <w:link w:val="BodyTextIndent3Char"/>
    <w:uiPriority w:val="99"/>
    <w:rsid w:val="004C6F8C"/>
    <w:pPr>
      <w:autoSpaceDE w:val="0"/>
      <w:autoSpaceDN w:val="0"/>
      <w:adjustRightInd w:val="0"/>
      <w:ind w:left="540" w:hanging="540"/>
    </w:pPr>
    <w:rPr>
      <w:b/>
      <w:bCs/>
      <w:szCs w:val="27"/>
    </w:rPr>
  </w:style>
  <w:style w:type="character" w:customStyle="1" w:styleId="BodyTextIndent3Char">
    <w:name w:val="Body Text Indent 3 Char"/>
    <w:basedOn w:val="DefaultParagraphFont"/>
    <w:link w:val="BodyTextIndent3"/>
    <w:uiPriority w:val="99"/>
    <w:semiHidden/>
    <w:rsid w:val="005D44E9"/>
    <w:rPr>
      <w:color w:val="000000"/>
      <w:sz w:val="16"/>
      <w:szCs w:val="16"/>
      <w:shd w:val="clear" w:color="auto" w:fill="FFFF00"/>
    </w:rPr>
  </w:style>
  <w:style w:type="paragraph" w:styleId="BodyTextIndent">
    <w:name w:val="Body Text Indent"/>
    <w:basedOn w:val="Normal"/>
    <w:link w:val="BodyTextIndentChar"/>
    <w:uiPriority w:val="99"/>
    <w:rsid w:val="004C6F8C"/>
    <w:rPr>
      <w:sz w:val="20"/>
    </w:rPr>
  </w:style>
  <w:style w:type="character" w:customStyle="1" w:styleId="BodyTextIndentChar">
    <w:name w:val="Body Text Indent Char"/>
    <w:basedOn w:val="DefaultParagraphFont"/>
    <w:link w:val="BodyTextIndent"/>
    <w:uiPriority w:val="99"/>
    <w:semiHidden/>
    <w:rsid w:val="005D44E9"/>
    <w:rPr>
      <w:color w:val="000000"/>
      <w:sz w:val="24"/>
      <w:szCs w:val="20"/>
      <w:shd w:val="clear" w:color="auto" w:fill="FFFF00"/>
    </w:rPr>
  </w:style>
  <w:style w:type="paragraph" w:customStyle="1" w:styleId="ParagraphSSLAST">
    <w:name w:val="ParagraphSS (LAST)"/>
    <w:basedOn w:val="Normal"/>
    <w:next w:val="Normal"/>
    <w:uiPriority w:val="99"/>
    <w:rsid w:val="000A327D"/>
    <w:pPr>
      <w:tabs>
        <w:tab w:val="left" w:pos="432"/>
      </w:tabs>
      <w:spacing w:after="480"/>
      <w:ind w:firstLine="432"/>
      <w:jc w:val="both"/>
    </w:pPr>
    <w:rPr>
      <w:szCs w:val="24"/>
    </w:rPr>
  </w:style>
  <w:style w:type="character" w:customStyle="1" w:styleId="apple-style-span">
    <w:name w:val="apple-style-span"/>
    <w:basedOn w:val="DefaultParagraphFont"/>
    <w:uiPriority w:val="99"/>
    <w:rsid w:val="00D60F9F"/>
    <w:rPr>
      <w:rFonts w:cs="Times New Roman"/>
    </w:rPr>
  </w:style>
  <w:style w:type="character" w:styleId="CommentReference">
    <w:name w:val="annotation reference"/>
    <w:basedOn w:val="DefaultParagraphFont"/>
    <w:uiPriority w:val="99"/>
    <w:rsid w:val="0055055C"/>
    <w:rPr>
      <w:rFonts w:cs="Times New Roman"/>
      <w:sz w:val="16"/>
      <w:szCs w:val="16"/>
    </w:rPr>
  </w:style>
  <w:style w:type="paragraph" w:styleId="CommentText">
    <w:name w:val="annotation text"/>
    <w:basedOn w:val="Normal"/>
    <w:link w:val="CommentTextChar"/>
    <w:uiPriority w:val="99"/>
    <w:rsid w:val="0055055C"/>
    <w:rPr>
      <w:sz w:val="20"/>
    </w:rPr>
  </w:style>
  <w:style w:type="character" w:customStyle="1" w:styleId="CommentTextChar">
    <w:name w:val="Comment Text Char"/>
    <w:basedOn w:val="DefaultParagraphFont"/>
    <w:link w:val="CommentText"/>
    <w:uiPriority w:val="99"/>
    <w:locked/>
    <w:rsid w:val="0055055C"/>
    <w:rPr>
      <w:rFonts w:ascii="Courier" w:hAnsi="Courier" w:cs="Times New Roman"/>
    </w:rPr>
  </w:style>
  <w:style w:type="paragraph" w:styleId="CommentSubject">
    <w:name w:val="annotation subject"/>
    <w:basedOn w:val="CommentText"/>
    <w:next w:val="CommentText"/>
    <w:link w:val="CommentSubjectChar"/>
    <w:uiPriority w:val="99"/>
    <w:rsid w:val="0055055C"/>
    <w:rPr>
      <w:b/>
      <w:bCs/>
    </w:rPr>
  </w:style>
  <w:style w:type="character" w:customStyle="1" w:styleId="CommentSubjectChar">
    <w:name w:val="Comment Subject Char"/>
    <w:basedOn w:val="CommentTextChar"/>
    <w:link w:val="CommentSubject"/>
    <w:uiPriority w:val="99"/>
    <w:locked/>
    <w:rsid w:val="0055055C"/>
    <w:rPr>
      <w:b/>
      <w:bCs/>
    </w:rPr>
  </w:style>
  <w:style w:type="table" w:styleId="TableGrid">
    <w:name w:val="Table Grid"/>
    <w:basedOn w:val="TableNormal"/>
    <w:uiPriority w:val="99"/>
    <w:rsid w:val="0094344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43776"/>
    <w:pPr>
      <w:contextualSpacing/>
    </w:pPr>
  </w:style>
</w:styles>
</file>

<file path=word/webSettings.xml><?xml version="1.0" encoding="utf-8"?>
<w:webSettings xmlns:r="http://schemas.openxmlformats.org/officeDocument/2006/relationships" xmlns:w="http://schemas.openxmlformats.org/wordprocessingml/2006/main">
  <w:divs>
    <w:div w:id="1422020944">
      <w:marLeft w:val="0"/>
      <w:marRight w:val="0"/>
      <w:marTop w:val="0"/>
      <w:marBottom w:val="0"/>
      <w:divBdr>
        <w:top w:val="none" w:sz="0" w:space="0" w:color="auto"/>
        <w:left w:val="none" w:sz="0" w:space="0" w:color="auto"/>
        <w:bottom w:val="none" w:sz="0" w:space="0" w:color="auto"/>
        <w:right w:val="none" w:sz="0" w:space="0" w:color="auto"/>
      </w:divBdr>
    </w:div>
    <w:div w:id="1422020945">
      <w:marLeft w:val="0"/>
      <w:marRight w:val="0"/>
      <w:marTop w:val="0"/>
      <w:marBottom w:val="0"/>
      <w:divBdr>
        <w:top w:val="none" w:sz="0" w:space="0" w:color="auto"/>
        <w:left w:val="none" w:sz="0" w:space="0" w:color="auto"/>
        <w:bottom w:val="none" w:sz="0" w:space="0" w:color="auto"/>
        <w:right w:val="none" w:sz="0" w:space="0" w:color="auto"/>
      </w:divBdr>
    </w:div>
    <w:div w:id="1422020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2957</Words>
  <Characters>16860</Characters>
  <Application>Microsoft Office Outlook</Application>
  <DocSecurity>0</DocSecurity>
  <Lines>0</Lines>
  <Paragraphs>0</Paragraphs>
  <ScaleCrop>false</ScaleCrop>
  <Company>CSC-SSD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#Administrator</cp:lastModifiedBy>
  <cp:revision>2</cp:revision>
  <dcterms:created xsi:type="dcterms:W3CDTF">2009-10-16T11:21:00Z</dcterms:created>
  <dcterms:modified xsi:type="dcterms:W3CDTF">2009-10-16T11:21:00Z</dcterms:modified>
</cp:coreProperties>
</file>