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11" w:rsidRDefault="00D23011">
      <w:pPr>
        <w:jc w:val="center"/>
        <w:rPr>
          <w:b/>
        </w:rPr>
      </w:pPr>
      <w:r>
        <w:rPr>
          <w:b/>
        </w:rPr>
        <w:t>SUPPORTING STATEMENT</w:t>
      </w:r>
    </w:p>
    <w:p w:rsidR="00D23011" w:rsidRDefault="00D23011">
      <w:pPr>
        <w:jc w:val="center"/>
        <w:rPr>
          <w:b/>
        </w:rPr>
      </w:pPr>
    </w:p>
    <w:p w:rsidR="00D23011" w:rsidRDefault="00D23011">
      <w:pPr>
        <w:jc w:val="center"/>
        <w:rPr>
          <w:b/>
        </w:rPr>
      </w:pPr>
      <w:r>
        <w:rPr>
          <w:b/>
        </w:rPr>
        <w:t>FOR PAPERWORK REDUCTION ACT SUBMISSION</w:t>
      </w:r>
    </w:p>
    <w:p w:rsidR="00D23011" w:rsidRDefault="00D23011">
      <w:pPr>
        <w:jc w:val="center"/>
      </w:pPr>
    </w:p>
    <w:p w:rsidR="00D23011" w:rsidRDefault="00D23011">
      <w:pPr>
        <w:jc w:val="center"/>
      </w:pPr>
    </w:p>
    <w:p w:rsidR="00D23011" w:rsidRDefault="00D23011">
      <w:pPr>
        <w:numPr>
          <w:ilvl w:val="0"/>
          <w:numId w:val="1"/>
        </w:numPr>
      </w:pPr>
      <w:r>
        <w:t>JUSTIFICATION</w:t>
      </w:r>
    </w:p>
    <w:p w:rsidR="00D23011" w:rsidRDefault="00D23011"/>
    <w:p w:rsidR="00D23011" w:rsidRDefault="00D23011">
      <w:pPr>
        <w:pStyle w:val="BodyTextIndent2"/>
        <w:numPr>
          <w:ilvl w:val="1"/>
          <w:numId w:val="1"/>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23011" w:rsidRDefault="00D23011">
      <w:pPr>
        <w:pStyle w:val="BodyTextIndent2"/>
        <w:ind w:left="0"/>
      </w:pPr>
    </w:p>
    <w:p w:rsidR="00D23011" w:rsidRDefault="00D23011">
      <w:pPr>
        <w:pStyle w:val="BodyTextIndent2"/>
        <w:rPr>
          <w:i/>
        </w:rPr>
      </w:pPr>
      <w:r>
        <w:rPr>
          <w:i/>
        </w:rPr>
        <w:t xml:space="preserve">The Reading First program awards grants to State educational agencies to improve K-3 reading instruction through the application of scientifically based reading research.  Through Reading </w:t>
      </w:r>
      <w:proofErr w:type="gramStart"/>
      <w:r>
        <w:rPr>
          <w:i/>
        </w:rPr>
        <w:t>First</w:t>
      </w:r>
      <w:proofErr w:type="gramEnd"/>
      <w:r>
        <w:rPr>
          <w:i/>
        </w:rPr>
        <w:t xml:space="preserve">, States support the implementation of scientifically based reading programs in targeted local educational agencies and schools through competitive subgrants and also provide related professional development to K-3 teachers statewide.  </w:t>
      </w:r>
    </w:p>
    <w:p w:rsidR="00D23011" w:rsidRDefault="00D23011">
      <w:pPr>
        <w:ind w:left="360"/>
      </w:pPr>
    </w:p>
    <w:p w:rsidR="00D23011" w:rsidRDefault="008D5434">
      <w:pPr>
        <w:ind w:left="360"/>
        <w:rPr>
          <w:i/>
        </w:rPr>
      </w:pPr>
      <w:r>
        <w:rPr>
          <w:i/>
        </w:rPr>
        <w:t xml:space="preserve">The proposed collection is an extension </w:t>
      </w:r>
      <w:r w:rsidR="00D23011">
        <w:rPr>
          <w:i/>
        </w:rPr>
        <w:t>of collection 1810-0666 the annual performance report for the Reading First State Grant program.  It is necessary for States to provide the Department with information about their progress in implementing and evaluating their Reading First programs, as required under Section 1202 (d)(5) of the Reading First statute.  These data are not duplicative of other data collected from States and are not collected by the Department through EDEN.</w:t>
      </w:r>
    </w:p>
    <w:p w:rsidR="00D23011" w:rsidRDefault="00D23011">
      <w:pPr>
        <w:rPr>
          <w:i/>
        </w:rPr>
      </w:pPr>
    </w:p>
    <w:p w:rsidR="00D23011" w:rsidRDefault="00D23011">
      <w:pPr>
        <w:ind w:left="360"/>
        <w:rPr>
          <w:i/>
        </w:rPr>
      </w:pPr>
      <w:r>
        <w:rPr>
          <w:i/>
        </w:rPr>
        <w:t>Section 1202 of the Elementary and Secondary Education Act describes information to be included in the performance report.  This section of the statute is attached.</w:t>
      </w:r>
    </w:p>
    <w:p w:rsidR="00D23011" w:rsidRDefault="00D23011">
      <w:pPr>
        <w:ind w:left="360"/>
        <w:rPr>
          <w:i/>
        </w:rPr>
      </w:pPr>
    </w:p>
    <w:p w:rsidR="00D23011" w:rsidRDefault="00D23011"/>
    <w:p w:rsidR="00D23011" w:rsidRDefault="00D23011">
      <w:pPr>
        <w:numPr>
          <w:ilvl w:val="1"/>
          <w:numId w:val="1"/>
        </w:numPr>
      </w:pPr>
      <w:r>
        <w:t>Indicate how, by whom, and for what purpose the information is to be used.  Except for a new collection, indicate the actual use the agency has made of the information received from the current collection.</w:t>
      </w:r>
    </w:p>
    <w:p w:rsidR="00D23011" w:rsidRDefault="00D23011"/>
    <w:p w:rsidR="00D23011" w:rsidRDefault="00D23011">
      <w:pPr>
        <w:ind w:left="360"/>
        <w:rPr>
          <w:i/>
        </w:rPr>
      </w:pPr>
      <w:r>
        <w:rPr>
          <w:i/>
        </w:rPr>
        <w:t>The information is used by the Department to monitor State progress and performance in the implementation of the Reading First program.  As required in the Reading First statute, the information is used to assess technical assistance needs and to determine if significant progress has been made.</w:t>
      </w:r>
    </w:p>
    <w:p w:rsidR="00D23011" w:rsidRDefault="00D23011">
      <w:pPr>
        <w:ind w:left="1080"/>
      </w:pPr>
    </w:p>
    <w:p w:rsidR="00D23011" w:rsidRDefault="00D23011">
      <w:pPr>
        <w:numPr>
          <w:ilvl w:val="1"/>
          <w:numId w:val="1"/>
        </w:numPr>
      </w:pPr>
      <w: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D23011" w:rsidRDefault="00D23011"/>
    <w:p w:rsidR="00D23011" w:rsidRDefault="00D23011">
      <w:pPr>
        <w:ind w:left="360"/>
        <w:rPr>
          <w:i/>
        </w:rPr>
      </w:pPr>
      <w:r>
        <w:rPr>
          <w:i/>
        </w:rPr>
        <w:lastRenderedPageBreak/>
        <w:t>A web-based reporting system is utilized to collect this information.  All information is collected from all States through this system.</w:t>
      </w:r>
    </w:p>
    <w:p w:rsidR="00D23011" w:rsidRDefault="00D23011"/>
    <w:p w:rsidR="00D23011" w:rsidRDefault="00D23011">
      <w:pPr>
        <w:numPr>
          <w:ilvl w:val="1"/>
          <w:numId w:val="1"/>
        </w:numPr>
      </w:pPr>
      <w:r>
        <w:t>Describe efforts to identify duplication.  Show specifically why any similar information already available cannot be used or modified for use of the purposes described in Item 2 above.</w:t>
      </w:r>
    </w:p>
    <w:p w:rsidR="00D23011" w:rsidRDefault="00D23011"/>
    <w:p w:rsidR="00D23011" w:rsidRDefault="00D23011">
      <w:pPr>
        <w:ind w:left="360"/>
        <w:rPr>
          <w:i/>
        </w:rPr>
      </w:pPr>
      <w:r>
        <w:rPr>
          <w:i/>
        </w:rPr>
        <w:t xml:space="preserve">The performance report information is specific to the program requirements of Reading First.  The Department has ensured that the report does not duplicate information obtained through other sources, including the national evaluation.  The Department will combine information from this data collection and the national evaluation to avoid duplication and </w:t>
      </w:r>
      <w:r w:rsidR="00291352">
        <w:rPr>
          <w:i/>
        </w:rPr>
        <w:t xml:space="preserve">to </w:t>
      </w:r>
      <w:r>
        <w:rPr>
          <w:i/>
        </w:rPr>
        <w:t>keep the overall number of data items to a minimum.</w:t>
      </w:r>
    </w:p>
    <w:p w:rsidR="00D23011" w:rsidRDefault="00D23011"/>
    <w:p w:rsidR="00D23011" w:rsidRDefault="00D23011">
      <w:pPr>
        <w:numPr>
          <w:ilvl w:val="1"/>
          <w:numId w:val="1"/>
        </w:numPr>
      </w:pPr>
      <w:r>
        <w:t>If the collection of information impacts small businesses or other small entities (Item 5 of OMB Form 83-I), describe any methods used to minimize burden.</w:t>
      </w:r>
    </w:p>
    <w:p w:rsidR="00D23011" w:rsidRDefault="00D23011"/>
    <w:p w:rsidR="00D23011" w:rsidRDefault="00D23011">
      <w:pPr>
        <w:ind w:left="360"/>
        <w:rPr>
          <w:i/>
        </w:rPr>
      </w:pPr>
      <w:r>
        <w:rPr>
          <w:i/>
        </w:rPr>
        <w:t>Small entities are not affected by this program.  The respondents are State educational agencies.</w:t>
      </w:r>
    </w:p>
    <w:p w:rsidR="00D23011" w:rsidRDefault="00D23011"/>
    <w:p w:rsidR="00D23011" w:rsidRDefault="00D23011">
      <w:pPr>
        <w:numPr>
          <w:ilvl w:val="1"/>
          <w:numId w:val="1"/>
        </w:numPr>
      </w:pPr>
      <w:r>
        <w:t>Describe the consequences to Federal program or policy activities if the collection is not conducted or is conducted less frequently, as well as any technical or legal obstacles to reducing burden.</w:t>
      </w:r>
    </w:p>
    <w:p w:rsidR="00D23011" w:rsidRDefault="00D23011"/>
    <w:p w:rsidR="00D23011" w:rsidRDefault="00D23011">
      <w:pPr>
        <w:ind w:left="360"/>
        <w:rPr>
          <w:i/>
        </w:rPr>
      </w:pPr>
      <w:r>
        <w:rPr>
          <w:i/>
        </w:rPr>
        <w:t xml:space="preserve">Section 1202 of the Reading First statute requires that States submit annual performance reports.  Without this collection, States will be out of compliance with this provision.  </w:t>
      </w:r>
    </w:p>
    <w:p w:rsidR="00D23011" w:rsidRDefault="00D23011"/>
    <w:p w:rsidR="00D23011" w:rsidRDefault="00D23011">
      <w:pPr>
        <w:numPr>
          <w:ilvl w:val="1"/>
          <w:numId w:val="1"/>
        </w:numPr>
      </w:pPr>
      <w:r>
        <w:t>Explain any special circumstances that would cause an information collection to be conducted in a manner:</w:t>
      </w:r>
    </w:p>
    <w:p w:rsidR="00D23011" w:rsidRDefault="00D23011">
      <w:pPr>
        <w:tabs>
          <w:tab w:val="left" w:pos="-720"/>
        </w:tabs>
        <w:suppressAutoHyphens/>
        <w:rPr>
          <w:b/>
        </w:rPr>
      </w:pPr>
    </w:p>
    <w:p w:rsidR="00D23011" w:rsidRDefault="00D23011" w:rsidP="00AE02A5">
      <w:pPr>
        <w:numPr>
          <w:ilvl w:val="0"/>
          <w:numId w:val="8"/>
        </w:numPr>
        <w:tabs>
          <w:tab w:val="left" w:pos="-720"/>
          <w:tab w:val="left" w:pos="1247"/>
        </w:tabs>
        <w:suppressAutoHyphens/>
      </w:pPr>
      <w:r>
        <w:t>requiring respondents to report information to the agency more often than quarterly;</w:t>
      </w:r>
    </w:p>
    <w:p w:rsidR="00D23011" w:rsidRDefault="00D23011">
      <w:pPr>
        <w:numPr>
          <w:ilvl w:val="12"/>
          <w:numId w:val="0"/>
        </w:numPr>
        <w:tabs>
          <w:tab w:val="left" w:pos="-720"/>
        </w:tabs>
        <w:suppressAutoHyphens/>
        <w:ind w:left="340"/>
      </w:pPr>
    </w:p>
    <w:p w:rsidR="00D23011" w:rsidRDefault="00D23011" w:rsidP="00AE02A5">
      <w:pPr>
        <w:numPr>
          <w:ilvl w:val="0"/>
          <w:numId w:val="8"/>
        </w:numPr>
        <w:tabs>
          <w:tab w:val="left" w:pos="-720"/>
          <w:tab w:val="left" w:pos="1247"/>
        </w:tabs>
        <w:suppressAutoHyphens/>
      </w:pPr>
      <w:r>
        <w:t>requiring respondents to prepare a written response to a collection of information in fewer than 30 days after receipt of it;</w:t>
      </w:r>
    </w:p>
    <w:p w:rsidR="00D23011" w:rsidRDefault="00D23011">
      <w:pPr>
        <w:numPr>
          <w:ilvl w:val="12"/>
          <w:numId w:val="0"/>
        </w:numPr>
        <w:tabs>
          <w:tab w:val="left" w:pos="-720"/>
        </w:tabs>
        <w:suppressAutoHyphens/>
      </w:pPr>
    </w:p>
    <w:p w:rsidR="00D23011" w:rsidRDefault="00D23011" w:rsidP="00AE02A5">
      <w:pPr>
        <w:numPr>
          <w:ilvl w:val="0"/>
          <w:numId w:val="8"/>
        </w:numPr>
        <w:tabs>
          <w:tab w:val="left" w:pos="-720"/>
          <w:tab w:val="left" w:pos="1247"/>
        </w:tabs>
        <w:suppressAutoHyphens/>
      </w:pPr>
      <w:r>
        <w:t>requiring respondents to submit more than an original and two copies of any document;</w:t>
      </w:r>
    </w:p>
    <w:p w:rsidR="00D23011" w:rsidRDefault="00D23011">
      <w:pPr>
        <w:numPr>
          <w:ilvl w:val="12"/>
          <w:numId w:val="0"/>
        </w:numPr>
        <w:tabs>
          <w:tab w:val="left" w:pos="-720"/>
        </w:tabs>
        <w:suppressAutoHyphens/>
      </w:pPr>
    </w:p>
    <w:p w:rsidR="00D23011" w:rsidRDefault="00D23011" w:rsidP="00AE02A5">
      <w:pPr>
        <w:numPr>
          <w:ilvl w:val="0"/>
          <w:numId w:val="8"/>
        </w:numPr>
        <w:tabs>
          <w:tab w:val="left" w:pos="-720"/>
          <w:tab w:val="left" w:pos="1247"/>
        </w:tabs>
        <w:suppressAutoHyphens/>
      </w:pPr>
      <w:r>
        <w:t>requiring respondents to retain records, other than health, medical, government contract, grant-in-aid, or tax records for more than three years;</w:t>
      </w:r>
    </w:p>
    <w:p w:rsidR="00D23011" w:rsidRDefault="00D23011">
      <w:pPr>
        <w:numPr>
          <w:ilvl w:val="12"/>
          <w:numId w:val="0"/>
        </w:numPr>
        <w:tabs>
          <w:tab w:val="left" w:pos="-720"/>
        </w:tabs>
        <w:suppressAutoHyphens/>
      </w:pPr>
    </w:p>
    <w:p w:rsidR="00D23011" w:rsidRDefault="00D23011" w:rsidP="00AE02A5">
      <w:pPr>
        <w:numPr>
          <w:ilvl w:val="0"/>
          <w:numId w:val="8"/>
        </w:numPr>
        <w:tabs>
          <w:tab w:val="left" w:pos="-720"/>
          <w:tab w:val="left" w:pos="1247"/>
        </w:tabs>
        <w:suppressAutoHyphens/>
      </w:pPr>
      <w:r>
        <w:t>in connection with a statistical survey, that is not designed to produce valid and reliable results than can be generalized to the universe of study;</w:t>
      </w:r>
    </w:p>
    <w:p w:rsidR="00D23011" w:rsidRDefault="00D23011">
      <w:pPr>
        <w:numPr>
          <w:ilvl w:val="12"/>
          <w:numId w:val="0"/>
        </w:numPr>
        <w:tabs>
          <w:tab w:val="left" w:pos="-720"/>
        </w:tabs>
        <w:suppressAutoHyphens/>
      </w:pPr>
    </w:p>
    <w:p w:rsidR="00D23011" w:rsidRDefault="00D23011" w:rsidP="00AE02A5">
      <w:pPr>
        <w:numPr>
          <w:ilvl w:val="0"/>
          <w:numId w:val="8"/>
        </w:numPr>
        <w:tabs>
          <w:tab w:val="left" w:pos="-720"/>
          <w:tab w:val="left" w:pos="1247"/>
        </w:tabs>
        <w:suppressAutoHyphens/>
      </w:pPr>
      <w:r>
        <w:lastRenderedPageBreak/>
        <w:t>requiring the use of a statistical data classification that has not been reviewed and approved by OMB;</w:t>
      </w:r>
    </w:p>
    <w:p w:rsidR="00D23011" w:rsidRDefault="00D23011">
      <w:pPr>
        <w:numPr>
          <w:ilvl w:val="12"/>
          <w:numId w:val="0"/>
        </w:numPr>
        <w:tabs>
          <w:tab w:val="left" w:pos="-720"/>
        </w:tabs>
        <w:suppressAutoHyphens/>
      </w:pPr>
    </w:p>
    <w:p w:rsidR="00D23011" w:rsidRDefault="00D23011" w:rsidP="00AE02A5">
      <w:pPr>
        <w:numPr>
          <w:ilvl w:val="0"/>
          <w:numId w:val="8"/>
        </w:numPr>
        <w:tabs>
          <w:tab w:val="left" w:pos="-720"/>
          <w:tab w:val="left" w:pos="1247"/>
        </w:tabs>
        <w:suppressAutoHyphens/>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23011" w:rsidRDefault="00D23011">
      <w:pPr>
        <w:tabs>
          <w:tab w:val="left" w:pos="-720"/>
          <w:tab w:val="left" w:pos="1247"/>
        </w:tabs>
        <w:suppressAutoHyphens/>
      </w:pPr>
    </w:p>
    <w:p w:rsidR="00D23011" w:rsidRDefault="00D23011" w:rsidP="00AE02A5">
      <w:pPr>
        <w:numPr>
          <w:ilvl w:val="0"/>
          <w:numId w:val="8"/>
        </w:numPr>
        <w:tabs>
          <w:tab w:val="left" w:pos="-720"/>
          <w:tab w:val="left" w:pos="1247"/>
        </w:tabs>
        <w:suppressAutoHyphens/>
        <w:rPr>
          <w:i/>
        </w:rPr>
      </w:pPr>
      <w:proofErr w:type="gramStart"/>
      <w:r>
        <w:t>requiring</w:t>
      </w:r>
      <w:proofErr w:type="gramEnd"/>
      <w:r>
        <w:t xml:space="preserve"> respondents to submit proprietary trade secrets, or other confidential information unless the agency can demonstrate that it has instituted procedures to protect the information’s confidentiality to the extent permitted by law.</w:t>
      </w:r>
    </w:p>
    <w:p w:rsidR="00D23011" w:rsidRDefault="00D23011">
      <w:pPr>
        <w:tabs>
          <w:tab w:val="left" w:pos="-720"/>
          <w:tab w:val="left" w:pos="1247"/>
        </w:tabs>
        <w:suppressAutoHyphens/>
        <w:rPr>
          <w:i/>
        </w:rPr>
      </w:pPr>
    </w:p>
    <w:p w:rsidR="00D23011" w:rsidRDefault="00D23011">
      <w:pPr>
        <w:tabs>
          <w:tab w:val="left" w:pos="-720"/>
          <w:tab w:val="left" w:pos="1247"/>
        </w:tabs>
        <w:suppressAutoHyphens/>
        <w:ind w:left="340"/>
        <w:rPr>
          <w:i/>
        </w:rPr>
      </w:pPr>
      <w:r>
        <w:rPr>
          <w:i/>
        </w:rPr>
        <w:t>There are no special circumstances that would cause this information collection to be conducted in any of the described ways.</w:t>
      </w:r>
    </w:p>
    <w:p w:rsidR="00D23011" w:rsidRDefault="00D23011"/>
    <w:p w:rsidR="00D23011" w:rsidRDefault="00D23011">
      <w:pPr>
        <w:numPr>
          <w:ilvl w:val="0"/>
          <w:numId w:val="3"/>
        </w:numPr>
        <w:tabs>
          <w:tab w:val="left" w:pos="-720"/>
          <w:tab w:val="left" w:pos="375"/>
        </w:tabs>
        <w:suppressAutoHyphens/>
      </w:pPr>
      <w: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3011" w:rsidRDefault="00D23011">
      <w:pPr>
        <w:tabs>
          <w:tab w:val="left" w:pos="-720"/>
          <w:tab w:val="left" w:pos="375"/>
        </w:tabs>
        <w:suppressAutoHyphens/>
      </w:pPr>
    </w:p>
    <w:p w:rsidR="00D23011" w:rsidRDefault="00D23011">
      <w:pPr>
        <w:tabs>
          <w:tab w:val="left" w:pos="-720"/>
          <w:tab w:val="left" w:pos="375"/>
        </w:tabs>
        <w:suppressAutoHyphens/>
        <w:ind w:left="340"/>
        <w:rPr>
          <w:rStyle w:val="a"/>
        </w:rPr>
      </w:pPr>
      <w:r>
        <w:tab/>
      </w:r>
      <w:r>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23011" w:rsidRDefault="00D23011">
      <w:pPr>
        <w:tabs>
          <w:tab w:val="left" w:pos="-720"/>
        </w:tabs>
        <w:suppressAutoHyphens/>
        <w:rPr>
          <w:rStyle w:val="a"/>
        </w:rPr>
      </w:pPr>
    </w:p>
    <w:p w:rsidR="00D23011" w:rsidRDefault="00D23011">
      <w:pPr>
        <w:ind w:left="340"/>
        <w:rPr>
          <w:rStyle w:val="a"/>
          <w:rFonts w:ascii="Univers" w:hAnsi="Univers"/>
        </w:rPr>
      </w:pPr>
      <w:r>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Style w:val="a"/>
          <w:rFonts w:ascii="Univers" w:hAnsi="Univers"/>
        </w:rPr>
        <w:t>.</w:t>
      </w:r>
    </w:p>
    <w:p w:rsidR="00D23011" w:rsidRDefault="00D23011">
      <w:pPr>
        <w:ind w:left="340"/>
        <w:rPr>
          <w:rStyle w:val="a"/>
          <w:rFonts w:ascii="Univers" w:hAnsi="Univers"/>
        </w:rPr>
      </w:pPr>
    </w:p>
    <w:p w:rsidR="00D23011" w:rsidRDefault="00D23011">
      <w:pPr>
        <w:ind w:left="340"/>
        <w:rPr>
          <w:i/>
        </w:rPr>
      </w:pPr>
      <w:r>
        <w:rPr>
          <w:i/>
        </w:rPr>
        <w:t>Ongoing consultations have been conducted with State educational agency representatives related to this collection.  The proposed revisions incorporate their feedback.</w:t>
      </w:r>
    </w:p>
    <w:p w:rsidR="00D23011" w:rsidRDefault="00D23011">
      <w:pPr>
        <w:ind w:left="340"/>
        <w:rPr>
          <w:i/>
        </w:rPr>
      </w:pPr>
    </w:p>
    <w:p w:rsidR="00D23011" w:rsidRDefault="00D23011"/>
    <w:p w:rsidR="00D23011" w:rsidRDefault="00D23011">
      <w:pPr>
        <w:numPr>
          <w:ilvl w:val="0"/>
          <w:numId w:val="3"/>
        </w:numPr>
        <w:rPr>
          <w:rStyle w:val="a"/>
        </w:rPr>
      </w:pPr>
      <w:r>
        <w:rPr>
          <w:rStyle w:val="a"/>
        </w:rPr>
        <w:t>Explain any decision to provide any payment or gift to respondents, other than remuneration of contractors or grantees.</w:t>
      </w:r>
    </w:p>
    <w:p w:rsidR="00D23011" w:rsidRDefault="00D23011">
      <w:pPr>
        <w:rPr>
          <w:rStyle w:val="a"/>
        </w:rPr>
      </w:pPr>
    </w:p>
    <w:p w:rsidR="00D23011" w:rsidRDefault="00D23011">
      <w:pPr>
        <w:ind w:firstLine="360"/>
        <w:rPr>
          <w:i/>
        </w:rPr>
      </w:pPr>
      <w:r>
        <w:rPr>
          <w:i/>
        </w:rPr>
        <w:t xml:space="preserve">No payments or gifts to respondents </w:t>
      </w:r>
      <w:r w:rsidR="00291352">
        <w:rPr>
          <w:i/>
        </w:rPr>
        <w:t>will be</w:t>
      </w:r>
      <w:r>
        <w:rPr>
          <w:i/>
        </w:rPr>
        <w:t xml:space="preserve"> made.</w:t>
      </w:r>
    </w:p>
    <w:p w:rsidR="00D23011" w:rsidRDefault="00D23011"/>
    <w:p w:rsidR="00D23011" w:rsidRDefault="00D23011">
      <w:pPr>
        <w:numPr>
          <w:ilvl w:val="0"/>
          <w:numId w:val="3"/>
        </w:numPr>
      </w:pPr>
      <w:r>
        <w:t>Describe any assurance of confidentiality provided to respondents and the basis for the assurance in statute, regulation, or agency policy.</w:t>
      </w:r>
    </w:p>
    <w:p w:rsidR="00D23011" w:rsidRDefault="00D23011"/>
    <w:p w:rsidR="00D23011" w:rsidRDefault="00D23011">
      <w:pPr>
        <w:ind w:firstLine="360"/>
        <w:rPr>
          <w:i/>
        </w:rPr>
      </w:pPr>
      <w:r>
        <w:rPr>
          <w:i/>
        </w:rPr>
        <w:t>There is no assurance of confidentiality.</w:t>
      </w:r>
    </w:p>
    <w:p w:rsidR="00D23011" w:rsidRDefault="00D23011"/>
    <w:p w:rsidR="00D23011" w:rsidRDefault="00D23011">
      <w:pPr>
        <w:numPr>
          <w:ilvl w:val="0"/>
          <w:numId w:val="3"/>
        </w:numPr>
      </w:pPr>
      <w: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3011" w:rsidRDefault="00D23011"/>
    <w:p w:rsidR="00D23011" w:rsidRDefault="00D23011">
      <w:pPr>
        <w:ind w:firstLine="375"/>
        <w:rPr>
          <w:i/>
        </w:rPr>
      </w:pPr>
      <w:r>
        <w:rPr>
          <w:i/>
        </w:rPr>
        <w:t>There are no questions of a sensitive nature.</w:t>
      </w:r>
    </w:p>
    <w:p w:rsidR="00D23011" w:rsidRDefault="00D23011">
      <w:pPr>
        <w:tabs>
          <w:tab w:val="left" w:pos="-720"/>
        </w:tabs>
        <w:suppressAutoHyphens/>
      </w:pPr>
    </w:p>
    <w:p w:rsidR="00D23011" w:rsidRDefault="00D23011">
      <w:pPr>
        <w:numPr>
          <w:ilvl w:val="0"/>
          <w:numId w:val="5"/>
        </w:numPr>
        <w:tabs>
          <w:tab w:val="left" w:pos="-720"/>
        </w:tabs>
        <w:suppressAutoHyphens/>
        <w:rPr>
          <w:rStyle w:val="a"/>
        </w:rPr>
      </w:pPr>
      <w:r>
        <w:rPr>
          <w:rStyle w:val="a"/>
        </w:rPr>
        <w:t>Provide estimates of the hour burden of the collection of information.  The statement should :</w:t>
      </w:r>
    </w:p>
    <w:p w:rsidR="00D23011" w:rsidRDefault="00D23011">
      <w:pPr>
        <w:tabs>
          <w:tab w:val="left" w:pos="-720"/>
        </w:tabs>
        <w:suppressAutoHyphens/>
        <w:rPr>
          <w:rStyle w:val="a"/>
        </w:rPr>
      </w:pPr>
    </w:p>
    <w:p w:rsidR="00D23011" w:rsidRDefault="00D23011" w:rsidP="00AE02A5">
      <w:pPr>
        <w:numPr>
          <w:ilvl w:val="0"/>
          <w:numId w:val="6"/>
        </w:numPr>
        <w:tabs>
          <w:tab w:val="left" w:pos="-720"/>
          <w:tab w:val="left" w:pos="1247"/>
        </w:tabs>
        <w:suppressAutoHyphens/>
        <w:rPr>
          <w:rStyle w:val="a"/>
        </w:rPr>
      </w:pPr>
      <w:r>
        <w:rPr>
          <w:rStyle w:val="a"/>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23011" w:rsidRDefault="00D23011">
      <w:pPr>
        <w:tabs>
          <w:tab w:val="left" w:pos="-720"/>
          <w:tab w:val="left" w:pos="1247"/>
        </w:tabs>
        <w:suppressAutoHyphens/>
        <w:ind w:left="340"/>
        <w:rPr>
          <w:rStyle w:val="a"/>
        </w:rPr>
      </w:pPr>
    </w:p>
    <w:p w:rsidR="00D23011" w:rsidRDefault="00D23011" w:rsidP="00AE02A5">
      <w:pPr>
        <w:numPr>
          <w:ilvl w:val="0"/>
          <w:numId w:val="6"/>
        </w:numPr>
        <w:tabs>
          <w:tab w:val="left" w:pos="-720"/>
          <w:tab w:val="left" w:pos="1247"/>
        </w:tabs>
        <w:suppressAutoHyphens/>
        <w:rPr>
          <w:rStyle w:val="a"/>
          <w:u w:val="single"/>
        </w:rPr>
      </w:pPr>
      <w:r>
        <w:rPr>
          <w:rStyle w:val="a"/>
        </w:rPr>
        <w:t>If this request for approval covers more than one form, provide separate hour burden estimates for each form and aggregate the hour burdens in item 13 of OMB Form 83-I.</w:t>
      </w:r>
    </w:p>
    <w:p w:rsidR="00D23011" w:rsidRDefault="00D23011">
      <w:pPr>
        <w:tabs>
          <w:tab w:val="left" w:pos="-720"/>
          <w:tab w:val="left" w:pos="1247"/>
        </w:tabs>
        <w:suppressAutoHyphens/>
        <w:rPr>
          <w:rStyle w:val="a"/>
        </w:rPr>
      </w:pPr>
    </w:p>
    <w:p w:rsidR="00D23011" w:rsidRDefault="00D23011" w:rsidP="00AE02A5">
      <w:pPr>
        <w:numPr>
          <w:ilvl w:val="0"/>
          <w:numId w:val="6"/>
        </w:numPr>
        <w:tabs>
          <w:tab w:val="left" w:pos="-720"/>
          <w:tab w:val="left" w:pos="1247"/>
        </w:tabs>
        <w:suppressAutoHyphens/>
        <w:rPr>
          <w:rStyle w:val="a"/>
          <w:u w:val="single"/>
        </w:rPr>
      </w:pPr>
      <w:r>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D23011" w:rsidRDefault="00D23011">
      <w:pPr>
        <w:tabs>
          <w:tab w:val="left" w:pos="-720"/>
          <w:tab w:val="left" w:pos="1247"/>
        </w:tabs>
        <w:suppressAutoHyphens/>
        <w:rPr>
          <w:u w:val="single"/>
        </w:rPr>
      </w:pPr>
    </w:p>
    <w:p w:rsidR="00D23011" w:rsidRDefault="00D23011">
      <w:pPr>
        <w:tabs>
          <w:tab w:val="left" w:pos="-720"/>
          <w:tab w:val="left" w:pos="1247"/>
        </w:tabs>
        <w:suppressAutoHyphens/>
        <w:ind w:left="340"/>
        <w:rPr>
          <w:u w:val="single"/>
        </w:rPr>
      </w:pPr>
    </w:p>
    <w:p w:rsidR="00D23011" w:rsidRDefault="00D23011">
      <w:pPr>
        <w:numPr>
          <w:ilvl w:val="2"/>
          <w:numId w:val="3"/>
        </w:numPr>
        <w:rPr>
          <w:i/>
        </w:rPr>
      </w:pPr>
      <w:r>
        <w:rPr>
          <w:i/>
          <w:u w:val="single"/>
        </w:rPr>
        <w:t>Burden Hours for Respondents</w:t>
      </w:r>
    </w:p>
    <w:p w:rsidR="00D23011" w:rsidRDefault="00D23011">
      <w:pPr>
        <w:rPr>
          <w:i/>
        </w:rPr>
      </w:pPr>
    </w:p>
    <w:p w:rsidR="00D23011" w:rsidRDefault="00D23011">
      <w:pPr>
        <w:ind w:left="1980"/>
        <w:rPr>
          <w:i/>
        </w:rPr>
      </w:pPr>
      <w:r>
        <w:rPr>
          <w:i/>
        </w:rPr>
        <w:t>There will be 5</w:t>
      </w:r>
      <w:r w:rsidR="00540C0E">
        <w:rPr>
          <w:i/>
        </w:rPr>
        <w:t>4</w:t>
      </w:r>
      <w:r>
        <w:rPr>
          <w:i/>
        </w:rPr>
        <w:t xml:space="preserve"> respondents to this collection.  The average burden for completing the annual performance report is 1</w:t>
      </w:r>
      <w:r w:rsidR="00885BEF">
        <w:rPr>
          <w:i/>
        </w:rPr>
        <w:t>5</w:t>
      </w:r>
      <w:r w:rsidR="00291352">
        <w:rPr>
          <w:i/>
        </w:rPr>
        <w:t xml:space="preserve"> hours</w:t>
      </w:r>
      <w:r>
        <w:rPr>
          <w:i/>
        </w:rPr>
        <w:t>.  Thus, the total ave</w:t>
      </w:r>
      <w:r w:rsidR="00885BEF">
        <w:rPr>
          <w:i/>
        </w:rPr>
        <w:t>rage burden for this report is 810</w:t>
      </w:r>
      <w:r>
        <w:rPr>
          <w:i/>
        </w:rPr>
        <w:t xml:space="preserve"> hours.</w:t>
      </w:r>
    </w:p>
    <w:p w:rsidR="00D23011" w:rsidRDefault="00D23011">
      <w:pPr>
        <w:ind w:left="1980"/>
        <w:rPr>
          <w:i/>
        </w:rPr>
      </w:pPr>
    </w:p>
    <w:p w:rsidR="00D23011" w:rsidRDefault="00D23011">
      <w:pPr>
        <w:numPr>
          <w:ilvl w:val="2"/>
          <w:numId w:val="3"/>
        </w:numPr>
        <w:rPr>
          <w:i/>
          <w:u w:val="single"/>
        </w:rPr>
      </w:pPr>
      <w:r>
        <w:rPr>
          <w:i/>
          <w:u w:val="single"/>
        </w:rPr>
        <w:t>Cost to Respondents</w:t>
      </w:r>
    </w:p>
    <w:p w:rsidR="00D23011" w:rsidRDefault="00D23011">
      <w:pPr>
        <w:ind w:left="1980"/>
        <w:rPr>
          <w:i/>
          <w:u w:val="single"/>
        </w:rPr>
      </w:pPr>
    </w:p>
    <w:p w:rsidR="00D23011" w:rsidRDefault="00D23011">
      <w:pPr>
        <w:ind w:left="2160"/>
      </w:pPr>
      <w:r>
        <w:rPr>
          <w:i/>
        </w:rPr>
        <w:t>Total Cost to Respondents = 5</w:t>
      </w:r>
      <w:r w:rsidR="00540C0E">
        <w:rPr>
          <w:i/>
        </w:rPr>
        <w:t>4</w:t>
      </w:r>
      <w:r>
        <w:rPr>
          <w:i/>
        </w:rPr>
        <w:t xml:space="preserve"> reports x 1</w:t>
      </w:r>
      <w:r w:rsidR="00885BEF">
        <w:rPr>
          <w:i/>
        </w:rPr>
        <w:t>5</w:t>
      </w:r>
      <w:r>
        <w:rPr>
          <w:i/>
        </w:rPr>
        <w:t xml:space="preserve"> hours/application x $25/ hour =</w:t>
      </w:r>
      <w:r>
        <w:rPr>
          <w:i/>
        </w:rPr>
        <w:tab/>
        <w:t>$2</w:t>
      </w:r>
      <w:r w:rsidR="00885BEF">
        <w:rPr>
          <w:i/>
        </w:rPr>
        <w:t>0</w:t>
      </w:r>
      <w:r>
        <w:rPr>
          <w:i/>
        </w:rPr>
        <w:t>,</w:t>
      </w:r>
      <w:r w:rsidR="00885BEF">
        <w:rPr>
          <w:i/>
        </w:rPr>
        <w:t>250</w:t>
      </w:r>
    </w:p>
    <w:p w:rsidR="00D23011" w:rsidRDefault="00D23011">
      <w:pPr>
        <w:ind w:left="1980"/>
      </w:pPr>
    </w:p>
    <w:p w:rsidR="00D23011" w:rsidRDefault="00D23011"/>
    <w:p w:rsidR="00D23011" w:rsidRDefault="00D23011">
      <w:pPr>
        <w:tabs>
          <w:tab w:val="left" w:pos="-720"/>
        </w:tabs>
        <w:suppressAutoHyphens/>
      </w:pPr>
    </w:p>
    <w:p w:rsidR="00D23011" w:rsidRDefault="00D23011">
      <w:pPr>
        <w:numPr>
          <w:ilvl w:val="0"/>
          <w:numId w:val="5"/>
        </w:numPr>
        <w:tabs>
          <w:tab w:val="left" w:pos="-720"/>
        </w:tabs>
        <w:suppressAutoHyphens/>
      </w:pPr>
      <w:r>
        <w:rPr>
          <w:rStyle w:val="a"/>
        </w:rPr>
        <w:t>Provide an estimate of the total annual cost burden to respondents or record keepers resulting from the collection of information.  (Do not include the cost of any hour burden shown in Items 12 and 14.)</w:t>
      </w:r>
    </w:p>
    <w:p w:rsidR="00D23011" w:rsidRDefault="00D23011">
      <w:pPr>
        <w:tabs>
          <w:tab w:val="left" w:pos="-720"/>
        </w:tabs>
        <w:suppressAutoHyphens/>
      </w:pPr>
    </w:p>
    <w:p w:rsidR="00D23011" w:rsidRDefault="00D23011" w:rsidP="00AE02A5">
      <w:pPr>
        <w:numPr>
          <w:ilvl w:val="0"/>
          <w:numId w:val="7"/>
        </w:numPr>
        <w:tabs>
          <w:tab w:val="left" w:pos="-720"/>
          <w:tab w:val="left" w:pos="1247"/>
        </w:tabs>
        <w:suppressAutoHyphens/>
      </w:pPr>
      <w: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3011" w:rsidRDefault="00D23011">
      <w:pPr>
        <w:numPr>
          <w:ilvl w:val="12"/>
          <w:numId w:val="0"/>
        </w:numPr>
        <w:tabs>
          <w:tab w:val="left" w:pos="-720"/>
        </w:tabs>
        <w:suppressAutoHyphens/>
        <w:ind w:left="340"/>
      </w:pPr>
    </w:p>
    <w:p w:rsidR="00D23011" w:rsidRDefault="00D23011" w:rsidP="00AE02A5">
      <w:pPr>
        <w:numPr>
          <w:ilvl w:val="0"/>
          <w:numId w:val="7"/>
        </w:numPr>
        <w:tabs>
          <w:tab w:val="left" w:pos="-720"/>
          <w:tab w:val="left" w:pos="1247"/>
        </w:tabs>
        <w:suppressAutoHyphens/>
      </w:pPr>
      <w: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23011" w:rsidRDefault="00D23011">
      <w:pPr>
        <w:tabs>
          <w:tab w:val="left" w:pos="-720"/>
          <w:tab w:val="left" w:pos="1247"/>
        </w:tabs>
        <w:suppressAutoHyphens/>
      </w:pPr>
    </w:p>
    <w:p w:rsidR="00D23011" w:rsidRDefault="00D23011" w:rsidP="00AE02A5">
      <w:pPr>
        <w:numPr>
          <w:ilvl w:val="0"/>
          <w:numId w:val="7"/>
        </w:numPr>
        <w:tabs>
          <w:tab w:val="left" w:pos="-720"/>
          <w:tab w:val="left" w:pos="1247"/>
        </w:tabs>
        <w:suppressAutoHyphens/>
      </w:pPr>
      <w: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t>government,</w:t>
      </w:r>
      <w:proofErr w:type="gramEnd"/>
      <w:r>
        <w:t xml:space="preserve"> or (4) as part of customary and usual business or private practices.</w:t>
      </w:r>
    </w:p>
    <w:p w:rsidR="00D23011" w:rsidRDefault="00D23011">
      <w:pPr>
        <w:tabs>
          <w:tab w:val="left" w:pos="-720"/>
          <w:tab w:val="left" w:pos="1247"/>
        </w:tabs>
        <w:suppressAutoHyphens/>
        <w:ind w:left="340"/>
      </w:pPr>
    </w:p>
    <w:p w:rsidR="00D23011" w:rsidRDefault="00D23011">
      <w:pPr>
        <w:pStyle w:val="BodyTextIndent3"/>
      </w:pPr>
      <w:r>
        <w:t>There are no costs that (a) meet the criteria for inclusion under this item; and (b) have not been addressed in either item #12 or item #14.</w:t>
      </w:r>
    </w:p>
    <w:p w:rsidR="00D23011" w:rsidRDefault="00D23011"/>
    <w:p w:rsidR="00D23011" w:rsidRDefault="00D23011">
      <w:pPr>
        <w:numPr>
          <w:ilvl w:val="0"/>
          <w:numId w:val="5"/>
        </w:numPr>
        <w:tabs>
          <w:tab w:val="left" w:pos="-720"/>
        </w:tabs>
        <w:suppressAutoHyphens/>
        <w:rPr>
          <w:rStyle w:val="a"/>
        </w:rPr>
      </w:pPr>
      <w:r>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23011" w:rsidRDefault="00D23011">
      <w:pPr>
        <w:tabs>
          <w:tab w:val="left" w:pos="-720"/>
        </w:tabs>
        <w:suppressAutoHyphens/>
      </w:pPr>
    </w:p>
    <w:p w:rsidR="00D23011" w:rsidRDefault="00D23011">
      <w:pPr>
        <w:ind w:firstLine="360"/>
        <w:rPr>
          <w:i/>
        </w:rPr>
      </w:pPr>
      <w:r>
        <w:rPr>
          <w:i/>
        </w:rPr>
        <w:t>Estimated Federal Costs:</w:t>
      </w:r>
    </w:p>
    <w:p w:rsidR="00D23011" w:rsidRDefault="00D23011">
      <w:pPr>
        <w:rPr>
          <w:i/>
        </w:rPr>
      </w:pPr>
    </w:p>
    <w:p w:rsidR="00D23011" w:rsidRDefault="00D23011">
      <w:pPr>
        <w:ind w:left="1440"/>
        <w:rPr>
          <w:i/>
        </w:rPr>
      </w:pPr>
      <w:r>
        <w:rPr>
          <w:i/>
        </w:rPr>
        <w:t>Program Personnel:</w:t>
      </w:r>
    </w:p>
    <w:p w:rsidR="00D23011" w:rsidRDefault="00D23011">
      <w:pPr>
        <w:ind w:left="1440"/>
        <w:rPr>
          <w:i/>
        </w:rPr>
      </w:pPr>
      <w:r>
        <w:rPr>
          <w:i/>
        </w:rPr>
        <w:t>1 person @$4</w:t>
      </w:r>
      <w:r w:rsidR="00AE02A5">
        <w:rPr>
          <w:i/>
        </w:rPr>
        <w:t>5</w:t>
      </w:r>
      <w:r>
        <w:rPr>
          <w:i/>
        </w:rPr>
        <w:t>.00/hr x 110 hours</w:t>
      </w:r>
      <w:r>
        <w:rPr>
          <w:i/>
        </w:rPr>
        <w:tab/>
        <w:t xml:space="preserve">= </w:t>
      </w:r>
      <w:r>
        <w:rPr>
          <w:i/>
        </w:rPr>
        <w:tab/>
      </w:r>
      <w:r>
        <w:rPr>
          <w:i/>
        </w:rPr>
        <w:tab/>
        <w:t>$ 4,</w:t>
      </w:r>
      <w:r w:rsidR="00AE02A5">
        <w:rPr>
          <w:i/>
        </w:rPr>
        <w:t>95</w:t>
      </w:r>
      <w:r>
        <w:rPr>
          <w:i/>
        </w:rPr>
        <w:t>0</w:t>
      </w:r>
    </w:p>
    <w:p w:rsidR="00D23011" w:rsidRDefault="00D23011">
      <w:pPr>
        <w:ind w:left="1440"/>
        <w:rPr>
          <w:i/>
        </w:rPr>
      </w:pPr>
      <w:r>
        <w:rPr>
          <w:i/>
        </w:rPr>
        <w:t>1 person @$</w:t>
      </w:r>
      <w:r w:rsidR="00AE02A5">
        <w:rPr>
          <w:i/>
        </w:rPr>
        <w:t>37</w:t>
      </w:r>
      <w:r>
        <w:rPr>
          <w:i/>
        </w:rPr>
        <w:t>.00/hr x 110 hours</w:t>
      </w:r>
      <w:r>
        <w:rPr>
          <w:i/>
        </w:rPr>
        <w:tab/>
        <w:t>=</w:t>
      </w:r>
      <w:r>
        <w:rPr>
          <w:i/>
        </w:rPr>
        <w:tab/>
      </w:r>
      <w:r>
        <w:rPr>
          <w:i/>
        </w:rPr>
        <w:tab/>
      </w:r>
      <w:r w:rsidR="00AE02A5">
        <w:rPr>
          <w:i/>
        </w:rPr>
        <w:t>$ 4,070</w:t>
      </w:r>
    </w:p>
    <w:p w:rsidR="00D23011" w:rsidRDefault="00D23011">
      <w:pPr>
        <w:rPr>
          <w:i/>
        </w:rPr>
      </w:pPr>
    </w:p>
    <w:p w:rsidR="00D23011" w:rsidRDefault="00D23011">
      <w:r>
        <w:rPr>
          <w:i/>
        </w:rPr>
        <w:tab/>
      </w:r>
      <w:r>
        <w:rPr>
          <w:i/>
        </w:rPr>
        <w:tab/>
      </w:r>
      <w:r>
        <w:rPr>
          <w:i/>
        </w:rPr>
        <w:tab/>
      </w:r>
      <w:r>
        <w:rPr>
          <w:i/>
        </w:rPr>
        <w:tab/>
      </w:r>
      <w:r>
        <w:rPr>
          <w:i/>
        </w:rPr>
        <w:tab/>
        <w:t>Total</w:t>
      </w:r>
      <w:r>
        <w:rPr>
          <w:i/>
        </w:rPr>
        <w:tab/>
      </w:r>
      <w:r>
        <w:rPr>
          <w:i/>
        </w:rPr>
        <w:tab/>
      </w:r>
      <w:r>
        <w:rPr>
          <w:i/>
        </w:rPr>
        <w:tab/>
      </w:r>
      <w:r>
        <w:rPr>
          <w:i/>
        </w:rPr>
        <w:tab/>
        <w:t xml:space="preserve"> $</w:t>
      </w:r>
      <w:r w:rsidR="00AE02A5">
        <w:rPr>
          <w:i/>
        </w:rPr>
        <w:t>9,02</w:t>
      </w:r>
      <w:r>
        <w:rPr>
          <w:i/>
        </w:rPr>
        <w:t>0</w:t>
      </w:r>
    </w:p>
    <w:p w:rsidR="00D23011" w:rsidRDefault="00D23011"/>
    <w:p w:rsidR="00D23011" w:rsidRDefault="00D23011">
      <w:pPr>
        <w:ind w:left="1440"/>
      </w:pPr>
    </w:p>
    <w:p w:rsidR="00D23011" w:rsidRDefault="00D23011">
      <w:pPr>
        <w:ind w:left="1440"/>
      </w:pPr>
    </w:p>
    <w:p w:rsidR="00D23011" w:rsidRDefault="00D23011">
      <w:pPr>
        <w:numPr>
          <w:ilvl w:val="0"/>
          <w:numId w:val="5"/>
        </w:numPr>
        <w:rPr>
          <w:rStyle w:val="a"/>
        </w:rPr>
      </w:pPr>
      <w:r>
        <w:rPr>
          <w:rStyle w:val="a"/>
        </w:rPr>
        <w:t>Explain the reasons for any program changes or adjustments reported in Items 13 or 14 of the OMB Form 83-I.</w:t>
      </w:r>
    </w:p>
    <w:p w:rsidR="00D23011" w:rsidRDefault="00D23011">
      <w:pPr>
        <w:rPr>
          <w:rStyle w:val="a"/>
        </w:rPr>
      </w:pPr>
    </w:p>
    <w:p w:rsidR="00D23011" w:rsidRDefault="008F5847" w:rsidP="008F5847">
      <w:pPr>
        <w:ind w:left="360"/>
        <w:rPr>
          <w:i/>
        </w:rPr>
      </w:pPr>
      <w:r w:rsidRPr="008F5847">
        <w:rPr>
          <w:i/>
          <w:iCs/>
        </w:rPr>
        <w:t xml:space="preserve">This is an extension, questions related to the special education referral rate and program expenditures have been removed at the request of the U.S. Department of Education, thus lowering the overall burden hours for this collection.  </w:t>
      </w:r>
    </w:p>
    <w:p w:rsidR="00D23011" w:rsidRDefault="00D23011"/>
    <w:p w:rsidR="00D23011" w:rsidRDefault="00D23011">
      <w:pPr>
        <w:numPr>
          <w:ilvl w:val="0"/>
          <w:numId w:val="5"/>
        </w:numPr>
        <w:rPr>
          <w:rStyle w:val="a"/>
        </w:rPr>
      </w:pPr>
      <w:r>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23011" w:rsidRDefault="00D23011">
      <w:pPr>
        <w:rPr>
          <w:rStyle w:val="a"/>
        </w:rPr>
      </w:pPr>
    </w:p>
    <w:p w:rsidR="0079513D" w:rsidRPr="0079513D" w:rsidRDefault="0079513D" w:rsidP="0079513D">
      <w:pPr>
        <w:pStyle w:val="BodyTextIndent3"/>
      </w:pPr>
      <w:r w:rsidRPr="0079513D">
        <w:t xml:space="preserve">Submission of the </w:t>
      </w:r>
      <w:r w:rsidR="00291352">
        <w:t>annual performance report (</w:t>
      </w:r>
      <w:r w:rsidRPr="0079513D">
        <w:t>APR</w:t>
      </w:r>
      <w:r w:rsidR="00291352">
        <w:t>)</w:t>
      </w:r>
      <w:r w:rsidRPr="0079513D">
        <w:t xml:space="preserve"> via the data collection site has been taking place since 2004 and will continue</w:t>
      </w:r>
      <w:r w:rsidR="00291352">
        <w:t xml:space="preserve"> to occur</w:t>
      </w:r>
      <w:r w:rsidRPr="0079513D">
        <w:t xml:space="preserve"> between October 15 and November 30 of each year. If APR data submitted during this time frame are incomplete or inaccurate or if re-submission of data is requested by </w:t>
      </w:r>
      <w:r w:rsidR="00291352">
        <w:t>state education agencies (</w:t>
      </w:r>
      <w:r w:rsidRPr="0079513D">
        <w:t>SEAs</w:t>
      </w:r>
      <w:r w:rsidR="00291352">
        <w:t>)</w:t>
      </w:r>
      <w:r w:rsidRPr="0079513D">
        <w:t xml:space="preserve">, additional data collection may occur at other times throughout the year. </w:t>
      </w:r>
    </w:p>
    <w:p w:rsidR="0079513D" w:rsidRPr="0079513D" w:rsidRDefault="00291352" w:rsidP="0079513D">
      <w:pPr>
        <w:pStyle w:val="BodyTextIndent3"/>
      </w:pPr>
      <w:proofErr w:type="gramStart"/>
      <w:r>
        <w:t>the</w:t>
      </w:r>
      <w:proofErr w:type="gramEnd"/>
      <w:r>
        <w:t xml:space="preserve"> government Performance Results Act (</w:t>
      </w:r>
      <w:r w:rsidR="0079513D" w:rsidRPr="0079513D">
        <w:t>GPRA</w:t>
      </w:r>
      <w:r>
        <w:t>)</w:t>
      </w:r>
      <w:r w:rsidR="0079513D" w:rsidRPr="0079513D">
        <w:t xml:space="preserve"> report provides national</w:t>
      </w:r>
      <w:r w:rsidR="0079513D" w:rsidRPr="0079513D" w:rsidDel="00E270EC">
        <w:t xml:space="preserve"> </w:t>
      </w:r>
      <w:r w:rsidR="0079513D" w:rsidRPr="0079513D">
        <w:t>-level achievement data for all comprehension and fluency outcome measures for each year of program implementation. The national-level information includes an average of</w:t>
      </w:r>
      <w:r>
        <w:t xml:space="preserve"> the</w:t>
      </w:r>
      <w:r w:rsidR="0079513D" w:rsidRPr="0079513D">
        <w:t xml:space="preserve"> percentage of proficient students in SEAs administering the Dynamic Indicators of Basic Early Literacy Skills (DIBELS) Oral Reading Fluency measure and the number of SEAs showing improvement in proficiency rates on each SEA’s comprehension measure from the previous year to the current year. All schools are included in the GPRA report, regardless of when schools began implementati</w:t>
      </w:r>
      <w:r w:rsidR="007E258B">
        <w:t>on of the Reading First program.</w:t>
      </w:r>
    </w:p>
    <w:p w:rsidR="0079513D" w:rsidRDefault="0079513D" w:rsidP="0079513D">
      <w:pPr>
        <w:pStyle w:val="BodyTextIndent3"/>
      </w:pPr>
      <w:r w:rsidRPr="0079513D">
        <w:t xml:space="preserve">SEA-level tables report for each SEA the percentage of students demonstrating proficiency on fluency and comprehension outcome measures as well as on statewide reading assessments. Proficiency rates are reported for students in grades 1, 2, and 3 for all students and subgroup populations (economically disadvantaged students, English language learners, students with disabilities, and </w:t>
      </w:r>
      <w:r w:rsidR="007E258B">
        <w:t>racial groups).</w:t>
      </w:r>
    </w:p>
    <w:p w:rsidR="007E258B" w:rsidRPr="0079513D" w:rsidRDefault="007E258B" w:rsidP="0079513D">
      <w:pPr>
        <w:pStyle w:val="BodyTextIndent3"/>
      </w:pPr>
      <w:r>
        <w:t>The GPRA and SEA-level tables are scheduled to be created in March/April following the APR data collection.</w:t>
      </w:r>
    </w:p>
    <w:p w:rsidR="00D23011" w:rsidRDefault="00D23011"/>
    <w:p w:rsidR="00D23011" w:rsidRDefault="00D23011">
      <w:pPr>
        <w:numPr>
          <w:ilvl w:val="0"/>
          <w:numId w:val="5"/>
        </w:numPr>
        <w:rPr>
          <w:rStyle w:val="a"/>
        </w:rPr>
      </w:pPr>
      <w:r>
        <w:rPr>
          <w:rStyle w:val="a"/>
        </w:rPr>
        <w:t>If seeking approval to not display the expiration date for OMB approval of the information collection, explain the reasons that display would be inappropriate</w:t>
      </w:r>
      <w:r>
        <w:rPr>
          <w:rStyle w:val="a"/>
          <w:rFonts w:ascii="Univers" w:hAnsi="Univers"/>
        </w:rPr>
        <w:t>.</w:t>
      </w:r>
    </w:p>
    <w:p w:rsidR="00D23011" w:rsidRDefault="00D23011">
      <w:pPr>
        <w:rPr>
          <w:rStyle w:val="a"/>
        </w:rPr>
      </w:pPr>
    </w:p>
    <w:p w:rsidR="00D23011" w:rsidRDefault="00D23011">
      <w:pPr>
        <w:ind w:firstLine="360"/>
      </w:pPr>
      <w:r>
        <w:rPr>
          <w:i/>
        </w:rPr>
        <w:t>The OMB expiration date will be displayed</w:t>
      </w:r>
      <w:r>
        <w:t>.</w:t>
      </w:r>
    </w:p>
    <w:p w:rsidR="00D23011" w:rsidRDefault="00D23011"/>
    <w:p w:rsidR="00D23011" w:rsidRDefault="00D23011">
      <w:pPr>
        <w:numPr>
          <w:ilvl w:val="0"/>
          <w:numId w:val="5"/>
        </w:numPr>
        <w:rPr>
          <w:rStyle w:val="a"/>
        </w:rPr>
      </w:pPr>
      <w:r>
        <w:rPr>
          <w:rStyle w:val="a"/>
        </w:rPr>
        <w:t>Explain each exception to the certification statement identified in Item 20, “Certification for Paperwork Reduction Act Submissions,” of OMB Form 83-I</w:t>
      </w:r>
      <w:r>
        <w:rPr>
          <w:rStyle w:val="a"/>
          <w:rFonts w:ascii="Univers" w:hAnsi="Univers"/>
        </w:rPr>
        <w:t>.</w:t>
      </w:r>
    </w:p>
    <w:p w:rsidR="00D23011" w:rsidRDefault="00D23011">
      <w:pPr>
        <w:rPr>
          <w:rStyle w:val="a"/>
        </w:rPr>
      </w:pPr>
    </w:p>
    <w:p w:rsidR="00D23011" w:rsidRDefault="00D23011">
      <w:pPr>
        <w:ind w:firstLine="360"/>
        <w:rPr>
          <w:i/>
        </w:rPr>
      </w:pPr>
      <w:r>
        <w:rPr>
          <w:i/>
        </w:rPr>
        <w:t>There are no exceptions to the referenced certification statement.</w:t>
      </w:r>
    </w:p>
    <w:p w:rsidR="00D23011" w:rsidRDefault="00D23011"/>
    <w:p w:rsidR="00D23011" w:rsidRDefault="00D23011"/>
    <w:p w:rsidR="00D23011" w:rsidRDefault="00D23011">
      <w:pPr>
        <w:tabs>
          <w:tab w:val="left" w:pos="-720"/>
        </w:tabs>
        <w:suppressAutoHyphens/>
      </w:pPr>
      <w:r>
        <w:rPr>
          <w:b/>
        </w:rPr>
        <w:t>B.  Collection of Information Employing Statistical Methods</w:t>
      </w:r>
    </w:p>
    <w:p w:rsidR="00D23011" w:rsidRDefault="00D23011">
      <w:pPr>
        <w:tabs>
          <w:tab w:val="left" w:pos="-720"/>
        </w:tabs>
        <w:suppressAutoHyphens/>
      </w:pPr>
    </w:p>
    <w:p w:rsidR="00D23011" w:rsidRDefault="00D23011">
      <w:pPr>
        <w:ind w:left="720"/>
      </w:pPr>
      <w:r>
        <w:t>The agency should be prepared to justify its decision not to use statistical methods in any case where such methods might reduce burden or improve accuracy of results.  When Item 17 on Form 83-I is checked “Yes,” the following documentation should be included in the Supporting Statement to the extent that it applies to the methods proposed.</w:t>
      </w:r>
    </w:p>
    <w:p w:rsidR="00D23011" w:rsidRDefault="00D23011"/>
    <w:p w:rsidR="00D23011" w:rsidRDefault="00D23011">
      <w:pPr>
        <w:ind w:left="720"/>
        <w:rPr>
          <w:i/>
        </w:rPr>
      </w:pPr>
      <w:r>
        <w:rPr>
          <w:i/>
        </w:rPr>
        <w:t>This information collection does not employ statistical methods.</w:t>
      </w:r>
    </w:p>
    <w:p w:rsidR="00D23011" w:rsidRDefault="00D23011">
      <w:pPr>
        <w:ind w:left="360"/>
      </w:pPr>
    </w:p>
    <w:p w:rsidR="00D23011" w:rsidRDefault="00D23011"/>
    <w:p w:rsidR="00D23011" w:rsidRDefault="00D23011"/>
    <w:p w:rsidR="00D23011" w:rsidRDefault="00D23011">
      <w:pPr>
        <w:ind w:left="360"/>
      </w:pPr>
    </w:p>
    <w:sectPr w:rsidR="00D23011" w:rsidSect="004844B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4658B5"/>
    <w:multiLevelType w:val="hybridMultilevel"/>
    <w:tmpl w:val="BCC4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15455"/>
    <w:multiLevelType w:val="hybridMultilevel"/>
    <w:tmpl w:val="D732478A"/>
    <w:lvl w:ilvl="0" w:tplc="95DA76A6">
      <w:start w:val="1"/>
      <w:numFmt w:val="upperLetter"/>
      <w:lvlText w:val="%1."/>
      <w:lvlJc w:val="left"/>
      <w:pPr>
        <w:tabs>
          <w:tab w:val="num" w:pos="360"/>
        </w:tabs>
        <w:ind w:left="360" w:hanging="360"/>
      </w:pPr>
      <w:rPr>
        <w:rFonts w:hint="default"/>
      </w:rPr>
    </w:lvl>
    <w:lvl w:ilvl="1" w:tplc="265056D8">
      <w:start w:val="1"/>
      <w:numFmt w:val="decimal"/>
      <w:lvlText w:val="%2."/>
      <w:lvlJc w:val="left"/>
      <w:pPr>
        <w:tabs>
          <w:tab w:val="num" w:pos="360"/>
        </w:tabs>
        <w:ind w:left="360" w:hanging="360"/>
      </w:pPr>
      <w:rPr>
        <w:rFonts w:hint="default"/>
      </w:rPr>
    </w:lvl>
    <w:lvl w:ilvl="2" w:tplc="21620716">
      <w:start w:val="1"/>
      <w:numFmt w:val="upperLetter"/>
      <w:lvlText w:val="%3."/>
      <w:lvlJc w:val="right"/>
      <w:pPr>
        <w:tabs>
          <w:tab w:val="num" w:pos="2160"/>
        </w:tabs>
        <w:ind w:left="2160" w:hanging="180"/>
      </w:pPr>
      <w:rPr>
        <w:rFonts w:hint="default"/>
      </w:rPr>
    </w:lvl>
    <w:lvl w:ilvl="3" w:tplc="43127E0A">
      <w:start w:val="1"/>
      <w:numFmt w:val="decimal"/>
      <w:lvlText w:val="%4."/>
      <w:lvlJc w:val="left"/>
      <w:pPr>
        <w:tabs>
          <w:tab w:val="num" w:pos="2880"/>
        </w:tabs>
        <w:ind w:left="2880" w:hanging="360"/>
      </w:pPr>
    </w:lvl>
    <w:lvl w:ilvl="4" w:tplc="B9AEBD32" w:tentative="1">
      <w:start w:val="1"/>
      <w:numFmt w:val="lowerLetter"/>
      <w:lvlText w:val="%5."/>
      <w:lvlJc w:val="left"/>
      <w:pPr>
        <w:tabs>
          <w:tab w:val="num" w:pos="3600"/>
        </w:tabs>
        <w:ind w:left="3600" w:hanging="360"/>
      </w:pPr>
    </w:lvl>
    <w:lvl w:ilvl="5" w:tplc="AC62BB96" w:tentative="1">
      <w:start w:val="1"/>
      <w:numFmt w:val="lowerRoman"/>
      <w:lvlText w:val="%6."/>
      <w:lvlJc w:val="right"/>
      <w:pPr>
        <w:tabs>
          <w:tab w:val="num" w:pos="4320"/>
        </w:tabs>
        <w:ind w:left="4320" w:hanging="180"/>
      </w:pPr>
    </w:lvl>
    <w:lvl w:ilvl="6" w:tplc="0DC8F5CA" w:tentative="1">
      <w:start w:val="1"/>
      <w:numFmt w:val="decimal"/>
      <w:lvlText w:val="%7."/>
      <w:lvlJc w:val="left"/>
      <w:pPr>
        <w:tabs>
          <w:tab w:val="num" w:pos="5040"/>
        </w:tabs>
        <w:ind w:left="5040" w:hanging="360"/>
      </w:pPr>
    </w:lvl>
    <w:lvl w:ilvl="7" w:tplc="F7EE0114" w:tentative="1">
      <w:start w:val="1"/>
      <w:numFmt w:val="lowerLetter"/>
      <w:lvlText w:val="%8."/>
      <w:lvlJc w:val="left"/>
      <w:pPr>
        <w:tabs>
          <w:tab w:val="num" w:pos="5760"/>
        </w:tabs>
        <w:ind w:left="5760" w:hanging="360"/>
      </w:pPr>
    </w:lvl>
    <w:lvl w:ilvl="8" w:tplc="AF527CA6" w:tentative="1">
      <w:start w:val="1"/>
      <w:numFmt w:val="lowerRoman"/>
      <w:lvlText w:val="%9."/>
      <w:lvlJc w:val="right"/>
      <w:pPr>
        <w:tabs>
          <w:tab w:val="num" w:pos="6480"/>
        </w:tabs>
        <w:ind w:left="6480" w:hanging="180"/>
      </w:pPr>
    </w:lvl>
  </w:abstractNum>
  <w:abstractNum w:abstractNumId="3">
    <w:nsid w:val="20BC14A4"/>
    <w:multiLevelType w:val="hybridMultilevel"/>
    <w:tmpl w:val="00724F6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407878BA"/>
    <w:multiLevelType w:val="multilevel"/>
    <w:tmpl w:val="B06A4FFC"/>
    <w:lvl w:ilvl="0">
      <w:start w:val="8"/>
      <w:numFmt w:val="decimal"/>
      <w:lvlText w:val="%1."/>
      <w:legacy w:legacy="1" w:legacySpace="0" w:legacyIndent="375"/>
      <w:lvlJc w:val="left"/>
      <w:pPr>
        <w:ind w:left="375" w:hanging="375"/>
      </w:pPr>
    </w:lvl>
    <w:lvl w:ilvl="1">
      <w:start w:val="1"/>
      <w:numFmt w:val="decimal"/>
      <w:lvlText w:val="%2."/>
      <w:lvlJc w:val="left"/>
      <w:pPr>
        <w:tabs>
          <w:tab w:val="num" w:pos="360"/>
        </w:tabs>
        <w:ind w:left="360" w:hanging="360"/>
      </w:pPr>
      <w:rPr>
        <w:rFonts w:hint="default"/>
      </w:rPr>
    </w:lvl>
    <w:lvl w:ilvl="2">
      <w:start w:val="1"/>
      <w:numFmt w:val="upp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6B567D9"/>
    <w:multiLevelType w:val="hybridMultilevel"/>
    <w:tmpl w:val="7DDCF9B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nsid w:val="68CE67C4"/>
    <w:multiLevelType w:val="hybridMultilevel"/>
    <w:tmpl w:val="2B560B6E"/>
    <w:lvl w:ilvl="0" w:tplc="4D7AA558">
      <w:start w:val="12"/>
      <w:numFmt w:val="decimal"/>
      <w:lvlText w:val="%1."/>
      <w:lvlJc w:val="left"/>
      <w:pPr>
        <w:tabs>
          <w:tab w:val="num" w:pos="360"/>
        </w:tabs>
        <w:ind w:left="360" w:hanging="360"/>
      </w:pPr>
      <w:rPr>
        <w:rFonts w:hint="default"/>
      </w:rPr>
    </w:lvl>
    <w:lvl w:ilvl="1" w:tplc="88BC0B3C" w:tentative="1">
      <w:start w:val="1"/>
      <w:numFmt w:val="lowerLetter"/>
      <w:lvlText w:val="%2."/>
      <w:lvlJc w:val="left"/>
      <w:pPr>
        <w:tabs>
          <w:tab w:val="num" w:pos="1440"/>
        </w:tabs>
        <w:ind w:left="1440" w:hanging="360"/>
      </w:pPr>
    </w:lvl>
    <w:lvl w:ilvl="2" w:tplc="4FD4CEDC" w:tentative="1">
      <w:start w:val="1"/>
      <w:numFmt w:val="lowerRoman"/>
      <w:lvlText w:val="%3."/>
      <w:lvlJc w:val="right"/>
      <w:pPr>
        <w:tabs>
          <w:tab w:val="num" w:pos="2160"/>
        </w:tabs>
        <w:ind w:left="2160" w:hanging="180"/>
      </w:pPr>
    </w:lvl>
    <w:lvl w:ilvl="3" w:tplc="81E00EC0" w:tentative="1">
      <w:start w:val="1"/>
      <w:numFmt w:val="decimal"/>
      <w:lvlText w:val="%4."/>
      <w:lvlJc w:val="left"/>
      <w:pPr>
        <w:tabs>
          <w:tab w:val="num" w:pos="2880"/>
        </w:tabs>
        <w:ind w:left="2880" w:hanging="360"/>
      </w:pPr>
    </w:lvl>
    <w:lvl w:ilvl="4" w:tplc="6186DCA4" w:tentative="1">
      <w:start w:val="1"/>
      <w:numFmt w:val="lowerLetter"/>
      <w:lvlText w:val="%5."/>
      <w:lvlJc w:val="left"/>
      <w:pPr>
        <w:tabs>
          <w:tab w:val="num" w:pos="3600"/>
        </w:tabs>
        <w:ind w:left="3600" w:hanging="360"/>
      </w:pPr>
    </w:lvl>
    <w:lvl w:ilvl="5" w:tplc="329E4A32" w:tentative="1">
      <w:start w:val="1"/>
      <w:numFmt w:val="lowerRoman"/>
      <w:lvlText w:val="%6."/>
      <w:lvlJc w:val="right"/>
      <w:pPr>
        <w:tabs>
          <w:tab w:val="num" w:pos="4320"/>
        </w:tabs>
        <w:ind w:left="4320" w:hanging="180"/>
      </w:pPr>
    </w:lvl>
    <w:lvl w:ilvl="6" w:tplc="BD085D6E" w:tentative="1">
      <w:start w:val="1"/>
      <w:numFmt w:val="decimal"/>
      <w:lvlText w:val="%7."/>
      <w:lvlJc w:val="left"/>
      <w:pPr>
        <w:tabs>
          <w:tab w:val="num" w:pos="5040"/>
        </w:tabs>
        <w:ind w:left="5040" w:hanging="360"/>
      </w:pPr>
    </w:lvl>
    <w:lvl w:ilvl="7" w:tplc="AD1C8C50" w:tentative="1">
      <w:start w:val="1"/>
      <w:numFmt w:val="lowerLetter"/>
      <w:lvlText w:val="%8."/>
      <w:lvlJc w:val="left"/>
      <w:pPr>
        <w:tabs>
          <w:tab w:val="num" w:pos="5760"/>
        </w:tabs>
        <w:ind w:left="5760" w:hanging="360"/>
      </w:pPr>
    </w:lvl>
    <w:lvl w:ilvl="8" w:tplc="618A4D54" w:tentative="1">
      <w:start w:val="1"/>
      <w:numFmt w:val="lowerRoman"/>
      <w:lvlText w:val="%9."/>
      <w:lvlJc w:val="right"/>
      <w:pPr>
        <w:tabs>
          <w:tab w:val="num" w:pos="6480"/>
        </w:tabs>
        <w:ind w:left="6480" w:hanging="180"/>
      </w:pPr>
    </w:lvl>
  </w:abstractNum>
  <w:num w:numId="1">
    <w:abstractNumId w:val="2"/>
  </w:num>
  <w:num w:numId="2">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3">
    <w:abstractNumId w:val="5"/>
  </w:num>
  <w:num w:numId="4">
    <w:abstractNumId w:val="4"/>
  </w:num>
  <w:num w:numId="5">
    <w:abstractNumId w:val="7"/>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B95A14"/>
    <w:rsid w:val="00012E8E"/>
    <w:rsid w:val="0010238B"/>
    <w:rsid w:val="00291352"/>
    <w:rsid w:val="00343128"/>
    <w:rsid w:val="004844BC"/>
    <w:rsid w:val="00540C0E"/>
    <w:rsid w:val="00733D6B"/>
    <w:rsid w:val="00765473"/>
    <w:rsid w:val="0079513D"/>
    <w:rsid w:val="007E258B"/>
    <w:rsid w:val="00885BEF"/>
    <w:rsid w:val="008D5434"/>
    <w:rsid w:val="008F5847"/>
    <w:rsid w:val="00AE02A5"/>
    <w:rsid w:val="00B95A14"/>
    <w:rsid w:val="00C51EBD"/>
    <w:rsid w:val="00D23011"/>
    <w:rsid w:val="00D375BC"/>
    <w:rsid w:val="00E66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4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844BC"/>
    <w:pPr>
      <w:ind w:left="1980"/>
    </w:pPr>
  </w:style>
  <w:style w:type="character" w:styleId="Hyperlink">
    <w:name w:val="Hyperlink"/>
    <w:basedOn w:val="DefaultParagraphFont"/>
    <w:semiHidden/>
    <w:rsid w:val="004844BC"/>
    <w:rPr>
      <w:color w:val="0000FF"/>
      <w:u w:val="single"/>
    </w:rPr>
  </w:style>
  <w:style w:type="paragraph" w:styleId="BodyTextIndent2">
    <w:name w:val="Body Text Indent 2"/>
    <w:basedOn w:val="Normal"/>
    <w:semiHidden/>
    <w:rsid w:val="004844BC"/>
    <w:pPr>
      <w:ind w:left="360"/>
    </w:pPr>
  </w:style>
  <w:style w:type="character" w:customStyle="1" w:styleId="a">
    <w:name w:val="À"/>
    <w:basedOn w:val="DefaultParagraphFont"/>
    <w:rsid w:val="004844BC"/>
  </w:style>
  <w:style w:type="paragraph" w:styleId="BodyTextIndent3">
    <w:name w:val="Body Text Indent 3"/>
    <w:basedOn w:val="Normal"/>
    <w:semiHidden/>
    <w:rsid w:val="004844BC"/>
    <w:pPr>
      <w:ind w:left="340" w:firstLine="20"/>
    </w:pPr>
    <w:rPr>
      <w:i/>
      <w:iCs/>
    </w:rPr>
  </w:style>
  <w:style w:type="paragraph" w:styleId="BodyText">
    <w:name w:val="Body Text"/>
    <w:basedOn w:val="Normal"/>
    <w:semiHidden/>
    <w:rsid w:val="004844BC"/>
    <w:pPr>
      <w:tabs>
        <w:tab w:val="left" w:pos="-720"/>
        <w:tab w:val="left" w:pos="1247"/>
      </w:tabs>
      <w:suppressAutoHyphens/>
    </w:pPr>
    <w:rPr>
      <w:i/>
      <w:iCs/>
    </w:rPr>
  </w:style>
  <w:style w:type="paragraph" w:customStyle="1" w:styleId="Text">
    <w:name w:val="Text"/>
    <w:rsid w:val="0079513D"/>
    <w:pPr>
      <w:widowControl w:val="0"/>
      <w:spacing w:after="60" w:line="360" w:lineRule="auto"/>
      <w:ind w:firstLine="720"/>
    </w:pPr>
    <w:rPr>
      <w:rFonts w:ascii="Book Antiqua" w:hAnsi="Book Antiqua"/>
      <w:noProof/>
      <w:sz w:val="22"/>
      <w:szCs w:val="28"/>
    </w:rPr>
  </w:style>
  <w:style w:type="character" w:styleId="CommentReference">
    <w:name w:val="annotation reference"/>
    <w:basedOn w:val="DefaultParagraphFont"/>
    <w:uiPriority w:val="99"/>
    <w:semiHidden/>
    <w:unhideWhenUsed/>
    <w:rsid w:val="00765473"/>
    <w:rPr>
      <w:sz w:val="16"/>
      <w:szCs w:val="16"/>
    </w:rPr>
  </w:style>
  <w:style w:type="paragraph" w:styleId="CommentText">
    <w:name w:val="annotation text"/>
    <w:basedOn w:val="Normal"/>
    <w:link w:val="CommentTextChar"/>
    <w:uiPriority w:val="99"/>
    <w:semiHidden/>
    <w:unhideWhenUsed/>
    <w:rsid w:val="00765473"/>
    <w:rPr>
      <w:sz w:val="20"/>
      <w:szCs w:val="20"/>
    </w:rPr>
  </w:style>
  <w:style w:type="character" w:customStyle="1" w:styleId="CommentTextChar">
    <w:name w:val="Comment Text Char"/>
    <w:basedOn w:val="DefaultParagraphFont"/>
    <w:link w:val="CommentText"/>
    <w:uiPriority w:val="99"/>
    <w:semiHidden/>
    <w:rsid w:val="00765473"/>
  </w:style>
  <w:style w:type="paragraph" w:styleId="CommentSubject">
    <w:name w:val="annotation subject"/>
    <w:basedOn w:val="CommentText"/>
    <w:next w:val="CommentText"/>
    <w:link w:val="CommentSubjectChar"/>
    <w:uiPriority w:val="99"/>
    <w:semiHidden/>
    <w:unhideWhenUsed/>
    <w:rsid w:val="00765473"/>
    <w:rPr>
      <w:b/>
      <w:bCs/>
    </w:rPr>
  </w:style>
  <w:style w:type="character" w:customStyle="1" w:styleId="CommentSubjectChar">
    <w:name w:val="Comment Subject Char"/>
    <w:basedOn w:val="CommentTextChar"/>
    <w:link w:val="CommentSubject"/>
    <w:uiPriority w:val="99"/>
    <w:semiHidden/>
    <w:rsid w:val="00765473"/>
    <w:rPr>
      <w:b/>
      <w:bCs/>
    </w:rPr>
  </w:style>
  <w:style w:type="paragraph" w:styleId="BalloonText">
    <w:name w:val="Balloon Text"/>
    <w:basedOn w:val="Normal"/>
    <w:link w:val="BalloonTextChar"/>
    <w:uiPriority w:val="99"/>
    <w:semiHidden/>
    <w:unhideWhenUsed/>
    <w:rsid w:val="00765473"/>
    <w:rPr>
      <w:rFonts w:ascii="Tahoma" w:hAnsi="Tahoma" w:cs="Tahoma"/>
      <w:sz w:val="16"/>
      <w:szCs w:val="16"/>
    </w:rPr>
  </w:style>
  <w:style w:type="character" w:customStyle="1" w:styleId="BalloonTextChar">
    <w:name w:val="Balloon Text Char"/>
    <w:basedOn w:val="DefaultParagraphFont"/>
    <w:link w:val="BalloonText"/>
    <w:uiPriority w:val="99"/>
    <w:semiHidden/>
    <w:rsid w:val="00765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2251</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Education</Company>
  <LinksUpToDate>false</LinksUpToDate>
  <CharactersWithSpaces>14806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ESSJACOBS</dc:creator>
  <cp:lastModifiedBy>Authorised User</cp:lastModifiedBy>
  <cp:revision>3</cp:revision>
  <cp:lastPrinted>2002-02-12T19:54:00Z</cp:lastPrinted>
  <dcterms:created xsi:type="dcterms:W3CDTF">2009-09-03T13:53:00Z</dcterms:created>
  <dcterms:modified xsi:type="dcterms:W3CDTF">2009-11-17T14:57:00Z</dcterms:modified>
</cp:coreProperties>
</file>