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96C" w:rsidRDefault="00D3796C">
      <w:pPr>
        <w:pStyle w:val="Title"/>
      </w:pPr>
      <w:r>
        <w:t>SUPPORTING STATEMENT</w:t>
      </w:r>
    </w:p>
    <w:p w:rsidR="00D3796C" w:rsidRDefault="00D3796C">
      <w:pPr>
        <w:pStyle w:val="Heading1"/>
        <w:rPr>
          <w:b/>
          <w:bCs/>
        </w:rPr>
      </w:pPr>
      <w:r>
        <w:rPr>
          <w:b/>
          <w:bCs/>
        </w:rPr>
        <w:t>JUSTIFICATION</w:t>
      </w:r>
    </w:p>
    <w:p w:rsidR="00D3796C" w:rsidRDefault="00D3796C">
      <w:pPr>
        <w:rPr>
          <w:sz w:val="24"/>
        </w:rPr>
      </w:pPr>
    </w:p>
    <w:p w:rsidR="00D3796C" w:rsidRDefault="00D3796C">
      <w:pPr>
        <w:pStyle w:val="BodyText"/>
        <w:ind w:left="720"/>
      </w:pPr>
      <w:r>
        <w:t>Q1.  Explain the circumstances that make the collection of information necessary.  Identify any legal or administrative requirements that necessitate the collection.  Attached is a copy of the appropriate section of each statute and regulation mandating or authorizing the collection of information.</w:t>
      </w:r>
    </w:p>
    <w:p w:rsidR="00D3796C" w:rsidRDefault="00D3796C">
      <w:pPr>
        <w:ind w:left="720"/>
        <w:rPr>
          <w:sz w:val="24"/>
        </w:rPr>
      </w:pPr>
    </w:p>
    <w:p w:rsidR="00D3796C" w:rsidRDefault="00D3796C">
      <w:pPr>
        <w:pStyle w:val="BodyText2"/>
        <w:ind w:left="720"/>
      </w:pPr>
      <w:r>
        <w:t xml:space="preserve">The Secretary reviewed the Title I regulations </w:t>
      </w:r>
      <w:r>
        <w:rPr>
          <w:szCs w:val="24"/>
        </w:rPr>
        <w:t>issued in October 2008 (73 FR 64436 (</w:t>
      </w:r>
      <w:smartTag w:uri="urn:schemas-microsoft-com:office:smarttags" w:element="date">
        <w:smartTagPr>
          <w:attr w:name="Month" w:val="10"/>
          <w:attr w:name="Day" w:val="29"/>
          <w:attr w:name="Year" w:val="2008"/>
        </w:smartTagPr>
        <w:r>
          <w:rPr>
            <w:szCs w:val="24"/>
          </w:rPr>
          <w:t>Oct. 29, 2008</w:t>
        </w:r>
      </w:smartTag>
      <w:r>
        <w:rPr>
          <w:szCs w:val="24"/>
        </w:rPr>
        <w:t>))</w:t>
      </w:r>
      <w:r>
        <w:t xml:space="preserve"> and sent a letter to all Chief State School Officers discussing the Title I regulations.  The Secretary </w:t>
      </w:r>
      <w:r w:rsidR="00B506E4">
        <w:t xml:space="preserve">indicated </w:t>
      </w:r>
      <w:r>
        <w:t>in that letter that he w</w:t>
      </w:r>
      <w:r w:rsidR="00B506E4">
        <w:t>ould</w:t>
      </w:r>
      <w:r>
        <w:t xml:space="preserve"> consider, in accordance with his authority under section 9401 of the Elementary and Secondary Education Act (ESEA), requests for waivers of two Title I, Part A regulatory provisions governing the implementation of public school choice and supplemental educational services (SES).  Additionally, although not specifically mentioned in that letter, the Secretary </w:t>
      </w:r>
      <w:r w:rsidR="00B506E4">
        <w:t>is</w:t>
      </w:r>
      <w:r>
        <w:t xml:space="preserve"> also consider</w:t>
      </w:r>
      <w:r w:rsidR="0025681A">
        <w:t>ing</w:t>
      </w:r>
      <w:r>
        <w:t xml:space="preserve"> requests for waivers related to another requirement governing the implementation of SES.  </w:t>
      </w:r>
    </w:p>
    <w:p w:rsidR="00D3796C" w:rsidRDefault="00D3796C">
      <w:pPr>
        <w:pStyle w:val="BodyText2"/>
        <w:ind w:left="720"/>
      </w:pPr>
    </w:p>
    <w:p w:rsidR="00D3796C" w:rsidRDefault="00D3796C">
      <w:pPr>
        <w:pStyle w:val="BodyText2"/>
        <w:ind w:left="720"/>
      </w:pPr>
      <w:r>
        <w:t>In addition, the U.S. Department of Education (ED) inform</w:t>
      </w:r>
      <w:r w:rsidR="00B506E4">
        <w:t>ed</w:t>
      </w:r>
      <w:r>
        <w:t xml:space="preserve"> State educational agencies (SEAs) that it w</w:t>
      </w:r>
      <w:r w:rsidR="00B506E4">
        <w:t>ould</w:t>
      </w:r>
      <w:r>
        <w:t xml:space="preserve"> consider </w:t>
      </w:r>
      <w:r w:rsidR="0025681A">
        <w:t xml:space="preserve">requests for </w:t>
      </w:r>
      <w:r>
        <w:t>waivers of certain statutory requirements that govern the use of Title I, Part A funds, as those requirements relate to funds allocated under the American Recovery and Reinvestment Act of 2009 (ARRA).  The waivers of requirements related to the use of Title I, Part A ARRA funds will be granted under section 9401 of the ESEA.</w:t>
      </w:r>
    </w:p>
    <w:p w:rsidR="00D3796C" w:rsidRDefault="00D3796C">
      <w:pPr>
        <w:pStyle w:val="BodyText2"/>
        <w:ind w:left="720"/>
      </w:pPr>
    </w:p>
    <w:p w:rsidR="00D3796C" w:rsidRDefault="00D3796C">
      <w:pPr>
        <w:pStyle w:val="BodyText2"/>
        <w:ind w:left="720"/>
      </w:pPr>
      <w:r>
        <w:t>Third, ED informed SEAs and local educational agencies (LEAs) that it would consider requests to waive the maintenance of effort</w:t>
      </w:r>
      <w:r w:rsidR="00C43982">
        <w:t xml:space="preserve"> (MOE)</w:t>
      </w:r>
      <w:r>
        <w:t xml:space="preserve"> requirements in sections 1120A(a) and 9521 of the ESEA.  These waivers will be granted under section 9521 of the ESEA.  </w:t>
      </w:r>
    </w:p>
    <w:p w:rsidR="00D3796C" w:rsidRDefault="00D3796C">
      <w:pPr>
        <w:pStyle w:val="BodyText2"/>
        <w:ind w:left="720"/>
      </w:pPr>
    </w:p>
    <w:p w:rsidR="00575D22" w:rsidRDefault="00D3796C">
      <w:pPr>
        <w:pStyle w:val="BodyText2"/>
        <w:ind w:left="720"/>
      </w:pPr>
      <w:r>
        <w:t>ED need</w:t>
      </w:r>
      <w:r w:rsidR="00B506E4">
        <w:t>ed</w:t>
      </w:r>
      <w:r>
        <w:t xml:space="preserve"> to indicate to SEAs and LEAs how they c</w:t>
      </w:r>
      <w:r w:rsidR="00B506E4">
        <w:t>ould</w:t>
      </w:r>
      <w:r>
        <w:t xml:space="preserve"> receive one or more of the foregoing waivers.  To assist with this process, ED issue</w:t>
      </w:r>
      <w:r w:rsidR="00B506E4">
        <w:t>d</w:t>
      </w:r>
      <w:r>
        <w:t xml:space="preserve"> guidance on obtaining waivers</w:t>
      </w:r>
      <w:r w:rsidR="0025681A">
        <w:t xml:space="preserve"> (Waiver Guidance)</w:t>
      </w:r>
      <w:r>
        <w:t xml:space="preserve">.  The </w:t>
      </w:r>
      <w:r w:rsidR="0025681A">
        <w:t>Waiver G</w:t>
      </w:r>
      <w:r>
        <w:t xml:space="preserve">uidance identifies the information that must be submitted to ED with the waiver request in accordance with section 9401 or 9521 of the ESEA, as applicable.  The </w:t>
      </w:r>
      <w:r w:rsidR="0025681A">
        <w:t>Waiver G</w:t>
      </w:r>
      <w:r>
        <w:t>uidance, therefore, includes information collections (i.e., the information required by the ESEA for ED to grant waivers)</w:t>
      </w:r>
      <w:r w:rsidR="00575D22">
        <w:t xml:space="preserve"> for which ED obtained emergency approval from the Office of Management and Budget (OMB)</w:t>
      </w:r>
      <w:r>
        <w:t>.</w:t>
      </w:r>
    </w:p>
    <w:p w:rsidR="00575D22" w:rsidRDefault="00575D22">
      <w:pPr>
        <w:pStyle w:val="BodyText2"/>
        <w:ind w:left="720"/>
      </w:pPr>
    </w:p>
    <w:p w:rsidR="00D3796C" w:rsidRDefault="006C66D6">
      <w:pPr>
        <w:pStyle w:val="BodyText2"/>
        <w:ind w:left="720"/>
      </w:pPr>
      <w:r>
        <w:t xml:space="preserve">ED also </w:t>
      </w:r>
      <w:r w:rsidR="00C43982">
        <w:t>recognized that it would need</w:t>
      </w:r>
      <w:r>
        <w:t xml:space="preserve"> regular approval of the information colle</w:t>
      </w:r>
      <w:r w:rsidR="002E3B34">
        <w:t>ction activities</w:t>
      </w:r>
      <w:r w:rsidR="00C43982">
        <w:t xml:space="preserve"> in the Waiver Guidance because s</w:t>
      </w:r>
      <w:r w:rsidR="00FD0E43">
        <w:t xml:space="preserve">ome of the </w:t>
      </w:r>
      <w:r w:rsidR="002E3B34">
        <w:t>activities</w:t>
      </w:r>
      <w:r w:rsidR="00FD0E43">
        <w:t xml:space="preserve"> will </w:t>
      </w:r>
      <w:r w:rsidR="0062662E">
        <w:t>occur</w:t>
      </w:r>
      <w:r w:rsidR="00FD0E43">
        <w:t xml:space="preserve"> after the emergency approval</w:t>
      </w:r>
      <w:r w:rsidR="0062662E">
        <w:t xml:space="preserve"> expires on </w:t>
      </w:r>
      <w:smartTag w:uri="urn:schemas-microsoft-com:office:smarttags" w:element="date">
        <w:smartTagPr>
          <w:attr w:name="Month" w:val="1"/>
          <w:attr w:name="Day" w:val="31"/>
          <w:attr w:name="Year" w:val="2010"/>
        </w:smartTagPr>
        <w:r w:rsidR="0062662E">
          <w:t>January 31, 2010</w:t>
        </w:r>
      </w:smartTag>
      <w:r w:rsidR="00C43982">
        <w:t xml:space="preserve">.  For example, due to the timing of the Title I, Part A MOE process, ED expects the bulk of the MOE </w:t>
      </w:r>
      <w:r w:rsidR="0025681A">
        <w:t xml:space="preserve">waiver </w:t>
      </w:r>
      <w:r w:rsidR="00C43982">
        <w:t xml:space="preserve">requests </w:t>
      </w:r>
      <w:r w:rsidR="00033EF4">
        <w:t xml:space="preserve">to </w:t>
      </w:r>
      <w:r w:rsidR="0025681A">
        <w:t>be submitted</w:t>
      </w:r>
      <w:r w:rsidR="00033EF4">
        <w:t xml:space="preserve"> after next January.  In add</w:t>
      </w:r>
      <w:r w:rsidR="0025681A">
        <w:t>i</w:t>
      </w:r>
      <w:r w:rsidR="00033EF4">
        <w:t xml:space="preserve">tion, by September </w:t>
      </w:r>
      <w:r w:rsidR="0025681A">
        <w:t xml:space="preserve">30, </w:t>
      </w:r>
      <w:r w:rsidR="00033EF4">
        <w:t xml:space="preserve">2010 SEAs must report on waivers </w:t>
      </w:r>
      <w:r w:rsidR="00AB3367">
        <w:t>already approv</w:t>
      </w:r>
      <w:r w:rsidR="0025681A">
        <w:t>e</w:t>
      </w:r>
      <w:r w:rsidR="00AB3367">
        <w:t>d by ED in accordance with section 9401.  Therefore</w:t>
      </w:r>
      <w:r w:rsidR="0025681A">
        <w:t>,</w:t>
      </w:r>
      <w:r w:rsidR="00AB3367">
        <w:t xml:space="preserve"> the </w:t>
      </w:r>
      <w:r w:rsidR="001F4FDD">
        <w:rPr>
          <w:i/>
        </w:rPr>
        <w:t>Federal Register</w:t>
      </w:r>
      <w:r w:rsidR="001F4FDD">
        <w:t xml:space="preserve"> </w:t>
      </w:r>
      <w:r w:rsidR="0025681A">
        <w:t>N</w:t>
      </w:r>
      <w:r w:rsidR="00E96303">
        <w:t>otice indicated that ED was requesting emergency approval and regular approval of the Waiver Gui</w:t>
      </w:r>
      <w:r w:rsidR="0025681A">
        <w:t>d</w:t>
      </w:r>
      <w:r w:rsidR="00E96303">
        <w:t>ance.</w:t>
      </w:r>
      <w:r w:rsidR="00C43982">
        <w:t xml:space="preserve"> </w:t>
      </w:r>
      <w:r w:rsidR="00FD0E43">
        <w:t xml:space="preserve"> </w:t>
      </w:r>
      <w:r>
        <w:t xml:space="preserve"> </w:t>
      </w:r>
      <w:r w:rsidR="00D3796C">
        <w:t xml:space="preserve">     </w:t>
      </w:r>
    </w:p>
    <w:p w:rsidR="00D3796C" w:rsidRDefault="00D3796C">
      <w:pPr>
        <w:pStyle w:val="BodyText2"/>
      </w:pPr>
      <w:r>
        <w:t xml:space="preserve">       </w:t>
      </w:r>
    </w:p>
    <w:p w:rsidR="00D3796C" w:rsidRDefault="00D3796C">
      <w:pPr>
        <w:pStyle w:val="BodyTextIndent3"/>
      </w:pPr>
      <w:r>
        <w:t>Q2.  Indicate how, by whom, and for what purpose the information is to be used.  Except for a new collection, indicate the actual use the agency has made of the information received from the current collection.</w:t>
      </w:r>
    </w:p>
    <w:p w:rsidR="00D3796C" w:rsidRDefault="00D3796C">
      <w:pPr>
        <w:ind w:left="1440"/>
        <w:rPr>
          <w:sz w:val="24"/>
        </w:rPr>
      </w:pPr>
    </w:p>
    <w:p w:rsidR="00D3796C" w:rsidRDefault="00D3796C">
      <w:pPr>
        <w:pStyle w:val="BodyText2"/>
        <w:ind w:left="720"/>
      </w:pPr>
      <w:r>
        <w:t xml:space="preserve">ED will review the information provided in the waiver requests to determine whether to </w:t>
      </w:r>
      <w:r w:rsidR="0025681A">
        <w:t>grant the waivers requested</w:t>
      </w:r>
      <w:r>
        <w:t>.</w:t>
      </w:r>
    </w:p>
    <w:p w:rsidR="00D3796C" w:rsidRDefault="00D3796C">
      <w:pPr>
        <w:ind w:left="720"/>
        <w:rPr>
          <w:sz w:val="24"/>
        </w:rPr>
      </w:pPr>
    </w:p>
    <w:p w:rsidR="00D3796C" w:rsidRDefault="00D3796C">
      <w:pPr>
        <w:ind w:left="720"/>
        <w:rPr>
          <w:i/>
          <w:iCs/>
          <w:sz w:val="24"/>
        </w:rPr>
      </w:pPr>
      <w:r>
        <w:rPr>
          <w:i/>
          <w:iCs/>
          <w:sz w:val="24"/>
        </w:rPr>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D3796C" w:rsidRDefault="00D3796C">
      <w:pPr>
        <w:ind w:left="720"/>
        <w:rPr>
          <w:sz w:val="24"/>
        </w:rPr>
      </w:pPr>
    </w:p>
    <w:p w:rsidR="00D3796C" w:rsidRDefault="00D3796C">
      <w:pPr>
        <w:pStyle w:val="BodyText2"/>
        <w:ind w:left="720"/>
      </w:pPr>
      <w:r>
        <w:t xml:space="preserve">Waiver requests may be submitted to ED by e-mail or in hard copy.  In an effort to reduce administrative burdens, ED indicates in the </w:t>
      </w:r>
      <w:r w:rsidR="0025681A">
        <w:t>Waiver G</w:t>
      </w:r>
      <w:r>
        <w:t xml:space="preserve">uidance that e-mail is the preferred method of submission. </w:t>
      </w:r>
    </w:p>
    <w:p w:rsidR="00D3796C" w:rsidRDefault="00D3796C">
      <w:pPr>
        <w:ind w:left="720"/>
        <w:rPr>
          <w:sz w:val="24"/>
        </w:rPr>
      </w:pPr>
    </w:p>
    <w:p w:rsidR="00D3796C" w:rsidRDefault="00D3796C">
      <w:pPr>
        <w:pStyle w:val="BodyText"/>
        <w:ind w:left="720"/>
        <w:rPr>
          <w:iCs/>
        </w:rPr>
      </w:pPr>
      <w:r>
        <w:rPr>
          <w:iCs/>
        </w:rPr>
        <w:t>Q4.  Describe efforts to identify duplication.  Show specifically why any similar information already available cannot be used or modified for use of the purposes described in Item 2 above.</w:t>
      </w:r>
    </w:p>
    <w:p w:rsidR="00D3796C" w:rsidRDefault="00D3796C">
      <w:pPr>
        <w:ind w:left="1080"/>
        <w:rPr>
          <w:sz w:val="24"/>
        </w:rPr>
      </w:pPr>
    </w:p>
    <w:p w:rsidR="00D3796C" w:rsidRDefault="00D3796C">
      <w:pPr>
        <w:ind w:left="720"/>
        <w:rPr>
          <w:sz w:val="24"/>
        </w:rPr>
      </w:pPr>
      <w:r>
        <w:rPr>
          <w:sz w:val="24"/>
        </w:rPr>
        <w:t xml:space="preserve">There is no duplication in the collection.  </w:t>
      </w:r>
    </w:p>
    <w:p w:rsidR="00D3796C" w:rsidRDefault="00D3796C">
      <w:pPr>
        <w:ind w:left="720"/>
        <w:rPr>
          <w:sz w:val="24"/>
        </w:rPr>
      </w:pPr>
    </w:p>
    <w:p w:rsidR="00D3796C" w:rsidRDefault="00D3796C">
      <w:pPr>
        <w:pStyle w:val="BodyText"/>
        <w:ind w:left="720"/>
      </w:pPr>
      <w:r>
        <w:t>Q5.  If the collection of information impacts small businesses or other small entities (Item 5 of OMB Form 83-I), describe any methods used to minimize burden.</w:t>
      </w:r>
    </w:p>
    <w:p w:rsidR="00D3796C" w:rsidRDefault="00D3796C">
      <w:pPr>
        <w:ind w:left="720"/>
        <w:rPr>
          <w:sz w:val="24"/>
        </w:rPr>
      </w:pPr>
    </w:p>
    <w:p w:rsidR="00D3796C" w:rsidRDefault="00D3796C">
      <w:pPr>
        <w:pStyle w:val="BodyText2"/>
        <w:ind w:left="720"/>
      </w:pPr>
      <w:r>
        <w:t xml:space="preserve">Consistent with all ESEA requirements, in the </w:t>
      </w:r>
      <w:r w:rsidR="0025681A">
        <w:t>W</w:t>
      </w:r>
      <w:r>
        <w:t xml:space="preserve">aiver </w:t>
      </w:r>
      <w:r w:rsidR="0025681A">
        <w:t>G</w:t>
      </w:r>
      <w:r>
        <w:t>uidance, ED encourages SEAs to submit waiver requests on behalf of their LEAs, including small LEAs.  This approach will help minimize burden on small LEAs while still enabling them to implement a waiver.</w:t>
      </w:r>
    </w:p>
    <w:p w:rsidR="00D3796C" w:rsidRDefault="00D3796C">
      <w:pPr>
        <w:ind w:left="720"/>
        <w:rPr>
          <w:sz w:val="24"/>
        </w:rPr>
      </w:pPr>
    </w:p>
    <w:p w:rsidR="00D3796C" w:rsidRDefault="00D3796C">
      <w:pPr>
        <w:pStyle w:val="BodyText"/>
        <w:ind w:left="720"/>
      </w:pPr>
      <w:r>
        <w:t>Q6.  Describe the consequences to Federal program or policy activities if the collection is not conducted or is conducted less frequently, as well as any technical or legal obstacles to reducing burden.</w:t>
      </w:r>
    </w:p>
    <w:p w:rsidR="00D3796C" w:rsidRDefault="00D3796C">
      <w:pPr>
        <w:ind w:left="720"/>
        <w:rPr>
          <w:sz w:val="24"/>
        </w:rPr>
      </w:pPr>
    </w:p>
    <w:p w:rsidR="00D3796C" w:rsidRDefault="00D3796C">
      <w:pPr>
        <w:pStyle w:val="BodyText2"/>
        <w:ind w:left="720"/>
      </w:pPr>
      <w:r>
        <w:t>If the collection is not conducted, ED will not be able to obtain the information it needs to review and grant waiver requests with respect to the use of Title I, Part A ARRA funds, with respect to certain Title I, Part A statutory and regulatory provisions related to public school choice and SES, including those discussed in the Secretary’s letter, and with respect to Title I</w:t>
      </w:r>
      <w:r w:rsidR="0038270D">
        <w:t>, Part A</w:t>
      </w:r>
      <w:r>
        <w:t xml:space="preserve"> </w:t>
      </w:r>
      <w:r w:rsidR="0038270D">
        <w:t>MOE</w:t>
      </w:r>
      <w:r>
        <w:t xml:space="preserve"> requirements.  </w:t>
      </w:r>
    </w:p>
    <w:p w:rsidR="00D3796C" w:rsidRDefault="00D3796C">
      <w:pPr>
        <w:ind w:left="720"/>
        <w:rPr>
          <w:sz w:val="24"/>
        </w:rPr>
      </w:pPr>
    </w:p>
    <w:p w:rsidR="00D3796C" w:rsidRDefault="00D3796C">
      <w:pPr>
        <w:pStyle w:val="BodyText"/>
        <w:ind w:left="720"/>
      </w:pPr>
      <w:r>
        <w:t>Q7.  Explain any special circumstance that would cause an information collection to be conducted in a manner:</w:t>
      </w:r>
    </w:p>
    <w:p w:rsidR="00D3796C" w:rsidRDefault="00D3796C">
      <w:pPr>
        <w:ind w:left="720"/>
        <w:rPr>
          <w:i/>
        </w:rPr>
      </w:pPr>
    </w:p>
    <w:p w:rsidR="00D3796C" w:rsidRDefault="00D3796C">
      <w:pPr>
        <w:pStyle w:val="Style"/>
        <w:numPr>
          <w:ilvl w:val="0"/>
          <w:numId w:val="7"/>
        </w:numPr>
        <w:tabs>
          <w:tab w:val="clear" w:pos="360"/>
          <w:tab w:val="left" w:pos="-360"/>
          <w:tab w:val="left" w:pos="0"/>
          <w:tab w:val="left" w:pos="270"/>
          <w:tab w:val="num" w:pos="1080"/>
        </w:tabs>
        <w:ind w:left="1080"/>
        <w:rPr>
          <w:i/>
        </w:rPr>
      </w:pPr>
      <w:r>
        <w:rPr>
          <w:i/>
        </w:rPr>
        <w:t>requiring respondents to report information to the agency more often than quarterly;</w:t>
      </w:r>
    </w:p>
    <w:p w:rsidR="00D3796C" w:rsidRDefault="00D3796C">
      <w:pPr>
        <w:pStyle w:val="Style"/>
        <w:numPr>
          <w:ilvl w:val="0"/>
          <w:numId w:val="7"/>
        </w:numPr>
        <w:tabs>
          <w:tab w:val="clear" w:pos="360"/>
          <w:tab w:val="left" w:pos="-360"/>
          <w:tab w:val="left" w:pos="0"/>
          <w:tab w:val="num" w:pos="1080"/>
        </w:tabs>
        <w:ind w:left="1080"/>
        <w:rPr>
          <w:i/>
        </w:rPr>
      </w:pPr>
      <w:r>
        <w:rPr>
          <w:i/>
        </w:rPr>
        <w:t>requiring respondents to prepare a written response to a collection of information in fewer than 30 days after receipt of it;</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submit more than an original and two copies of any document;</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retain records, other than health, medical, government contract, grant-in-aid, or tax records for more than three years;</w:t>
      </w:r>
    </w:p>
    <w:p w:rsidR="00D3796C" w:rsidRDefault="00D3796C">
      <w:pPr>
        <w:pStyle w:val="Style"/>
        <w:numPr>
          <w:ilvl w:val="0"/>
          <w:numId w:val="7"/>
        </w:numPr>
        <w:tabs>
          <w:tab w:val="clear" w:pos="360"/>
          <w:tab w:val="left" w:pos="-360"/>
          <w:tab w:val="left" w:pos="0"/>
          <w:tab w:val="num" w:pos="1080"/>
          <w:tab w:val="left" w:pos="1440"/>
        </w:tabs>
        <w:ind w:left="1080"/>
        <w:rPr>
          <w:i/>
        </w:rPr>
      </w:pPr>
      <w:r>
        <w:rPr>
          <w:i/>
        </w:rPr>
        <w:t xml:space="preserve">in connection with a statistical survey, that is not designed to produce valid and reliable </w:t>
      </w:r>
      <w:r>
        <w:rPr>
          <w:i/>
        </w:rPr>
        <w:lastRenderedPageBreak/>
        <w:t>results that can be generalized to the universe of study;</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the use of a statistical data classification that has not been reviewed and approved by OMB;</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submit proprietary trade secrets, or other confidential information unless the agency can demonstrate that it has instituted procedures to protect the information's confidentiality to the extent permitted by law.</w:t>
      </w:r>
    </w:p>
    <w:p w:rsidR="00D3796C" w:rsidRDefault="00D3796C">
      <w:pPr>
        <w:ind w:left="720"/>
        <w:rPr>
          <w:sz w:val="24"/>
        </w:rPr>
      </w:pPr>
    </w:p>
    <w:p w:rsidR="00D3796C" w:rsidRDefault="00D3796C">
      <w:pPr>
        <w:ind w:left="720"/>
        <w:rPr>
          <w:sz w:val="24"/>
        </w:rPr>
      </w:pPr>
      <w:r>
        <w:rPr>
          <w:sz w:val="24"/>
        </w:rPr>
        <w:t xml:space="preserve">This collection is consistent with 5 CFR 1320.5. </w:t>
      </w:r>
    </w:p>
    <w:p w:rsidR="00D3796C" w:rsidRDefault="00D3796C">
      <w:pPr>
        <w:pStyle w:val="Header"/>
        <w:tabs>
          <w:tab w:val="clear" w:pos="4320"/>
          <w:tab w:val="clear" w:pos="8640"/>
        </w:tabs>
        <w:ind w:left="720"/>
        <w:rPr>
          <w:sz w:val="24"/>
        </w:rPr>
      </w:pPr>
    </w:p>
    <w:p w:rsidR="00D3796C" w:rsidRDefault="00D3796C">
      <w:pPr>
        <w:tabs>
          <w:tab w:val="left" w:pos="-360"/>
          <w:tab w:val="left" w:pos="0"/>
          <w:tab w:val="left" w:pos="270"/>
          <w:tab w:val="left" w:pos="1440"/>
        </w:tabs>
        <w:ind w:left="720"/>
        <w:rPr>
          <w:i/>
          <w:sz w:val="24"/>
        </w:rPr>
      </w:pPr>
      <w:r>
        <w:rPr>
          <w:i/>
          <w:sz w:val="24"/>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D3796C" w:rsidRDefault="00D3796C">
      <w:pPr>
        <w:tabs>
          <w:tab w:val="left" w:pos="-360"/>
          <w:tab w:val="left" w:pos="0"/>
          <w:tab w:val="left" w:pos="270"/>
          <w:tab w:val="left" w:pos="1440"/>
        </w:tabs>
        <w:ind w:left="720"/>
        <w:rPr>
          <w:i/>
          <w:sz w:val="24"/>
        </w:rPr>
      </w:pPr>
    </w:p>
    <w:p w:rsidR="00D3796C" w:rsidRDefault="00D3796C">
      <w:pPr>
        <w:tabs>
          <w:tab w:val="left" w:pos="-360"/>
          <w:tab w:val="left" w:pos="0"/>
          <w:tab w:val="left" w:pos="270"/>
          <w:tab w:val="left" w:pos="1440"/>
        </w:tabs>
        <w:ind w:left="720"/>
        <w:rPr>
          <w:i/>
          <w:sz w:val="24"/>
        </w:rPr>
      </w:pPr>
      <w:r>
        <w:rPr>
          <w:i/>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3796C" w:rsidRDefault="00D3796C">
      <w:pPr>
        <w:tabs>
          <w:tab w:val="left" w:pos="-360"/>
          <w:tab w:val="left" w:pos="0"/>
          <w:tab w:val="left" w:pos="270"/>
          <w:tab w:val="left" w:pos="1440"/>
        </w:tabs>
        <w:ind w:left="720"/>
        <w:rPr>
          <w:i/>
          <w:sz w:val="24"/>
        </w:rPr>
      </w:pPr>
    </w:p>
    <w:p w:rsidR="00D3796C" w:rsidRDefault="00D3796C">
      <w:pPr>
        <w:pStyle w:val="Header"/>
        <w:tabs>
          <w:tab w:val="clear" w:pos="4320"/>
          <w:tab w:val="clear" w:pos="8640"/>
        </w:tabs>
        <w:ind w:left="720"/>
        <w:rPr>
          <w:sz w:val="24"/>
        </w:rPr>
      </w:pPr>
      <w:r>
        <w:rPr>
          <w:i/>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D3796C" w:rsidRDefault="00D3796C">
      <w:pPr>
        <w:pStyle w:val="Header"/>
        <w:tabs>
          <w:tab w:val="clear" w:pos="4320"/>
          <w:tab w:val="clear" w:pos="8640"/>
        </w:tabs>
        <w:ind w:left="720"/>
        <w:rPr>
          <w:sz w:val="24"/>
        </w:rPr>
      </w:pPr>
    </w:p>
    <w:p w:rsidR="00D3796C" w:rsidRDefault="00D3796C">
      <w:pPr>
        <w:pStyle w:val="BodyText2"/>
        <w:ind w:left="720"/>
      </w:pPr>
      <w:r>
        <w:t xml:space="preserve">The Department has provided the public </w:t>
      </w:r>
      <w:r w:rsidR="008C2C2C">
        <w:t>with an</w:t>
      </w:r>
      <w:r>
        <w:t xml:space="preserve"> opportunity to comment during the 60-day period for the regular collection.  This information collection is consistent with the statutory requirements that govern the waiver of a statutory or regulatory requirement under Title I, Part A of the ESEA</w:t>
      </w:r>
      <w:r w:rsidR="00957DB4">
        <w:t>.  The public also had an opportunity</w:t>
      </w:r>
      <w:r w:rsidR="00E83497">
        <w:t xml:space="preserve"> to comment</w:t>
      </w:r>
      <w:r w:rsidR="00957DB4">
        <w:t xml:space="preserve"> during the period the emergency request was pending.</w:t>
      </w:r>
      <w:r>
        <w:t xml:space="preserve"> </w:t>
      </w:r>
    </w:p>
    <w:p w:rsidR="00D3796C" w:rsidRDefault="00D3796C">
      <w:pPr>
        <w:ind w:left="720"/>
        <w:rPr>
          <w:sz w:val="24"/>
        </w:rPr>
      </w:pPr>
    </w:p>
    <w:p w:rsidR="00D3796C" w:rsidRDefault="00D3796C">
      <w:pPr>
        <w:pStyle w:val="BodyText"/>
        <w:ind w:left="720"/>
        <w:rPr>
          <w:iCs/>
        </w:rPr>
      </w:pPr>
      <w:r>
        <w:rPr>
          <w:iCs/>
        </w:rPr>
        <w:t>Q9.  Explain any decision to provide any payment or gift to respondents, other than renumeration of contractors or grantees.</w:t>
      </w:r>
    </w:p>
    <w:p w:rsidR="00D3796C" w:rsidRDefault="00D3796C">
      <w:pPr>
        <w:ind w:left="720"/>
        <w:rPr>
          <w:i/>
          <w:iCs/>
          <w:sz w:val="24"/>
        </w:rPr>
      </w:pPr>
    </w:p>
    <w:p w:rsidR="00D3796C" w:rsidRDefault="00D3796C">
      <w:pPr>
        <w:pStyle w:val="BodyText2"/>
        <w:ind w:left="720"/>
      </w:pPr>
      <w:r>
        <w:t>No payments or gifts to respondents have been made.</w:t>
      </w:r>
    </w:p>
    <w:p w:rsidR="00D3796C" w:rsidRDefault="00D3796C">
      <w:pPr>
        <w:ind w:left="720"/>
        <w:rPr>
          <w:sz w:val="24"/>
        </w:rPr>
      </w:pPr>
    </w:p>
    <w:p w:rsidR="00D3796C" w:rsidRDefault="00D3796C">
      <w:pPr>
        <w:pStyle w:val="BodyText"/>
        <w:ind w:left="720"/>
        <w:rPr>
          <w:iCs/>
        </w:rPr>
      </w:pPr>
      <w:r>
        <w:rPr>
          <w:iCs/>
        </w:rPr>
        <w:t>Q10. Describe any assurance of confidentiality provided to respondents and the basis for the assurance in statute, regulations, or agency policy.</w:t>
      </w:r>
    </w:p>
    <w:p w:rsidR="00D3796C" w:rsidRDefault="00D3796C">
      <w:pPr>
        <w:ind w:left="720"/>
        <w:rPr>
          <w:sz w:val="24"/>
        </w:rPr>
      </w:pPr>
    </w:p>
    <w:p w:rsidR="00D3796C" w:rsidRDefault="00D3796C">
      <w:pPr>
        <w:pStyle w:val="BodyText2"/>
        <w:ind w:left="720"/>
      </w:pPr>
      <w:r>
        <w:t>There is no assurance of confidentiality.</w:t>
      </w:r>
    </w:p>
    <w:p w:rsidR="00D3796C" w:rsidRDefault="00D3796C">
      <w:pPr>
        <w:ind w:left="720"/>
        <w:rPr>
          <w:sz w:val="24"/>
        </w:rPr>
      </w:pPr>
    </w:p>
    <w:p w:rsidR="00D3796C" w:rsidRDefault="00D3796C">
      <w:pPr>
        <w:pStyle w:val="BodyText3"/>
        <w:tabs>
          <w:tab w:val="left" w:pos="-360"/>
          <w:tab w:val="left" w:pos="0"/>
          <w:tab w:val="left" w:pos="270"/>
          <w:tab w:val="left" w:pos="1440"/>
        </w:tabs>
        <w:ind w:left="720"/>
        <w:jc w:val="left"/>
      </w:pPr>
      <w:r>
        <w:lastRenderedPageBreak/>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796C" w:rsidRDefault="00D3796C">
      <w:pPr>
        <w:ind w:left="720"/>
        <w:rPr>
          <w:sz w:val="24"/>
        </w:rPr>
      </w:pPr>
    </w:p>
    <w:p w:rsidR="00D3796C" w:rsidRDefault="00D3796C">
      <w:pPr>
        <w:pStyle w:val="BodyText2"/>
        <w:ind w:left="720"/>
      </w:pPr>
      <w:r>
        <w:t>There are no questions of a sensitive nature.</w:t>
      </w:r>
    </w:p>
    <w:p w:rsidR="00D3796C" w:rsidRDefault="00D3796C">
      <w:pPr>
        <w:pStyle w:val="BodyText2"/>
        <w:ind w:left="720"/>
        <w:rPr>
          <w:i/>
        </w:rPr>
      </w:pPr>
    </w:p>
    <w:p w:rsidR="00D3796C" w:rsidRDefault="00D3796C">
      <w:pPr>
        <w:pStyle w:val="BodyText2"/>
        <w:ind w:left="720"/>
        <w:rPr>
          <w:i/>
        </w:rPr>
      </w:pPr>
      <w:r>
        <w:rPr>
          <w:i/>
        </w:rPr>
        <w:t>Q12. Provide estimates of the hour burden of the collection of information.  The statement should:</w:t>
      </w:r>
    </w:p>
    <w:p w:rsidR="00D3796C" w:rsidRDefault="00D3796C">
      <w:pPr>
        <w:pStyle w:val="BodyText2"/>
        <w:ind w:left="720"/>
        <w:rPr>
          <w:i/>
        </w:rPr>
      </w:pPr>
    </w:p>
    <w:p w:rsidR="00D3796C" w:rsidRDefault="00D3796C">
      <w:pPr>
        <w:pStyle w:val="Style"/>
        <w:numPr>
          <w:ilvl w:val="0"/>
          <w:numId w:val="8"/>
        </w:numPr>
        <w:tabs>
          <w:tab w:val="clear" w:pos="360"/>
          <w:tab w:val="left" w:pos="-360"/>
          <w:tab w:val="left" w:pos="0"/>
          <w:tab w:val="left" w:pos="270"/>
          <w:tab w:val="num" w:pos="1080"/>
        </w:tabs>
        <w:ind w:left="1080"/>
        <w:rPr>
          <w:i/>
        </w:rPr>
      </w:pPr>
      <w:r>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796C" w:rsidRDefault="00D3796C">
      <w:pPr>
        <w:tabs>
          <w:tab w:val="left" w:pos="-360"/>
          <w:tab w:val="left" w:pos="0"/>
          <w:tab w:val="left" w:pos="270"/>
          <w:tab w:val="left" w:pos="1440"/>
        </w:tabs>
        <w:ind w:left="720"/>
        <w:rPr>
          <w:i/>
        </w:rPr>
      </w:pPr>
    </w:p>
    <w:p w:rsidR="00D3796C" w:rsidRDefault="00D3796C">
      <w:pPr>
        <w:numPr>
          <w:ilvl w:val="0"/>
          <w:numId w:val="8"/>
        </w:numPr>
        <w:tabs>
          <w:tab w:val="clear" w:pos="360"/>
          <w:tab w:val="left" w:pos="-360"/>
          <w:tab w:val="left" w:pos="0"/>
          <w:tab w:val="left" w:pos="270"/>
          <w:tab w:val="num" w:pos="1080"/>
          <w:tab w:val="left" w:pos="1440"/>
        </w:tabs>
        <w:ind w:left="1080"/>
        <w:rPr>
          <w:i/>
          <w:sz w:val="24"/>
        </w:rPr>
      </w:pPr>
      <w:r>
        <w:rPr>
          <w:i/>
          <w:sz w:val="24"/>
        </w:rPr>
        <w:t>If this request for approval covers more than one form, provide separate hour burden estimates for each form and aggregate the hour burdens in Item 13 of OMB  Form 83-I.</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8"/>
        </w:numPr>
        <w:tabs>
          <w:tab w:val="clear" w:pos="360"/>
          <w:tab w:val="left" w:pos="-360"/>
          <w:tab w:val="left" w:pos="0"/>
          <w:tab w:val="left" w:pos="270"/>
          <w:tab w:val="num" w:pos="1080"/>
        </w:tabs>
        <w:ind w:left="1080"/>
        <w:jc w:val="both"/>
        <w:rPr>
          <w:i/>
        </w:rPr>
      </w:pPr>
      <w:r>
        <w:rPr>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3796C" w:rsidRDefault="00D3796C">
      <w:pPr>
        <w:ind w:left="720"/>
        <w:rPr>
          <w:sz w:val="24"/>
        </w:rPr>
      </w:pPr>
    </w:p>
    <w:p w:rsidR="00D3796C" w:rsidRDefault="00D3796C">
      <w:pPr>
        <w:ind w:left="720"/>
        <w:rPr>
          <w:sz w:val="24"/>
        </w:rPr>
      </w:pPr>
      <w:r>
        <w:rPr>
          <w:sz w:val="24"/>
        </w:rPr>
        <w:t>As noted above, under the ESEA, both SEAs and LEAs may apply to ED for waivers.  ED expects some LEAs to request waivers directly from ED.  In many cases, however, because SEAs may apply on behalf of their LEAs, we expect the burden to be shared between SEAs and LEAs.  The following tables provide ED’s estimates for SEAs and LEAs.</w:t>
      </w:r>
    </w:p>
    <w:p w:rsidR="0080484A" w:rsidRDefault="0080484A">
      <w:pPr>
        <w:ind w:left="720"/>
        <w:rPr>
          <w:sz w:val="24"/>
        </w:rPr>
      </w:pPr>
    </w:p>
    <w:p w:rsidR="0080484A" w:rsidRDefault="00661CF4">
      <w:pPr>
        <w:ind w:left="720"/>
        <w:rPr>
          <w:sz w:val="24"/>
        </w:rPr>
      </w:pPr>
      <w:r>
        <w:rPr>
          <w:sz w:val="24"/>
        </w:rPr>
        <w:t>The total burden hours remains</w:t>
      </w:r>
      <w:r w:rsidR="0080484A">
        <w:rPr>
          <w:sz w:val="24"/>
        </w:rPr>
        <w:t xml:space="preserve"> the same as what was approved under the emergency collection.  The hours for some</w:t>
      </w:r>
      <w:r w:rsidR="00E83497">
        <w:rPr>
          <w:sz w:val="24"/>
        </w:rPr>
        <w:t xml:space="preserve"> specific</w:t>
      </w:r>
      <w:r w:rsidR="0080484A">
        <w:rPr>
          <w:sz w:val="24"/>
        </w:rPr>
        <w:t xml:space="preserve"> activities</w:t>
      </w:r>
      <w:r>
        <w:rPr>
          <w:sz w:val="24"/>
        </w:rPr>
        <w:t xml:space="preserve"> f</w:t>
      </w:r>
      <w:r w:rsidR="00E83497">
        <w:rPr>
          <w:sz w:val="24"/>
        </w:rPr>
        <w:t>o</w:t>
      </w:r>
      <w:r>
        <w:rPr>
          <w:sz w:val="24"/>
        </w:rPr>
        <w:t>r the regular collection</w:t>
      </w:r>
      <w:r w:rsidR="0080484A">
        <w:rPr>
          <w:sz w:val="24"/>
        </w:rPr>
        <w:t xml:space="preserve"> vary from the emergency collection</w:t>
      </w:r>
      <w:r>
        <w:rPr>
          <w:sz w:val="24"/>
        </w:rPr>
        <w:t xml:space="preserve">, however. </w:t>
      </w:r>
      <w:r w:rsidR="0080484A">
        <w:rPr>
          <w:sz w:val="24"/>
        </w:rPr>
        <w:t xml:space="preserve"> </w:t>
      </w:r>
      <w:r w:rsidR="00E83497">
        <w:rPr>
          <w:sz w:val="24"/>
        </w:rPr>
        <w:t xml:space="preserve">The variations are due to the fact that </w:t>
      </w:r>
      <w:r w:rsidR="0080484A">
        <w:rPr>
          <w:sz w:val="24"/>
        </w:rPr>
        <w:t xml:space="preserve">ED expects more MOE requests during the period of the regular collection than </w:t>
      </w:r>
      <w:r w:rsidR="00E83497">
        <w:rPr>
          <w:sz w:val="24"/>
        </w:rPr>
        <w:t xml:space="preserve">during </w:t>
      </w:r>
      <w:r w:rsidR="0080484A">
        <w:rPr>
          <w:sz w:val="24"/>
        </w:rPr>
        <w:t xml:space="preserve">the emergency collection, fewer requests responding to the other invited waivers during the same period, and </w:t>
      </w:r>
      <w:r w:rsidR="00E83497">
        <w:rPr>
          <w:sz w:val="24"/>
        </w:rPr>
        <w:t xml:space="preserve">the fact that </w:t>
      </w:r>
      <w:r>
        <w:rPr>
          <w:sz w:val="24"/>
        </w:rPr>
        <w:t>SEAs are required to report information to ED for waivers already approved</w:t>
      </w:r>
      <w:r w:rsidR="00E83497">
        <w:rPr>
          <w:sz w:val="24"/>
        </w:rPr>
        <w:t xml:space="preserve"> during the period of the regular collection</w:t>
      </w:r>
      <w:r>
        <w:rPr>
          <w:sz w:val="24"/>
        </w:rPr>
        <w:t xml:space="preserve">. </w:t>
      </w:r>
      <w:r w:rsidR="0080484A">
        <w:rPr>
          <w:sz w:val="24"/>
        </w:rPr>
        <w:t xml:space="preserve"> </w:t>
      </w:r>
    </w:p>
    <w:p w:rsidR="00D3796C" w:rsidRDefault="00D3796C">
      <w:pPr>
        <w:rPr>
          <w:sz w:val="24"/>
        </w:rPr>
      </w:pPr>
    </w:p>
    <w:p w:rsidR="00D3796C" w:rsidRDefault="00D3796C">
      <w:pPr>
        <w:pStyle w:val="Heading2"/>
        <w:rPr>
          <w:sz w:val="22"/>
        </w:rPr>
      </w:pPr>
      <w:r>
        <w:rPr>
          <w:sz w:val="22"/>
        </w:rPr>
        <w:t>State Educational Agency Estimate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0"/>
        <w:gridCol w:w="1555"/>
        <w:gridCol w:w="1779"/>
        <w:gridCol w:w="1563"/>
        <w:gridCol w:w="1395"/>
        <w:gridCol w:w="1364"/>
      </w:tblGrid>
      <w:tr w:rsidR="00D3796C">
        <w:trPr>
          <w:jc w:val="center"/>
        </w:trPr>
        <w:tc>
          <w:tcPr>
            <w:tcW w:w="1920" w:type="dxa"/>
          </w:tcPr>
          <w:p w:rsidR="00D3796C" w:rsidRDefault="00D3796C">
            <w:pPr>
              <w:pStyle w:val="BodyTextIndent"/>
              <w:tabs>
                <w:tab w:val="left" w:pos="-18"/>
              </w:tabs>
              <w:ind w:left="0"/>
              <w:rPr>
                <w:b/>
                <w:bCs/>
                <w:sz w:val="22"/>
              </w:rPr>
            </w:pPr>
            <w:r>
              <w:rPr>
                <w:b/>
                <w:bCs/>
                <w:sz w:val="22"/>
              </w:rPr>
              <w:t>Title I, Part A Waiver Activity</w:t>
            </w:r>
          </w:p>
        </w:tc>
        <w:tc>
          <w:tcPr>
            <w:tcW w:w="1555" w:type="dxa"/>
          </w:tcPr>
          <w:p w:rsidR="00D3796C" w:rsidRDefault="00D3796C">
            <w:pPr>
              <w:pStyle w:val="BodyTextIndent"/>
              <w:ind w:left="0"/>
              <w:rPr>
                <w:b/>
                <w:bCs/>
                <w:sz w:val="22"/>
              </w:rPr>
            </w:pPr>
            <w:r>
              <w:rPr>
                <w:b/>
                <w:bCs/>
                <w:sz w:val="22"/>
              </w:rPr>
              <w:t>Number of SEA Requests</w:t>
            </w:r>
          </w:p>
        </w:tc>
        <w:tc>
          <w:tcPr>
            <w:tcW w:w="1779"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Hours/Activity</w:t>
            </w:r>
          </w:p>
        </w:tc>
        <w:tc>
          <w:tcPr>
            <w:tcW w:w="1563"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Hours</w:t>
            </w:r>
          </w:p>
        </w:tc>
        <w:tc>
          <w:tcPr>
            <w:tcW w:w="1395"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Cost/Hour</w:t>
            </w:r>
          </w:p>
        </w:tc>
        <w:tc>
          <w:tcPr>
            <w:tcW w:w="1364"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Cost</w:t>
            </w:r>
          </w:p>
        </w:tc>
      </w:tr>
      <w:tr w:rsidR="00D3796C">
        <w:trPr>
          <w:jc w:val="center"/>
        </w:trPr>
        <w:tc>
          <w:tcPr>
            <w:tcW w:w="1920" w:type="dxa"/>
            <w:vAlign w:val="bottom"/>
          </w:tcPr>
          <w:p w:rsidR="00D3796C" w:rsidRDefault="00D3796C">
            <w:pPr>
              <w:tabs>
                <w:tab w:val="left" w:pos="270"/>
              </w:tabs>
              <w:ind w:left="270" w:hanging="270"/>
              <w:rPr>
                <w:rFonts w:eastAsia="Arial Unicode MS"/>
              </w:rPr>
            </w:pPr>
            <w:r>
              <w:t xml:space="preserve">ARRA Funds (Section 9401) </w:t>
            </w:r>
          </w:p>
        </w:tc>
        <w:tc>
          <w:tcPr>
            <w:tcW w:w="1555" w:type="dxa"/>
            <w:vAlign w:val="bottom"/>
          </w:tcPr>
          <w:p w:rsidR="00D3796C" w:rsidRDefault="00D3796C">
            <w:pPr>
              <w:rPr>
                <w:rFonts w:eastAsia="Arial Unicode MS"/>
              </w:rPr>
            </w:pPr>
            <w:r>
              <w:t>52</w:t>
            </w:r>
          </w:p>
        </w:tc>
        <w:tc>
          <w:tcPr>
            <w:tcW w:w="1779" w:type="dxa"/>
            <w:vAlign w:val="bottom"/>
          </w:tcPr>
          <w:p w:rsidR="00D3796C" w:rsidRDefault="00FF7FCF">
            <w:pPr>
              <w:rPr>
                <w:rFonts w:eastAsia="Arial Unicode MS"/>
              </w:rPr>
            </w:pPr>
            <w:r>
              <w:t>20</w:t>
            </w:r>
          </w:p>
        </w:tc>
        <w:tc>
          <w:tcPr>
            <w:tcW w:w="1563" w:type="dxa"/>
            <w:vAlign w:val="bottom"/>
          </w:tcPr>
          <w:p w:rsidR="00D3796C" w:rsidRDefault="00FF7FCF">
            <w:pPr>
              <w:rPr>
                <w:rFonts w:eastAsia="Arial Unicode MS"/>
              </w:rPr>
            </w:pPr>
            <w:r>
              <w:t>1,040</w:t>
            </w:r>
          </w:p>
        </w:tc>
        <w:tc>
          <w:tcPr>
            <w:tcW w:w="1395" w:type="dxa"/>
            <w:vAlign w:val="bottom"/>
          </w:tcPr>
          <w:p w:rsidR="00D3796C" w:rsidRDefault="00D3796C">
            <w:pPr>
              <w:rPr>
                <w:rFonts w:eastAsia="Arial Unicode MS"/>
              </w:rPr>
            </w:pPr>
            <w:r>
              <w:t xml:space="preserve">$32 </w:t>
            </w:r>
          </w:p>
        </w:tc>
        <w:tc>
          <w:tcPr>
            <w:tcW w:w="1364" w:type="dxa"/>
            <w:vAlign w:val="bottom"/>
          </w:tcPr>
          <w:p w:rsidR="00D3796C" w:rsidRDefault="00D3796C">
            <w:pPr>
              <w:rPr>
                <w:rFonts w:eastAsia="Arial Unicode MS"/>
              </w:rPr>
            </w:pPr>
            <w:r>
              <w:t>$</w:t>
            </w:r>
            <w:r w:rsidR="00FF7FCF">
              <w:t>33,280</w:t>
            </w:r>
          </w:p>
        </w:tc>
      </w:tr>
      <w:tr w:rsidR="00D3796C">
        <w:trPr>
          <w:jc w:val="center"/>
        </w:trPr>
        <w:tc>
          <w:tcPr>
            <w:tcW w:w="1920" w:type="dxa"/>
            <w:vAlign w:val="bottom"/>
          </w:tcPr>
          <w:p w:rsidR="00D3796C" w:rsidRDefault="00D3796C">
            <w:pPr>
              <w:tabs>
                <w:tab w:val="left" w:pos="270"/>
              </w:tabs>
              <w:ind w:left="270" w:hanging="270"/>
              <w:rPr>
                <w:rFonts w:eastAsia="Arial Unicode MS"/>
              </w:rPr>
            </w:pPr>
            <w:r>
              <w:t xml:space="preserve">Title I Statutory and </w:t>
            </w:r>
            <w:r>
              <w:lastRenderedPageBreak/>
              <w:t>Regulatory Provisions (Section 9401)</w:t>
            </w:r>
          </w:p>
        </w:tc>
        <w:tc>
          <w:tcPr>
            <w:tcW w:w="1555" w:type="dxa"/>
            <w:vAlign w:val="bottom"/>
          </w:tcPr>
          <w:p w:rsidR="00D3796C" w:rsidRDefault="00D3796C">
            <w:pPr>
              <w:rPr>
                <w:rFonts w:eastAsia="Arial Unicode MS"/>
              </w:rPr>
            </w:pPr>
            <w:r>
              <w:lastRenderedPageBreak/>
              <w:t>52</w:t>
            </w:r>
          </w:p>
        </w:tc>
        <w:tc>
          <w:tcPr>
            <w:tcW w:w="1779" w:type="dxa"/>
            <w:vAlign w:val="bottom"/>
          </w:tcPr>
          <w:p w:rsidR="00D3796C" w:rsidRDefault="002B020A">
            <w:pPr>
              <w:rPr>
                <w:rFonts w:eastAsia="Arial Unicode MS"/>
              </w:rPr>
            </w:pPr>
            <w:r>
              <w:t>20</w:t>
            </w:r>
          </w:p>
        </w:tc>
        <w:tc>
          <w:tcPr>
            <w:tcW w:w="1563" w:type="dxa"/>
            <w:vAlign w:val="bottom"/>
          </w:tcPr>
          <w:p w:rsidR="00D3796C" w:rsidRDefault="002B020A">
            <w:pPr>
              <w:rPr>
                <w:rFonts w:eastAsia="Arial Unicode MS"/>
              </w:rPr>
            </w:pPr>
            <w:r>
              <w:t>1,040</w:t>
            </w:r>
          </w:p>
        </w:tc>
        <w:tc>
          <w:tcPr>
            <w:tcW w:w="1395" w:type="dxa"/>
            <w:vAlign w:val="bottom"/>
          </w:tcPr>
          <w:p w:rsidR="00D3796C" w:rsidRDefault="00D3796C">
            <w:pPr>
              <w:rPr>
                <w:rFonts w:eastAsia="Arial Unicode MS"/>
              </w:rPr>
            </w:pPr>
            <w:r>
              <w:t xml:space="preserve">$32 </w:t>
            </w:r>
          </w:p>
        </w:tc>
        <w:tc>
          <w:tcPr>
            <w:tcW w:w="1364" w:type="dxa"/>
            <w:vAlign w:val="bottom"/>
          </w:tcPr>
          <w:p w:rsidR="00D3796C" w:rsidRDefault="00D3796C">
            <w:pPr>
              <w:rPr>
                <w:rFonts w:eastAsia="Arial Unicode MS"/>
              </w:rPr>
            </w:pPr>
            <w:r>
              <w:t>$</w:t>
            </w:r>
            <w:r w:rsidR="002B020A">
              <w:t>33,280</w:t>
            </w:r>
          </w:p>
        </w:tc>
      </w:tr>
      <w:tr w:rsidR="00D3796C">
        <w:trPr>
          <w:jc w:val="center"/>
        </w:trPr>
        <w:tc>
          <w:tcPr>
            <w:tcW w:w="1920" w:type="dxa"/>
            <w:vAlign w:val="bottom"/>
          </w:tcPr>
          <w:p w:rsidR="00D3796C" w:rsidRDefault="00D3796C">
            <w:pPr>
              <w:tabs>
                <w:tab w:val="left" w:pos="270"/>
              </w:tabs>
              <w:ind w:left="270" w:hanging="270"/>
              <w:rPr>
                <w:rFonts w:eastAsia="Arial Unicode MS"/>
              </w:rPr>
            </w:pPr>
            <w:r>
              <w:lastRenderedPageBreak/>
              <w:t xml:space="preserve">Section 9521 (MOE) </w:t>
            </w:r>
          </w:p>
        </w:tc>
        <w:tc>
          <w:tcPr>
            <w:tcW w:w="1555" w:type="dxa"/>
            <w:vAlign w:val="bottom"/>
          </w:tcPr>
          <w:p w:rsidR="00D3796C" w:rsidRDefault="002B020A">
            <w:pPr>
              <w:rPr>
                <w:rFonts w:eastAsia="Arial Unicode MS"/>
              </w:rPr>
            </w:pPr>
            <w:r>
              <w:t>52</w:t>
            </w:r>
          </w:p>
        </w:tc>
        <w:tc>
          <w:tcPr>
            <w:tcW w:w="1779" w:type="dxa"/>
            <w:vAlign w:val="bottom"/>
          </w:tcPr>
          <w:p w:rsidR="00D3796C" w:rsidRDefault="002B020A">
            <w:pPr>
              <w:rPr>
                <w:rFonts w:eastAsia="Arial Unicode MS"/>
              </w:rPr>
            </w:pPr>
            <w:r>
              <w:t>80</w:t>
            </w:r>
          </w:p>
        </w:tc>
        <w:tc>
          <w:tcPr>
            <w:tcW w:w="1563" w:type="dxa"/>
            <w:vAlign w:val="bottom"/>
          </w:tcPr>
          <w:p w:rsidR="00D3796C" w:rsidRDefault="002B020A">
            <w:pPr>
              <w:pStyle w:val="FootnoteText"/>
              <w:rPr>
                <w:rFonts w:eastAsia="Arial Unicode MS"/>
              </w:rPr>
            </w:pPr>
            <w:r>
              <w:t>4,160</w:t>
            </w:r>
          </w:p>
        </w:tc>
        <w:tc>
          <w:tcPr>
            <w:tcW w:w="1395" w:type="dxa"/>
            <w:vAlign w:val="bottom"/>
          </w:tcPr>
          <w:p w:rsidR="00D3796C" w:rsidRDefault="00D3796C">
            <w:pPr>
              <w:rPr>
                <w:rFonts w:eastAsia="Arial Unicode MS"/>
              </w:rPr>
            </w:pPr>
            <w:r>
              <w:t xml:space="preserve">$32 </w:t>
            </w:r>
          </w:p>
        </w:tc>
        <w:tc>
          <w:tcPr>
            <w:tcW w:w="1364" w:type="dxa"/>
            <w:vAlign w:val="bottom"/>
          </w:tcPr>
          <w:p w:rsidR="00D3796C" w:rsidRDefault="00D3796C">
            <w:pPr>
              <w:rPr>
                <w:rFonts w:eastAsia="Arial Unicode MS"/>
              </w:rPr>
            </w:pPr>
            <w:r>
              <w:t>$</w:t>
            </w:r>
            <w:r w:rsidR="002B020A">
              <w:t>133,120</w:t>
            </w:r>
            <w:r>
              <w:t xml:space="preserve"> </w:t>
            </w:r>
          </w:p>
        </w:tc>
      </w:tr>
      <w:tr w:rsidR="00D3796C">
        <w:trPr>
          <w:cantSplit/>
          <w:jc w:val="center"/>
        </w:trPr>
        <w:tc>
          <w:tcPr>
            <w:tcW w:w="5254" w:type="dxa"/>
            <w:gridSpan w:val="3"/>
            <w:vAlign w:val="bottom"/>
          </w:tcPr>
          <w:p w:rsidR="00D3796C" w:rsidRDefault="00D3796C">
            <w:pPr>
              <w:pStyle w:val="Heading5"/>
              <w:rPr>
                <w:rFonts w:eastAsia="Times New Roman"/>
              </w:rPr>
            </w:pPr>
            <w:r>
              <w:rPr>
                <w:rFonts w:eastAsia="Times New Roman"/>
              </w:rPr>
              <w:t>Total</w:t>
            </w:r>
          </w:p>
        </w:tc>
        <w:tc>
          <w:tcPr>
            <w:tcW w:w="1563" w:type="dxa"/>
            <w:vAlign w:val="bottom"/>
          </w:tcPr>
          <w:p w:rsidR="00D3796C" w:rsidRDefault="00CA4E40">
            <w:pPr>
              <w:rPr>
                <w:rFonts w:eastAsia="Arial Unicode MS"/>
                <w:b/>
                <w:bCs/>
              </w:rPr>
            </w:pPr>
            <w:r>
              <w:rPr>
                <w:b/>
                <w:bCs/>
              </w:rPr>
              <w:t>6,240</w:t>
            </w:r>
          </w:p>
        </w:tc>
        <w:tc>
          <w:tcPr>
            <w:tcW w:w="1395" w:type="dxa"/>
            <w:vAlign w:val="bottom"/>
          </w:tcPr>
          <w:p w:rsidR="00D3796C" w:rsidRDefault="00D3796C">
            <w:pPr>
              <w:rPr>
                <w:rFonts w:eastAsia="Arial Unicode MS"/>
                <w:b/>
                <w:bCs/>
              </w:rPr>
            </w:pPr>
            <w:r>
              <w:rPr>
                <w:b/>
                <w:bCs/>
              </w:rPr>
              <w:t xml:space="preserve">$32 </w:t>
            </w:r>
          </w:p>
        </w:tc>
        <w:tc>
          <w:tcPr>
            <w:tcW w:w="1364" w:type="dxa"/>
            <w:vAlign w:val="bottom"/>
          </w:tcPr>
          <w:p w:rsidR="00D3796C" w:rsidRDefault="00D3796C">
            <w:pPr>
              <w:rPr>
                <w:rFonts w:eastAsia="Arial Unicode MS"/>
                <w:b/>
                <w:bCs/>
              </w:rPr>
            </w:pPr>
            <w:r>
              <w:rPr>
                <w:b/>
                <w:bCs/>
              </w:rPr>
              <w:t>$</w:t>
            </w:r>
            <w:r w:rsidR="00CA4E40">
              <w:rPr>
                <w:b/>
                <w:bCs/>
              </w:rPr>
              <w:t>199,680</w:t>
            </w:r>
            <w:r>
              <w:rPr>
                <w:b/>
                <w:bCs/>
              </w:rPr>
              <w:t xml:space="preserve"> </w:t>
            </w:r>
          </w:p>
        </w:tc>
      </w:tr>
    </w:tbl>
    <w:p w:rsidR="00D3796C" w:rsidRDefault="00D3796C">
      <w:pPr>
        <w:pStyle w:val="BodyTextIndent"/>
        <w:ind w:left="0"/>
        <w:rPr>
          <w:sz w:val="24"/>
        </w:rPr>
      </w:pPr>
    </w:p>
    <w:p w:rsidR="00D3796C" w:rsidRDefault="00D3796C">
      <w:pPr>
        <w:pStyle w:val="BodyTextIndent"/>
        <w:ind w:left="0"/>
        <w:rPr>
          <w:sz w:val="24"/>
        </w:rPr>
      </w:pPr>
    </w:p>
    <w:p w:rsidR="00D3796C" w:rsidRDefault="00D3796C">
      <w:pPr>
        <w:pStyle w:val="BodyTextIndent"/>
        <w:ind w:left="0"/>
        <w:rPr>
          <w:sz w:val="24"/>
        </w:rPr>
      </w:pPr>
    </w:p>
    <w:p w:rsidR="00D3796C" w:rsidRDefault="00D3796C">
      <w:pPr>
        <w:pStyle w:val="BodyTextIndent"/>
        <w:ind w:left="0"/>
        <w:rPr>
          <w:sz w:val="24"/>
        </w:rPr>
      </w:pPr>
    </w:p>
    <w:p w:rsidR="00D3796C" w:rsidRDefault="00D3796C">
      <w:pPr>
        <w:pStyle w:val="BodyTextIndent"/>
        <w:ind w:left="0"/>
        <w:rPr>
          <w:sz w:val="24"/>
        </w:rPr>
      </w:pPr>
    </w:p>
    <w:p w:rsidR="00D3796C" w:rsidRDefault="00D3796C">
      <w:pPr>
        <w:pStyle w:val="BodyTextIndent"/>
        <w:ind w:left="0"/>
        <w:rPr>
          <w:sz w:val="24"/>
        </w:rPr>
      </w:pPr>
    </w:p>
    <w:p w:rsidR="00D3796C" w:rsidRDefault="00D3796C">
      <w:pPr>
        <w:pStyle w:val="BodyTextIndent"/>
        <w:ind w:left="0"/>
        <w:rPr>
          <w:sz w:val="24"/>
        </w:rPr>
      </w:pPr>
    </w:p>
    <w:p w:rsidR="00D3796C" w:rsidRDefault="00D3796C">
      <w:pPr>
        <w:pStyle w:val="BodyTextIndent"/>
        <w:ind w:left="0"/>
        <w:rPr>
          <w:sz w:val="24"/>
        </w:rPr>
      </w:pPr>
    </w:p>
    <w:p w:rsidR="00D3796C" w:rsidRDefault="00D3796C">
      <w:pPr>
        <w:pStyle w:val="BodyTextIndent"/>
        <w:ind w:left="0"/>
        <w:jc w:val="center"/>
        <w:rPr>
          <w:sz w:val="22"/>
        </w:rPr>
      </w:pPr>
      <w:r>
        <w:rPr>
          <w:b/>
          <w:bCs/>
          <w:sz w:val="22"/>
        </w:rPr>
        <w:t>Local Educational Agency Estimate</w:t>
      </w: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8"/>
        <w:gridCol w:w="1555"/>
        <w:gridCol w:w="1779"/>
        <w:gridCol w:w="1563"/>
        <w:gridCol w:w="1395"/>
        <w:gridCol w:w="1364"/>
      </w:tblGrid>
      <w:tr w:rsidR="00D3796C">
        <w:trPr>
          <w:jc w:val="center"/>
        </w:trPr>
        <w:tc>
          <w:tcPr>
            <w:tcW w:w="2118" w:type="dxa"/>
          </w:tcPr>
          <w:p w:rsidR="00D3796C" w:rsidRDefault="00D3796C">
            <w:pPr>
              <w:pStyle w:val="BodyTextIndent"/>
              <w:ind w:left="-18" w:firstLine="18"/>
              <w:rPr>
                <w:b/>
                <w:bCs/>
                <w:sz w:val="22"/>
              </w:rPr>
            </w:pPr>
            <w:r>
              <w:rPr>
                <w:b/>
                <w:bCs/>
                <w:sz w:val="22"/>
              </w:rPr>
              <w:t>Title I, Part A Waiver Activity</w:t>
            </w:r>
          </w:p>
        </w:tc>
        <w:tc>
          <w:tcPr>
            <w:tcW w:w="1555" w:type="dxa"/>
          </w:tcPr>
          <w:p w:rsidR="00D3796C" w:rsidRDefault="00D3796C">
            <w:pPr>
              <w:pStyle w:val="BodyTextIndent"/>
              <w:ind w:left="0"/>
              <w:rPr>
                <w:b/>
                <w:bCs/>
                <w:sz w:val="22"/>
              </w:rPr>
            </w:pPr>
            <w:r>
              <w:rPr>
                <w:b/>
                <w:bCs/>
                <w:sz w:val="22"/>
              </w:rPr>
              <w:t>Number of LEA Requests</w:t>
            </w:r>
          </w:p>
        </w:tc>
        <w:tc>
          <w:tcPr>
            <w:tcW w:w="1779"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Hours/Activity</w:t>
            </w:r>
          </w:p>
        </w:tc>
        <w:tc>
          <w:tcPr>
            <w:tcW w:w="1563"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Hours</w:t>
            </w:r>
          </w:p>
        </w:tc>
        <w:tc>
          <w:tcPr>
            <w:tcW w:w="1395"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Cost/Hour</w:t>
            </w:r>
          </w:p>
        </w:tc>
        <w:tc>
          <w:tcPr>
            <w:tcW w:w="1364"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Cost</w:t>
            </w:r>
          </w:p>
        </w:tc>
      </w:tr>
      <w:tr w:rsidR="00D3796C">
        <w:trPr>
          <w:jc w:val="center"/>
        </w:trPr>
        <w:tc>
          <w:tcPr>
            <w:tcW w:w="2118" w:type="dxa"/>
            <w:vAlign w:val="bottom"/>
          </w:tcPr>
          <w:p w:rsidR="00D3796C" w:rsidRDefault="00D3796C">
            <w:pPr>
              <w:ind w:left="270" w:hanging="270"/>
              <w:rPr>
                <w:rFonts w:eastAsia="Arial Unicode MS"/>
              </w:rPr>
            </w:pPr>
            <w:r>
              <w:t>Section 9401</w:t>
            </w:r>
          </w:p>
        </w:tc>
        <w:tc>
          <w:tcPr>
            <w:tcW w:w="1555" w:type="dxa"/>
            <w:vAlign w:val="bottom"/>
          </w:tcPr>
          <w:p w:rsidR="00D3796C" w:rsidRDefault="00D3796C">
            <w:pPr>
              <w:pStyle w:val="FootnoteText"/>
              <w:rPr>
                <w:rFonts w:eastAsia="Arial Unicode MS"/>
              </w:rPr>
            </w:pPr>
            <w:r>
              <w:t>875</w:t>
            </w:r>
          </w:p>
        </w:tc>
        <w:tc>
          <w:tcPr>
            <w:tcW w:w="1779" w:type="dxa"/>
            <w:vAlign w:val="bottom"/>
          </w:tcPr>
          <w:p w:rsidR="00D3796C" w:rsidRDefault="00D3796C">
            <w:pPr>
              <w:rPr>
                <w:rFonts w:eastAsia="Arial Unicode MS"/>
              </w:rPr>
            </w:pPr>
            <w:r>
              <w:t>24</w:t>
            </w:r>
          </w:p>
        </w:tc>
        <w:tc>
          <w:tcPr>
            <w:tcW w:w="1563" w:type="dxa"/>
            <w:vAlign w:val="bottom"/>
          </w:tcPr>
          <w:p w:rsidR="00D3796C" w:rsidRDefault="00D3796C">
            <w:pPr>
              <w:rPr>
                <w:rFonts w:eastAsia="Arial Unicode MS"/>
              </w:rPr>
            </w:pPr>
            <w:r>
              <w:t>21,000</w:t>
            </w:r>
          </w:p>
        </w:tc>
        <w:tc>
          <w:tcPr>
            <w:tcW w:w="1395" w:type="dxa"/>
            <w:vAlign w:val="bottom"/>
          </w:tcPr>
          <w:p w:rsidR="00D3796C" w:rsidRDefault="00D3796C">
            <w:pPr>
              <w:rPr>
                <w:rFonts w:eastAsia="Arial Unicode MS"/>
              </w:rPr>
            </w:pPr>
            <w:r>
              <w:t xml:space="preserve">$27 </w:t>
            </w:r>
          </w:p>
        </w:tc>
        <w:tc>
          <w:tcPr>
            <w:tcW w:w="1364" w:type="dxa"/>
            <w:vAlign w:val="bottom"/>
          </w:tcPr>
          <w:p w:rsidR="00D3796C" w:rsidRDefault="00D3796C">
            <w:pPr>
              <w:rPr>
                <w:rFonts w:eastAsia="Arial Unicode MS"/>
              </w:rPr>
            </w:pPr>
            <w:r>
              <w:t xml:space="preserve">$567,000 </w:t>
            </w:r>
          </w:p>
        </w:tc>
      </w:tr>
      <w:tr w:rsidR="00D3796C">
        <w:trPr>
          <w:jc w:val="center"/>
        </w:trPr>
        <w:tc>
          <w:tcPr>
            <w:tcW w:w="2118" w:type="dxa"/>
            <w:vAlign w:val="bottom"/>
          </w:tcPr>
          <w:p w:rsidR="00D3796C" w:rsidRDefault="00D3796C">
            <w:pPr>
              <w:ind w:left="270" w:hanging="270"/>
              <w:rPr>
                <w:rFonts w:eastAsia="Arial Unicode MS"/>
              </w:rPr>
            </w:pPr>
            <w:r>
              <w:t xml:space="preserve">Section 9521 (MOE)* </w:t>
            </w:r>
          </w:p>
        </w:tc>
        <w:tc>
          <w:tcPr>
            <w:tcW w:w="1555" w:type="dxa"/>
            <w:vAlign w:val="bottom"/>
          </w:tcPr>
          <w:p w:rsidR="00D3796C" w:rsidRDefault="000423FD">
            <w:pPr>
              <w:rPr>
                <w:rFonts w:eastAsia="Arial Unicode MS"/>
              </w:rPr>
            </w:pPr>
            <w:r>
              <w:t>300</w:t>
            </w:r>
          </w:p>
        </w:tc>
        <w:tc>
          <w:tcPr>
            <w:tcW w:w="1779" w:type="dxa"/>
            <w:vAlign w:val="bottom"/>
          </w:tcPr>
          <w:p w:rsidR="00D3796C" w:rsidRDefault="00D3796C">
            <w:pPr>
              <w:rPr>
                <w:rFonts w:eastAsia="Arial Unicode MS"/>
              </w:rPr>
            </w:pPr>
            <w:r>
              <w:t>8</w:t>
            </w:r>
          </w:p>
        </w:tc>
        <w:tc>
          <w:tcPr>
            <w:tcW w:w="1563" w:type="dxa"/>
            <w:vAlign w:val="bottom"/>
          </w:tcPr>
          <w:p w:rsidR="00D3796C" w:rsidRDefault="000423FD">
            <w:pPr>
              <w:rPr>
                <w:rFonts w:eastAsia="Arial Unicode MS"/>
              </w:rPr>
            </w:pPr>
            <w:r>
              <w:t>2,400</w:t>
            </w:r>
          </w:p>
        </w:tc>
        <w:tc>
          <w:tcPr>
            <w:tcW w:w="1395" w:type="dxa"/>
            <w:vAlign w:val="bottom"/>
          </w:tcPr>
          <w:p w:rsidR="00D3796C" w:rsidRDefault="00D3796C">
            <w:pPr>
              <w:rPr>
                <w:rFonts w:eastAsia="Arial Unicode MS"/>
              </w:rPr>
            </w:pPr>
            <w:r>
              <w:t xml:space="preserve">$27 </w:t>
            </w:r>
          </w:p>
        </w:tc>
        <w:tc>
          <w:tcPr>
            <w:tcW w:w="1364" w:type="dxa"/>
            <w:vAlign w:val="bottom"/>
          </w:tcPr>
          <w:p w:rsidR="00D3796C" w:rsidRDefault="00D3796C">
            <w:pPr>
              <w:rPr>
                <w:rFonts w:eastAsia="Arial Unicode MS"/>
              </w:rPr>
            </w:pPr>
            <w:r>
              <w:t>$</w:t>
            </w:r>
            <w:r w:rsidR="000423FD">
              <w:t>64,800</w:t>
            </w:r>
          </w:p>
        </w:tc>
      </w:tr>
      <w:tr w:rsidR="00D3796C">
        <w:trPr>
          <w:cantSplit/>
          <w:jc w:val="center"/>
        </w:trPr>
        <w:tc>
          <w:tcPr>
            <w:tcW w:w="5452" w:type="dxa"/>
            <w:gridSpan w:val="3"/>
            <w:vAlign w:val="bottom"/>
          </w:tcPr>
          <w:p w:rsidR="00D3796C" w:rsidRDefault="00D3796C">
            <w:pPr>
              <w:pStyle w:val="Heading5"/>
            </w:pPr>
            <w:r>
              <w:t>Total</w:t>
            </w:r>
          </w:p>
        </w:tc>
        <w:tc>
          <w:tcPr>
            <w:tcW w:w="1563" w:type="dxa"/>
            <w:vAlign w:val="bottom"/>
          </w:tcPr>
          <w:p w:rsidR="00D3796C" w:rsidRDefault="000A4766">
            <w:pPr>
              <w:rPr>
                <w:rFonts w:eastAsia="Arial Unicode MS"/>
                <w:b/>
                <w:bCs/>
              </w:rPr>
            </w:pPr>
            <w:r>
              <w:rPr>
                <w:b/>
                <w:bCs/>
              </w:rPr>
              <w:t>23,400</w:t>
            </w:r>
          </w:p>
        </w:tc>
        <w:tc>
          <w:tcPr>
            <w:tcW w:w="1395" w:type="dxa"/>
            <w:vAlign w:val="bottom"/>
          </w:tcPr>
          <w:p w:rsidR="00D3796C" w:rsidRDefault="00D3796C">
            <w:pPr>
              <w:rPr>
                <w:rFonts w:eastAsia="Arial Unicode MS"/>
                <w:b/>
                <w:bCs/>
              </w:rPr>
            </w:pPr>
            <w:r>
              <w:rPr>
                <w:b/>
                <w:bCs/>
              </w:rPr>
              <w:t xml:space="preserve">$27 </w:t>
            </w:r>
          </w:p>
        </w:tc>
        <w:tc>
          <w:tcPr>
            <w:tcW w:w="1364" w:type="dxa"/>
            <w:vAlign w:val="bottom"/>
          </w:tcPr>
          <w:p w:rsidR="00D3796C" w:rsidRDefault="00D3796C">
            <w:pPr>
              <w:rPr>
                <w:rFonts w:eastAsia="Arial Unicode MS"/>
                <w:b/>
                <w:bCs/>
              </w:rPr>
            </w:pPr>
            <w:r>
              <w:rPr>
                <w:b/>
                <w:bCs/>
              </w:rPr>
              <w:t>$</w:t>
            </w:r>
            <w:r w:rsidR="000A4766">
              <w:rPr>
                <w:b/>
                <w:bCs/>
              </w:rPr>
              <w:t>631,800</w:t>
            </w:r>
            <w:r>
              <w:rPr>
                <w:b/>
                <w:bCs/>
              </w:rPr>
              <w:t xml:space="preserve"> </w:t>
            </w:r>
          </w:p>
        </w:tc>
      </w:tr>
    </w:tbl>
    <w:p w:rsidR="00D3796C" w:rsidRDefault="00D3796C">
      <w:pPr>
        <w:pStyle w:val="BodyTextIndent"/>
        <w:ind w:left="0"/>
      </w:pPr>
    </w:p>
    <w:p w:rsidR="00D3796C" w:rsidRDefault="00D3796C">
      <w:pPr>
        <w:pStyle w:val="BodyTextIndent"/>
        <w:ind w:left="0"/>
      </w:pPr>
      <w:r>
        <w:t>* Consistent with 34 C.F.R. § 299.5, ED’s MOE regulations, LEAs that did not maintain effort in SY 200</w:t>
      </w:r>
      <w:r w:rsidR="009739C4">
        <w:t>8</w:t>
      </w:r>
      <w:r>
        <w:t>-0</w:t>
      </w:r>
      <w:r w:rsidR="009739C4">
        <w:t>9</w:t>
      </w:r>
      <w:r>
        <w:t xml:space="preserve"> would have their FY 20</w:t>
      </w:r>
      <w:r w:rsidR="009739C4">
        <w:t>10</w:t>
      </w:r>
      <w:r>
        <w:t xml:space="preserve"> (SY 20</w:t>
      </w:r>
      <w:r w:rsidR="009739C4">
        <w:t>10</w:t>
      </w:r>
      <w:r>
        <w:t>-1</w:t>
      </w:r>
      <w:r w:rsidR="009739C4">
        <w:t>1</w:t>
      </w:r>
      <w:r>
        <w:t>) Title I, Part A allocations</w:t>
      </w:r>
      <w:r w:rsidR="00E83497">
        <w:t xml:space="preserve"> </w:t>
      </w:r>
      <w:r>
        <w:t>reduced due to the MOE requirements.  As a result, ED expect</w:t>
      </w:r>
      <w:r w:rsidR="009739C4">
        <w:t>s</w:t>
      </w:r>
      <w:r>
        <w:t xml:space="preserve"> </w:t>
      </w:r>
      <w:r w:rsidR="009739C4">
        <w:t>more</w:t>
      </w:r>
      <w:r>
        <w:t xml:space="preserve"> MOE waiver requests during the period of th</w:t>
      </w:r>
      <w:r w:rsidR="009739C4">
        <w:t xml:space="preserve">e regular </w:t>
      </w:r>
      <w:r w:rsidR="00E83497">
        <w:t>collection</w:t>
      </w:r>
      <w:r w:rsidR="009739C4">
        <w:t xml:space="preserve"> than the</w:t>
      </w:r>
      <w:r>
        <w:t xml:space="preserve"> emergency </w:t>
      </w:r>
      <w:r w:rsidR="00E83497">
        <w:t>collection</w:t>
      </w:r>
      <w:r>
        <w:t xml:space="preserve">.  </w:t>
      </w:r>
    </w:p>
    <w:p w:rsidR="00D3796C" w:rsidRDefault="00D3796C">
      <w:pPr>
        <w:pStyle w:val="BodyTextIndent"/>
        <w:rPr>
          <w:sz w:val="24"/>
        </w:rPr>
      </w:pPr>
    </w:p>
    <w:p w:rsidR="00D3796C" w:rsidRDefault="00D3796C">
      <w:pPr>
        <w:pStyle w:val="BodyTextIndent"/>
        <w:rPr>
          <w:sz w:val="24"/>
        </w:rPr>
      </w:pPr>
    </w:p>
    <w:p w:rsidR="00D3796C" w:rsidRDefault="00D3796C">
      <w:pPr>
        <w:pStyle w:val="BodyText3"/>
        <w:tabs>
          <w:tab w:val="left" w:pos="-360"/>
          <w:tab w:val="left" w:pos="0"/>
          <w:tab w:val="left" w:pos="270"/>
          <w:tab w:val="left" w:pos="1440"/>
        </w:tabs>
        <w:ind w:left="720"/>
        <w:jc w:val="left"/>
      </w:pPr>
      <w:r>
        <w:t>Q13. Provide an estimate of the total annual cost burden to respondents or record keepers resulting from the collection of information.  (Do not include the cost of any hour burden shown in Items 12 and 14.)</w:t>
      </w:r>
    </w:p>
    <w:p w:rsidR="00D3796C" w:rsidRDefault="00D3796C">
      <w:pPr>
        <w:tabs>
          <w:tab w:val="left" w:pos="-360"/>
          <w:tab w:val="left" w:pos="0"/>
          <w:tab w:val="left" w:pos="270"/>
          <w:tab w:val="left" w:pos="1440"/>
        </w:tabs>
        <w:ind w:left="720"/>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lastRenderedPageBreak/>
        <w:t xml:space="preserve">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Pr>
            <w:i/>
          </w:rPr>
          <w:t>October 1, 1995</w:t>
        </w:r>
      </w:smartTag>
      <w:r>
        <w:rPr>
          <w:i/>
        </w:rPr>
        <w:t>, (2) to achieve regulatory compliance with requirements not associated with the information collection, (3) for reasons other than to provide information or keep records for the government, or (4) as part of customary and usual business or private practices.</w:t>
      </w:r>
    </w:p>
    <w:p w:rsidR="00D3796C" w:rsidRDefault="00D3796C">
      <w:pPr>
        <w:pStyle w:val="BodyTextIndent"/>
        <w:rPr>
          <w:sz w:val="24"/>
        </w:rPr>
      </w:pPr>
    </w:p>
    <w:p w:rsidR="00D3796C" w:rsidRDefault="00D3796C">
      <w:pPr>
        <w:pStyle w:val="BodyTextIndent"/>
        <w:rPr>
          <w:sz w:val="24"/>
        </w:rPr>
      </w:pPr>
      <w:r>
        <w:rPr>
          <w:sz w:val="24"/>
        </w:rPr>
        <w:t>There are no costs that (a) meet the criteria for inclusion under this item and (b) have not been addressed in either item #12 or #14.</w:t>
      </w:r>
    </w:p>
    <w:p w:rsidR="00D3796C" w:rsidRDefault="00D3796C">
      <w:pPr>
        <w:pStyle w:val="BodyTextIndent"/>
        <w:rPr>
          <w:i/>
          <w:sz w:val="24"/>
        </w:rPr>
      </w:pPr>
    </w:p>
    <w:p w:rsidR="00D3796C" w:rsidRDefault="00D3796C">
      <w:pPr>
        <w:pStyle w:val="BodyTextIndent"/>
        <w:rPr>
          <w:sz w:val="24"/>
        </w:rPr>
      </w:pPr>
      <w:r>
        <w:rPr>
          <w:i/>
          <w:sz w:val="24"/>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3796C" w:rsidRDefault="00D3796C">
      <w:pPr>
        <w:pStyle w:val="BodyTextIndent"/>
        <w:rPr>
          <w:sz w:val="24"/>
        </w:rPr>
      </w:pPr>
    </w:p>
    <w:p w:rsidR="00D3796C" w:rsidRDefault="00D3796C">
      <w:pPr>
        <w:pStyle w:val="BodyTextIndent"/>
        <w:rPr>
          <w:sz w:val="24"/>
        </w:rPr>
      </w:pPr>
      <w:r>
        <w:rPr>
          <w:sz w:val="24"/>
        </w:rPr>
        <w:t xml:space="preserve">The Federal costs will involve reviewing the waiver requests.  We estimate a cost of $462,707 to review and respond to the requests.  </w:t>
      </w:r>
    </w:p>
    <w:p w:rsidR="00D3796C" w:rsidRDefault="00D3796C">
      <w:pPr>
        <w:pStyle w:val="BodyTextIndent"/>
        <w:ind w:left="0"/>
        <w:rPr>
          <w:sz w:val="24"/>
        </w:rPr>
      </w:pPr>
    </w:p>
    <w:p w:rsidR="00D3796C" w:rsidRDefault="00D3796C">
      <w:pPr>
        <w:pStyle w:val="BodyText"/>
        <w:tabs>
          <w:tab w:val="left" w:pos="-360"/>
          <w:tab w:val="left" w:pos="0"/>
          <w:tab w:val="left" w:pos="270"/>
          <w:tab w:val="left" w:pos="1440"/>
        </w:tabs>
        <w:ind w:left="720"/>
      </w:pPr>
      <w:r>
        <w:t>Q15. Explain the reasons for any program changes or adjustments reported in Items 13 or 14 of the OMB Form 83-I.</w:t>
      </w:r>
    </w:p>
    <w:p w:rsidR="00D3796C" w:rsidRDefault="00D3796C">
      <w:pPr>
        <w:pStyle w:val="BodyTextIndent"/>
        <w:ind w:left="1440"/>
        <w:rPr>
          <w:sz w:val="24"/>
        </w:rPr>
      </w:pPr>
    </w:p>
    <w:p w:rsidR="00D3796C" w:rsidRDefault="00C705BB">
      <w:pPr>
        <w:pStyle w:val="BodyTextIndent"/>
        <w:rPr>
          <w:sz w:val="24"/>
        </w:rPr>
      </w:pPr>
      <w:r>
        <w:rPr>
          <w:sz w:val="24"/>
        </w:rPr>
        <w:t>There is no change in burden hours</w:t>
      </w:r>
      <w:r w:rsidR="00D3796C">
        <w:rPr>
          <w:sz w:val="24"/>
        </w:rPr>
        <w:t xml:space="preserve">. </w:t>
      </w:r>
    </w:p>
    <w:p w:rsidR="00D3796C" w:rsidRDefault="00D3796C">
      <w:pPr>
        <w:pStyle w:val="BodyTextIndent"/>
        <w:rPr>
          <w:sz w:val="24"/>
        </w:rPr>
      </w:pPr>
    </w:p>
    <w:p w:rsidR="00D3796C" w:rsidRDefault="00D3796C">
      <w:pPr>
        <w:tabs>
          <w:tab w:val="left" w:pos="-360"/>
          <w:tab w:val="left" w:pos="0"/>
          <w:tab w:val="left" w:pos="270"/>
          <w:tab w:val="left" w:pos="1440"/>
        </w:tabs>
        <w:ind w:left="720"/>
        <w:rPr>
          <w:i/>
          <w:sz w:val="24"/>
        </w:rPr>
      </w:pPr>
      <w:r>
        <w:rPr>
          <w:i/>
          <w:sz w:val="24"/>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796C" w:rsidRDefault="00D3796C">
      <w:pPr>
        <w:pStyle w:val="BodyTextIndent"/>
        <w:rPr>
          <w:sz w:val="24"/>
        </w:rPr>
      </w:pPr>
    </w:p>
    <w:p w:rsidR="00D3796C" w:rsidRDefault="00D3796C">
      <w:pPr>
        <w:pStyle w:val="BodyTextIndent"/>
        <w:rPr>
          <w:sz w:val="24"/>
        </w:rPr>
      </w:pPr>
      <w:r>
        <w:rPr>
          <w:sz w:val="24"/>
        </w:rPr>
        <w:t>There are no plans to publish the results of this data collection.</w:t>
      </w:r>
    </w:p>
    <w:p w:rsidR="00D3796C" w:rsidRDefault="00D3796C">
      <w:pPr>
        <w:pStyle w:val="BodyTextIndent"/>
        <w:rPr>
          <w:sz w:val="24"/>
        </w:rPr>
      </w:pPr>
    </w:p>
    <w:p w:rsidR="00D3796C" w:rsidRDefault="00D3796C">
      <w:pPr>
        <w:pStyle w:val="BodyTextIndent"/>
        <w:rPr>
          <w:sz w:val="24"/>
        </w:rPr>
      </w:pPr>
      <w:r>
        <w:rPr>
          <w:i/>
          <w:sz w:val="24"/>
        </w:rPr>
        <w:t>Q17.  If seeking approval to not display the expiration date for OMB approval of the information collection, explain the reasons that display would be inappropriate.</w:t>
      </w:r>
    </w:p>
    <w:p w:rsidR="00D3796C" w:rsidRDefault="00D3796C">
      <w:pPr>
        <w:pStyle w:val="BodyTextIndent"/>
        <w:rPr>
          <w:sz w:val="24"/>
        </w:rPr>
      </w:pPr>
    </w:p>
    <w:p w:rsidR="00D3796C" w:rsidRDefault="00D3796C">
      <w:pPr>
        <w:pStyle w:val="BodyTextIndent"/>
        <w:rPr>
          <w:sz w:val="24"/>
        </w:rPr>
      </w:pPr>
      <w:r>
        <w:rPr>
          <w:sz w:val="24"/>
        </w:rPr>
        <w:t>No request is being made to not display the expiration date for OMB approval of the information collection.</w:t>
      </w:r>
    </w:p>
    <w:p w:rsidR="00D3796C" w:rsidRDefault="00D3796C">
      <w:pPr>
        <w:tabs>
          <w:tab w:val="left" w:pos="-360"/>
          <w:tab w:val="left" w:pos="0"/>
          <w:tab w:val="left" w:pos="270"/>
          <w:tab w:val="left" w:pos="1440"/>
        </w:tabs>
        <w:ind w:left="720"/>
        <w:rPr>
          <w:i/>
        </w:rPr>
      </w:pPr>
    </w:p>
    <w:p w:rsidR="00D3796C" w:rsidRDefault="00D3796C">
      <w:pPr>
        <w:pStyle w:val="BodyText"/>
        <w:tabs>
          <w:tab w:val="left" w:pos="-360"/>
          <w:tab w:val="left" w:pos="0"/>
          <w:tab w:val="left" w:pos="270"/>
          <w:tab w:val="left" w:pos="1440"/>
        </w:tabs>
        <w:ind w:left="720"/>
      </w:pPr>
      <w:r>
        <w:t>Q18. Explain each exception to the certification statement identified in Item 20, "Certification for Paperwork Reduction Act Submissions," of OMB Form 83-I.</w:t>
      </w:r>
    </w:p>
    <w:p w:rsidR="00D3796C" w:rsidRDefault="00D3796C">
      <w:pPr>
        <w:pStyle w:val="BodyTextIndent"/>
        <w:rPr>
          <w:sz w:val="24"/>
        </w:rPr>
      </w:pPr>
    </w:p>
    <w:p w:rsidR="00D3796C" w:rsidRDefault="00D3796C">
      <w:pPr>
        <w:pStyle w:val="BodyTextIndent"/>
        <w:rPr>
          <w:sz w:val="24"/>
        </w:rPr>
      </w:pPr>
      <w:r>
        <w:rPr>
          <w:sz w:val="24"/>
        </w:rPr>
        <w:t>There are no exceptions to the referenced certification statement.</w:t>
      </w:r>
    </w:p>
    <w:p w:rsidR="00D3796C" w:rsidRDefault="00D3796C">
      <w:pPr>
        <w:pStyle w:val="BodyTextIndent"/>
        <w:rPr>
          <w:sz w:val="24"/>
        </w:rPr>
      </w:pPr>
    </w:p>
    <w:p w:rsidR="00D3796C" w:rsidRDefault="00D3796C">
      <w:pPr>
        <w:pStyle w:val="BodyTextIndent"/>
        <w:numPr>
          <w:ilvl w:val="0"/>
          <w:numId w:val="1"/>
        </w:numPr>
        <w:rPr>
          <w:b/>
          <w:bCs/>
          <w:sz w:val="24"/>
        </w:rPr>
      </w:pPr>
      <w:r>
        <w:rPr>
          <w:b/>
          <w:bCs/>
          <w:sz w:val="24"/>
        </w:rPr>
        <w:t xml:space="preserve">COLLECTION OF INFORMATION EMPLOYING STATISTICAL METHODS </w:t>
      </w:r>
    </w:p>
    <w:p w:rsidR="00D3796C" w:rsidRDefault="00D3796C">
      <w:pPr>
        <w:pStyle w:val="BodyTextIndent"/>
        <w:rPr>
          <w:sz w:val="24"/>
        </w:rPr>
      </w:pPr>
    </w:p>
    <w:p w:rsidR="00D3796C" w:rsidRDefault="00D3796C">
      <w:pPr>
        <w:pStyle w:val="BodyTextIndent"/>
        <w:rPr>
          <w:sz w:val="24"/>
        </w:rPr>
      </w:pPr>
      <w:r>
        <w:rPr>
          <w:sz w:val="24"/>
        </w:rPr>
        <w:t>This information collection does not employ statistical methods.</w:t>
      </w:r>
    </w:p>
    <w:sectPr w:rsidR="00D3796C" w:rsidSect="00DC01EB">
      <w:footerReference w:type="even" r:id="rId7"/>
      <w:footerReference w:type="default" r:id="rId8"/>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699" w:rsidRDefault="00BB4699">
      <w:r>
        <w:separator/>
      </w:r>
    </w:p>
  </w:endnote>
  <w:endnote w:type="continuationSeparator" w:id="0">
    <w:p w:rsidR="00BB4699" w:rsidRDefault="00BB46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81A" w:rsidRDefault="00634040">
    <w:pPr>
      <w:pStyle w:val="Footer"/>
      <w:framePr w:wrap="around" w:vAnchor="text" w:hAnchor="margin" w:xAlign="center" w:y="1"/>
      <w:rPr>
        <w:rStyle w:val="PageNumber"/>
      </w:rPr>
    </w:pPr>
    <w:r>
      <w:rPr>
        <w:rStyle w:val="PageNumber"/>
      </w:rPr>
      <w:fldChar w:fldCharType="begin"/>
    </w:r>
    <w:r w:rsidR="0025681A">
      <w:rPr>
        <w:rStyle w:val="PageNumber"/>
      </w:rPr>
      <w:instrText xml:space="preserve">PAGE  </w:instrText>
    </w:r>
    <w:r>
      <w:rPr>
        <w:rStyle w:val="PageNumber"/>
      </w:rPr>
      <w:fldChar w:fldCharType="end"/>
    </w:r>
  </w:p>
  <w:p w:rsidR="0025681A" w:rsidRDefault="002568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81A" w:rsidRDefault="00634040">
    <w:pPr>
      <w:pStyle w:val="Footer"/>
      <w:framePr w:wrap="around" w:vAnchor="text" w:hAnchor="margin" w:xAlign="center" w:y="1"/>
      <w:rPr>
        <w:rStyle w:val="PageNumber"/>
      </w:rPr>
    </w:pPr>
    <w:r>
      <w:rPr>
        <w:rStyle w:val="PageNumber"/>
      </w:rPr>
      <w:fldChar w:fldCharType="begin"/>
    </w:r>
    <w:r w:rsidR="0025681A">
      <w:rPr>
        <w:rStyle w:val="PageNumber"/>
      </w:rPr>
      <w:instrText xml:space="preserve">PAGE  </w:instrText>
    </w:r>
    <w:r>
      <w:rPr>
        <w:rStyle w:val="PageNumber"/>
      </w:rPr>
      <w:fldChar w:fldCharType="separate"/>
    </w:r>
    <w:r w:rsidR="00FF5341">
      <w:rPr>
        <w:rStyle w:val="PageNumber"/>
        <w:noProof/>
      </w:rPr>
      <w:t>6</w:t>
    </w:r>
    <w:r>
      <w:rPr>
        <w:rStyle w:val="PageNumber"/>
      </w:rPr>
      <w:fldChar w:fldCharType="end"/>
    </w:r>
  </w:p>
  <w:p w:rsidR="0025681A" w:rsidRDefault="002568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699" w:rsidRDefault="00BB4699">
      <w:r>
        <w:separator/>
      </w:r>
    </w:p>
  </w:footnote>
  <w:footnote w:type="continuationSeparator" w:id="0">
    <w:p w:rsidR="00BB4699" w:rsidRDefault="00BB46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38E"/>
    <w:multiLevelType w:val="hybridMultilevel"/>
    <w:tmpl w:val="C8CE2AB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06244B9"/>
    <w:multiLevelType w:val="hybridMultilevel"/>
    <w:tmpl w:val="4FD63B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1E183627"/>
    <w:multiLevelType w:val="hybridMultilevel"/>
    <w:tmpl w:val="05E21180"/>
    <w:lvl w:ilvl="0" w:tplc="33E0640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410C1BE1"/>
    <w:multiLevelType w:val="hybridMultilevel"/>
    <w:tmpl w:val="6BFE45E4"/>
    <w:lvl w:ilvl="0" w:tplc="0409000F">
      <w:start w:val="1"/>
      <w:numFmt w:val="decimal"/>
      <w:lvlText w:val="%1."/>
      <w:lvlJc w:val="left"/>
      <w:pPr>
        <w:tabs>
          <w:tab w:val="num" w:pos="360"/>
        </w:tabs>
        <w:ind w:left="360" w:hanging="360"/>
      </w:pPr>
    </w:lvl>
    <w:lvl w:ilvl="1" w:tplc="27660046">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1C12222"/>
    <w:multiLevelType w:val="hybridMultilevel"/>
    <w:tmpl w:val="7B224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2F1915"/>
    <w:multiLevelType w:val="hybridMultilevel"/>
    <w:tmpl w:val="C1F8BB04"/>
    <w:lvl w:ilvl="0" w:tplc="6DC6C174">
      <w:start w:val="1"/>
      <w:numFmt w:val="bullet"/>
      <w:lvlText w:val=""/>
      <w:lvlJc w:val="left"/>
      <w:pPr>
        <w:tabs>
          <w:tab w:val="num" w:pos="2297"/>
        </w:tabs>
        <w:ind w:left="2297" w:hanging="360"/>
      </w:pPr>
      <w:rPr>
        <w:rFonts w:ascii="Wingdings" w:hAnsi="Wingdings" w:hint="default"/>
        <w:sz w:val="20"/>
      </w:rPr>
    </w:lvl>
    <w:lvl w:ilvl="1" w:tplc="04090003" w:tentative="1">
      <w:start w:val="1"/>
      <w:numFmt w:val="bullet"/>
      <w:lvlText w:val="o"/>
      <w:lvlJc w:val="left"/>
      <w:pPr>
        <w:tabs>
          <w:tab w:val="num" w:pos="3017"/>
        </w:tabs>
        <w:ind w:left="3017" w:hanging="360"/>
      </w:pPr>
      <w:rPr>
        <w:rFonts w:ascii="Courier New" w:hAnsi="Courier New" w:hint="default"/>
      </w:rPr>
    </w:lvl>
    <w:lvl w:ilvl="2" w:tplc="04090005" w:tentative="1">
      <w:start w:val="1"/>
      <w:numFmt w:val="bullet"/>
      <w:lvlText w:val=""/>
      <w:lvlJc w:val="left"/>
      <w:pPr>
        <w:tabs>
          <w:tab w:val="num" w:pos="3737"/>
        </w:tabs>
        <w:ind w:left="3737" w:hanging="360"/>
      </w:pPr>
      <w:rPr>
        <w:rFonts w:ascii="Wingdings" w:hAnsi="Wingdings" w:hint="default"/>
      </w:rPr>
    </w:lvl>
    <w:lvl w:ilvl="3" w:tplc="04090001" w:tentative="1">
      <w:start w:val="1"/>
      <w:numFmt w:val="bullet"/>
      <w:lvlText w:val=""/>
      <w:lvlJc w:val="left"/>
      <w:pPr>
        <w:tabs>
          <w:tab w:val="num" w:pos="4457"/>
        </w:tabs>
        <w:ind w:left="4457" w:hanging="360"/>
      </w:pPr>
      <w:rPr>
        <w:rFonts w:ascii="Symbol" w:hAnsi="Symbol" w:hint="default"/>
      </w:rPr>
    </w:lvl>
    <w:lvl w:ilvl="4" w:tplc="04090003" w:tentative="1">
      <w:start w:val="1"/>
      <w:numFmt w:val="bullet"/>
      <w:lvlText w:val="o"/>
      <w:lvlJc w:val="left"/>
      <w:pPr>
        <w:tabs>
          <w:tab w:val="num" w:pos="5177"/>
        </w:tabs>
        <w:ind w:left="5177" w:hanging="360"/>
      </w:pPr>
      <w:rPr>
        <w:rFonts w:ascii="Courier New" w:hAnsi="Courier New" w:hint="default"/>
      </w:rPr>
    </w:lvl>
    <w:lvl w:ilvl="5" w:tplc="04090005" w:tentative="1">
      <w:start w:val="1"/>
      <w:numFmt w:val="bullet"/>
      <w:lvlText w:val=""/>
      <w:lvlJc w:val="left"/>
      <w:pPr>
        <w:tabs>
          <w:tab w:val="num" w:pos="5897"/>
        </w:tabs>
        <w:ind w:left="5897" w:hanging="360"/>
      </w:pPr>
      <w:rPr>
        <w:rFonts w:ascii="Wingdings" w:hAnsi="Wingdings" w:hint="default"/>
      </w:rPr>
    </w:lvl>
    <w:lvl w:ilvl="6" w:tplc="04090001" w:tentative="1">
      <w:start w:val="1"/>
      <w:numFmt w:val="bullet"/>
      <w:lvlText w:val=""/>
      <w:lvlJc w:val="left"/>
      <w:pPr>
        <w:tabs>
          <w:tab w:val="num" w:pos="6617"/>
        </w:tabs>
        <w:ind w:left="6617" w:hanging="360"/>
      </w:pPr>
      <w:rPr>
        <w:rFonts w:ascii="Symbol" w:hAnsi="Symbol" w:hint="default"/>
      </w:rPr>
    </w:lvl>
    <w:lvl w:ilvl="7" w:tplc="04090003" w:tentative="1">
      <w:start w:val="1"/>
      <w:numFmt w:val="bullet"/>
      <w:lvlText w:val="o"/>
      <w:lvlJc w:val="left"/>
      <w:pPr>
        <w:tabs>
          <w:tab w:val="num" w:pos="7337"/>
        </w:tabs>
        <w:ind w:left="7337" w:hanging="360"/>
      </w:pPr>
      <w:rPr>
        <w:rFonts w:ascii="Courier New" w:hAnsi="Courier New" w:hint="default"/>
      </w:rPr>
    </w:lvl>
    <w:lvl w:ilvl="8" w:tplc="04090005" w:tentative="1">
      <w:start w:val="1"/>
      <w:numFmt w:val="bullet"/>
      <w:lvlText w:val=""/>
      <w:lvlJc w:val="left"/>
      <w:pPr>
        <w:tabs>
          <w:tab w:val="num" w:pos="8057"/>
        </w:tabs>
        <w:ind w:left="8057" w:hanging="360"/>
      </w:pPr>
      <w:rPr>
        <w:rFonts w:ascii="Wingdings" w:hAnsi="Wingdings" w:hint="default"/>
      </w:rPr>
    </w:lvl>
  </w:abstractNum>
  <w:abstractNum w:abstractNumId="7">
    <w:nsid w:val="6EC13BE9"/>
    <w:multiLevelType w:val="singleLevel"/>
    <w:tmpl w:val="120A7276"/>
    <w:lvl w:ilvl="0">
      <w:start w:val="2"/>
      <w:numFmt w:val="lowerLetter"/>
      <w:lvlText w:val="%1."/>
      <w:lvlJc w:val="left"/>
      <w:pPr>
        <w:tabs>
          <w:tab w:val="num" w:pos="1440"/>
        </w:tabs>
        <w:ind w:left="1440" w:hanging="720"/>
      </w:pPr>
      <w:rPr>
        <w:rFonts w:hint="default"/>
      </w:rPr>
    </w:lvl>
  </w:abstractNum>
  <w:abstractNum w:abstractNumId="8">
    <w:nsid w:val="70181D10"/>
    <w:multiLevelType w:val="singleLevel"/>
    <w:tmpl w:val="37202A0E"/>
    <w:lvl w:ilvl="0">
      <w:start w:val="1"/>
      <w:numFmt w:val="upperLetter"/>
      <w:pStyle w:val="Heading1"/>
      <w:lvlText w:val="%1."/>
      <w:lvlJc w:val="left"/>
      <w:pPr>
        <w:tabs>
          <w:tab w:val="num" w:pos="720"/>
        </w:tabs>
        <w:ind w:left="720" w:hanging="720"/>
      </w:pPr>
      <w:rPr>
        <w:rFonts w:hint="default"/>
      </w:rPr>
    </w:lvl>
  </w:abstractNum>
  <w:abstractNum w:abstractNumId="9">
    <w:nsid w:val="718550C6"/>
    <w:multiLevelType w:val="singleLevel"/>
    <w:tmpl w:val="F76A3814"/>
    <w:lvl w:ilvl="0">
      <w:start w:val="1"/>
      <w:numFmt w:val="decimal"/>
      <w:lvlText w:val="%1."/>
      <w:lvlJc w:val="left"/>
      <w:pPr>
        <w:tabs>
          <w:tab w:val="num" w:pos="720"/>
        </w:tabs>
        <w:ind w:left="720" w:hanging="720"/>
      </w:pPr>
      <w:rPr>
        <w:rFonts w:hint="default"/>
      </w:rPr>
    </w:lvl>
  </w:abstractNum>
  <w:num w:numId="1">
    <w:abstractNumId w:val="8"/>
  </w:num>
  <w:num w:numId="2">
    <w:abstractNumId w:val="9"/>
  </w:num>
  <w:num w:numId="3">
    <w:abstractNumId w:val="7"/>
  </w:num>
  <w:num w:numId="4">
    <w:abstractNumId w:val="5"/>
  </w:num>
  <w:num w:numId="5">
    <w:abstractNumId w:val="4"/>
  </w:num>
  <w:num w:numId="6">
    <w:abstractNumId w:val="2"/>
  </w:num>
  <w:num w:numId="7">
    <w:abstractNumId w:val="1"/>
  </w:num>
  <w:num w:numId="8">
    <w:abstractNumId w:val="3"/>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4F33"/>
    <w:rsid w:val="00026A61"/>
    <w:rsid w:val="00033EF4"/>
    <w:rsid w:val="000423FD"/>
    <w:rsid w:val="000A4766"/>
    <w:rsid w:val="00174B7C"/>
    <w:rsid w:val="001F4FDD"/>
    <w:rsid w:val="00206EF6"/>
    <w:rsid w:val="0025681A"/>
    <w:rsid w:val="002B020A"/>
    <w:rsid w:val="002B34FB"/>
    <w:rsid w:val="002C182C"/>
    <w:rsid w:val="002E3B34"/>
    <w:rsid w:val="0038270D"/>
    <w:rsid w:val="0042484D"/>
    <w:rsid w:val="00561F3A"/>
    <w:rsid w:val="00563640"/>
    <w:rsid w:val="005719B5"/>
    <w:rsid w:val="00575D22"/>
    <w:rsid w:val="0062662E"/>
    <w:rsid w:val="00634040"/>
    <w:rsid w:val="0064222B"/>
    <w:rsid w:val="00661CF4"/>
    <w:rsid w:val="006C66D6"/>
    <w:rsid w:val="007B326A"/>
    <w:rsid w:val="0080484A"/>
    <w:rsid w:val="008C2C2C"/>
    <w:rsid w:val="00957DB4"/>
    <w:rsid w:val="009739C4"/>
    <w:rsid w:val="00985A04"/>
    <w:rsid w:val="009E49FD"/>
    <w:rsid w:val="00AB3367"/>
    <w:rsid w:val="00B3106F"/>
    <w:rsid w:val="00B506E4"/>
    <w:rsid w:val="00BB4699"/>
    <w:rsid w:val="00BD3818"/>
    <w:rsid w:val="00BE4F33"/>
    <w:rsid w:val="00C20D09"/>
    <w:rsid w:val="00C43982"/>
    <w:rsid w:val="00C705BB"/>
    <w:rsid w:val="00C73B9B"/>
    <w:rsid w:val="00CA4E40"/>
    <w:rsid w:val="00CD1113"/>
    <w:rsid w:val="00D3796C"/>
    <w:rsid w:val="00D90A1B"/>
    <w:rsid w:val="00DC01EB"/>
    <w:rsid w:val="00DF40CF"/>
    <w:rsid w:val="00E83497"/>
    <w:rsid w:val="00E96303"/>
    <w:rsid w:val="00FD0E43"/>
    <w:rsid w:val="00FF5341"/>
    <w:rsid w:val="00FF7F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FB"/>
  </w:style>
  <w:style w:type="paragraph" w:styleId="Heading1">
    <w:name w:val="heading 1"/>
    <w:basedOn w:val="Normal"/>
    <w:next w:val="Normal"/>
    <w:qFormat/>
    <w:rsid w:val="002B34FB"/>
    <w:pPr>
      <w:keepNext/>
      <w:numPr>
        <w:numId w:val="1"/>
      </w:numPr>
      <w:outlineLvl w:val="0"/>
    </w:pPr>
    <w:rPr>
      <w:sz w:val="24"/>
    </w:rPr>
  </w:style>
  <w:style w:type="paragraph" w:styleId="Heading2">
    <w:name w:val="heading 2"/>
    <w:basedOn w:val="Normal"/>
    <w:next w:val="Normal"/>
    <w:qFormat/>
    <w:rsid w:val="002B34FB"/>
    <w:pPr>
      <w:keepNext/>
      <w:ind w:left="720"/>
      <w:jc w:val="center"/>
      <w:outlineLvl w:val="1"/>
    </w:pPr>
    <w:rPr>
      <w:b/>
      <w:bCs/>
      <w:sz w:val="24"/>
    </w:rPr>
  </w:style>
  <w:style w:type="paragraph" w:styleId="Heading3">
    <w:name w:val="heading 3"/>
    <w:basedOn w:val="Normal"/>
    <w:qFormat/>
    <w:rsid w:val="002B34FB"/>
    <w:pPr>
      <w:spacing w:before="100" w:beforeAutospacing="1" w:after="100" w:afterAutospacing="1"/>
      <w:outlineLvl w:val="2"/>
    </w:pPr>
    <w:rPr>
      <w:rFonts w:ascii="Verdana" w:eastAsia="Arial Unicode MS" w:hAnsi="Verdana" w:cs="Arial Unicode MS"/>
      <w:b/>
      <w:bCs/>
      <w:color w:val="333333"/>
    </w:rPr>
  </w:style>
  <w:style w:type="paragraph" w:styleId="Heading4">
    <w:name w:val="heading 4"/>
    <w:basedOn w:val="Normal"/>
    <w:next w:val="Normal"/>
    <w:qFormat/>
    <w:rsid w:val="002B34FB"/>
    <w:pPr>
      <w:keepNext/>
      <w:outlineLvl w:val="3"/>
    </w:pPr>
    <w:rPr>
      <w:b/>
      <w:bCs/>
    </w:rPr>
  </w:style>
  <w:style w:type="paragraph" w:styleId="Heading5">
    <w:name w:val="heading 5"/>
    <w:basedOn w:val="Normal"/>
    <w:next w:val="Normal"/>
    <w:qFormat/>
    <w:rsid w:val="002B34FB"/>
    <w:pPr>
      <w:keepNext/>
      <w:jc w:val="right"/>
      <w:outlineLvl w:val="4"/>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B34FB"/>
    <w:pPr>
      <w:ind w:left="720"/>
    </w:pPr>
  </w:style>
  <w:style w:type="paragraph" w:styleId="Subtitle">
    <w:name w:val="Subtitle"/>
    <w:basedOn w:val="Normal"/>
    <w:qFormat/>
    <w:rsid w:val="002B34FB"/>
    <w:rPr>
      <w:b/>
      <w:bCs/>
      <w:sz w:val="24"/>
    </w:rPr>
  </w:style>
  <w:style w:type="paragraph" w:styleId="Header">
    <w:name w:val="header"/>
    <w:basedOn w:val="Normal"/>
    <w:semiHidden/>
    <w:rsid w:val="002B34FB"/>
    <w:pPr>
      <w:tabs>
        <w:tab w:val="center" w:pos="4320"/>
        <w:tab w:val="right" w:pos="8640"/>
      </w:tabs>
    </w:pPr>
  </w:style>
  <w:style w:type="paragraph" w:styleId="Footer">
    <w:name w:val="footer"/>
    <w:basedOn w:val="Normal"/>
    <w:semiHidden/>
    <w:rsid w:val="002B34FB"/>
    <w:pPr>
      <w:tabs>
        <w:tab w:val="center" w:pos="4320"/>
        <w:tab w:val="right" w:pos="8640"/>
      </w:tabs>
    </w:pPr>
  </w:style>
  <w:style w:type="character" w:styleId="PageNumber">
    <w:name w:val="page number"/>
    <w:basedOn w:val="DefaultParagraphFont"/>
    <w:semiHidden/>
    <w:rsid w:val="002B34FB"/>
  </w:style>
  <w:style w:type="paragraph" w:styleId="Title">
    <w:name w:val="Title"/>
    <w:basedOn w:val="Normal"/>
    <w:qFormat/>
    <w:rsid w:val="002B34FB"/>
    <w:pPr>
      <w:ind w:left="720"/>
      <w:jc w:val="center"/>
    </w:pPr>
    <w:rPr>
      <w:b/>
      <w:bCs/>
      <w:sz w:val="28"/>
    </w:rPr>
  </w:style>
  <w:style w:type="paragraph" w:styleId="BodyText">
    <w:name w:val="Body Text"/>
    <w:basedOn w:val="Normal"/>
    <w:semiHidden/>
    <w:rsid w:val="002B34FB"/>
    <w:rPr>
      <w:i/>
      <w:sz w:val="24"/>
    </w:rPr>
  </w:style>
  <w:style w:type="paragraph" w:styleId="BodyTextIndent2">
    <w:name w:val="Body Text Indent 2"/>
    <w:basedOn w:val="Normal"/>
    <w:semiHidden/>
    <w:rsid w:val="002B34FB"/>
    <w:pPr>
      <w:ind w:left="360"/>
    </w:pPr>
    <w:rPr>
      <w:sz w:val="24"/>
    </w:rPr>
  </w:style>
  <w:style w:type="paragraph" w:styleId="BodyTextIndent3">
    <w:name w:val="Body Text Indent 3"/>
    <w:basedOn w:val="Normal"/>
    <w:semiHidden/>
    <w:rsid w:val="002B34FB"/>
    <w:pPr>
      <w:ind w:left="720"/>
    </w:pPr>
    <w:rPr>
      <w:i/>
      <w:iCs/>
      <w:sz w:val="24"/>
    </w:rPr>
  </w:style>
  <w:style w:type="paragraph" w:styleId="BodyText2">
    <w:name w:val="Body Text 2"/>
    <w:basedOn w:val="Normal"/>
    <w:semiHidden/>
    <w:rsid w:val="002B34FB"/>
    <w:rPr>
      <w:sz w:val="24"/>
    </w:rPr>
  </w:style>
  <w:style w:type="paragraph" w:customStyle="1" w:styleId="Style">
    <w:name w:val="Style"/>
    <w:basedOn w:val="Normal"/>
    <w:rsid w:val="002B34FB"/>
    <w:pPr>
      <w:widowControl w:val="0"/>
      <w:ind w:left="270" w:hanging="270"/>
    </w:pPr>
    <w:rPr>
      <w:snapToGrid w:val="0"/>
      <w:sz w:val="24"/>
    </w:rPr>
  </w:style>
  <w:style w:type="paragraph" w:styleId="BodyText3">
    <w:name w:val="Body Text 3"/>
    <w:basedOn w:val="Normal"/>
    <w:semiHidden/>
    <w:rsid w:val="002B34FB"/>
    <w:pPr>
      <w:jc w:val="both"/>
    </w:pPr>
    <w:rPr>
      <w:i/>
      <w:iCs/>
      <w:sz w:val="24"/>
    </w:rPr>
  </w:style>
  <w:style w:type="character" w:styleId="Hyperlink">
    <w:name w:val="Hyperlink"/>
    <w:basedOn w:val="DefaultParagraphFont"/>
    <w:semiHidden/>
    <w:rsid w:val="002B34FB"/>
    <w:rPr>
      <w:color w:val="0000FF"/>
      <w:u w:val="single"/>
    </w:rPr>
  </w:style>
  <w:style w:type="paragraph" w:styleId="FootnoteText">
    <w:name w:val="footnote text"/>
    <w:basedOn w:val="Normal"/>
    <w:semiHidden/>
    <w:rsid w:val="002B34FB"/>
  </w:style>
  <w:style w:type="character" w:styleId="FootnoteReference">
    <w:name w:val="footnote reference"/>
    <w:basedOn w:val="DefaultParagraphFont"/>
    <w:semiHidden/>
    <w:rsid w:val="002B34FB"/>
    <w:rPr>
      <w:vertAlign w:val="superscript"/>
    </w:rPr>
  </w:style>
  <w:style w:type="character" w:styleId="FollowedHyperlink">
    <w:name w:val="FollowedHyperlink"/>
    <w:basedOn w:val="DefaultParagraphFont"/>
    <w:semiHidden/>
    <w:rsid w:val="002B34FB"/>
    <w:rPr>
      <w:color w:val="800080"/>
      <w:u w:val="single"/>
    </w:rPr>
  </w:style>
  <w:style w:type="paragraph" w:styleId="BalloonText">
    <w:name w:val="Balloon Text"/>
    <w:basedOn w:val="Normal"/>
    <w:semiHidden/>
    <w:rsid w:val="002B34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Education</dc:creator>
  <cp:lastModifiedBy>Authorised User</cp:lastModifiedBy>
  <cp:revision>11</cp:revision>
  <cp:lastPrinted>2009-10-14T16:12:00Z</cp:lastPrinted>
  <dcterms:created xsi:type="dcterms:W3CDTF">2009-10-14T13:45:00Z</dcterms:created>
  <dcterms:modified xsi:type="dcterms:W3CDTF">2009-10-14T19:31:00Z</dcterms:modified>
</cp:coreProperties>
</file>