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689" w:rsidRDefault="00632689" w:rsidP="00632689">
      <w:pPr>
        <w:tabs>
          <w:tab w:val="left" w:pos="540"/>
        </w:tabs>
        <w:ind w:left="2160" w:hanging="2160"/>
        <w:jc w:val="center"/>
        <w:rPr>
          <w:rFonts w:ascii="Courier New" w:hAnsi="Courier New" w:cs="Courier New"/>
          <w:b/>
        </w:rPr>
      </w:pPr>
      <w:r>
        <w:rPr>
          <w:rFonts w:ascii="Courier New" w:hAnsi="Courier New" w:cs="Courier New"/>
          <w:b/>
        </w:rPr>
        <w:t xml:space="preserve">Formative </w:t>
      </w:r>
      <w:r w:rsidRPr="00E351A4">
        <w:rPr>
          <w:rFonts w:ascii="Courier New" w:hAnsi="Courier New" w:cs="Courier New"/>
          <w:b/>
        </w:rPr>
        <w:t>Research</w:t>
      </w:r>
      <w:r>
        <w:rPr>
          <w:rFonts w:ascii="Courier New" w:hAnsi="Courier New" w:cs="Courier New"/>
          <w:b/>
        </w:rPr>
        <w:t xml:space="preserve"> </w:t>
      </w:r>
      <w:r w:rsidRPr="00E351A4">
        <w:rPr>
          <w:rFonts w:ascii="Courier New" w:hAnsi="Courier New" w:cs="Courier New"/>
          <w:b/>
        </w:rPr>
        <w:t xml:space="preserve">and </w:t>
      </w:r>
      <w:r>
        <w:rPr>
          <w:rFonts w:ascii="Courier New" w:hAnsi="Courier New" w:cs="Courier New"/>
          <w:b/>
        </w:rPr>
        <w:t>Tool</w:t>
      </w:r>
      <w:r w:rsidRPr="00E351A4">
        <w:rPr>
          <w:rFonts w:ascii="Courier New" w:hAnsi="Courier New" w:cs="Courier New"/>
          <w:b/>
        </w:rPr>
        <w:t xml:space="preserve"> Development</w:t>
      </w:r>
    </w:p>
    <w:p w:rsidR="00632689" w:rsidRDefault="00632689" w:rsidP="00632689">
      <w:pPr>
        <w:jc w:val="center"/>
        <w:rPr>
          <w:b/>
        </w:rPr>
      </w:pPr>
      <w:r>
        <w:rPr>
          <w:b/>
        </w:rPr>
        <w:t>N</w:t>
      </w:r>
      <w:r w:rsidRPr="00005D0B">
        <w:rPr>
          <w:b/>
        </w:rPr>
        <w:t>ational T</w:t>
      </w:r>
      <w:r>
        <w:rPr>
          <w:b/>
        </w:rPr>
        <w:t>uberculosis (TB)</w:t>
      </w:r>
      <w:r w:rsidRPr="00005D0B">
        <w:rPr>
          <w:b/>
        </w:rPr>
        <w:t xml:space="preserve"> </w:t>
      </w:r>
      <w:r>
        <w:rPr>
          <w:b/>
        </w:rPr>
        <w:t>L</w:t>
      </w:r>
      <w:r w:rsidRPr="00005D0B">
        <w:rPr>
          <w:b/>
        </w:rPr>
        <w:t xml:space="preserve">aboratory </w:t>
      </w:r>
      <w:r>
        <w:rPr>
          <w:b/>
        </w:rPr>
        <w:t>S</w:t>
      </w:r>
      <w:r w:rsidRPr="00005D0B">
        <w:rPr>
          <w:b/>
        </w:rPr>
        <w:t xml:space="preserve">ervices </w:t>
      </w:r>
      <w:r>
        <w:rPr>
          <w:b/>
        </w:rPr>
        <w:t>Survey</w:t>
      </w:r>
    </w:p>
    <w:p w:rsidR="00632689" w:rsidRPr="00E351A4" w:rsidRDefault="00632689" w:rsidP="00632689">
      <w:pPr>
        <w:jc w:val="center"/>
        <w:rPr>
          <w:rFonts w:ascii="Courier New" w:hAnsi="Courier New" w:cs="Courier New"/>
          <w:b/>
        </w:rPr>
      </w:pPr>
      <w:r>
        <w:rPr>
          <w:rFonts w:ascii="Courier New" w:hAnsi="Courier New" w:cs="Courier New"/>
          <w:b/>
        </w:rPr>
        <w:t>Supporting Statement</w:t>
      </w:r>
    </w:p>
    <w:p w:rsidR="00632689" w:rsidRDefault="00632689" w:rsidP="00632689">
      <w:pPr>
        <w:rPr>
          <w:rFonts w:ascii="Courier New" w:hAnsi="Courier New" w:cs="Courier New"/>
          <w:b/>
        </w:rPr>
      </w:pPr>
    </w:p>
    <w:p w:rsidR="00632689" w:rsidRPr="00494A46" w:rsidRDefault="00632689" w:rsidP="00632689">
      <w:pPr>
        <w:rPr>
          <w:rFonts w:ascii="Courier New" w:hAnsi="Courier New" w:cs="Courier New"/>
          <w:b/>
          <w:u w:val="single"/>
        </w:rPr>
      </w:pPr>
      <w:r w:rsidRPr="00494A46">
        <w:rPr>
          <w:rFonts w:ascii="Courier New" w:hAnsi="Courier New" w:cs="Courier New"/>
          <w:b/>
        </w:rPr>
        <w:t xml:space="preserve">B. </w:t>
      </w:r>
      <w:r w:rsidRPr="00494A46">
        <w:rPr>
          <w:rFonts w:ascii="Courier New" w:hAnsi="Courier New" w:cs="Courier New"/>
          <w:b/>
          <w:caps/>
          <w:u w:val="single"/>
        </w:rPr>
        <w:t>Collection of Information Employing Statistical Methods</w:t>
      </w:r>
      <w:r w:rsidRPr="00494A46">
        <w:rPr>
          <w:rFonts w:ascii="Courier New" w:hAnsi="Courier New" w:cs="Courier New"/>
          <w:b/>
          <w:u w:val="single"/>
        </w:rPr>
        <w:t xml:space="preserve"> </w:t>
      </w:r>
    </w:p>
    <w:p w:rsidR="00632689" w:rsidRDefault="00632689" w:rsidP="00632689">
      <w:pPr>
        <w:widowControl/>
        <w:tabs>
          <w:tab w:val="left" w:pos="0"/>
        </w:tabs>
        <w:rPr>
          <w:rFonts w:ascii="Courier New" w:hAnsi="Courier New" w:cs="Courier New"/>
          <w:color w:val="000000"/>
        </w:rPr>
      </w:pPr>
    </w:p>
    <w:p w:rsidR="00632689" w:rsidRPr="007079A3" w:rsidRDefault="00632689" w:rsidP="00632689">
      <w:pPr>
        <w:widowControl/>
        <w:tabs>
          <w:tab w:val="left" w:pos="0"/>
        </w:tabs>
        <w:rPr>
          <w:rFonts w:ascii="Courier New" w:hAnsi="Courier New" w:cs="Courier New"/>
          <w:color w:val="000000"/>
        </w:rPr>
      </w:pPr>
      <w:r w:rsidRPr="007079A3">
        <w:rPr>
          <w:rFonts w:ascii="Courier New" w:hAnsi="Courier New" w:cs="Courier New"/>
          <w:bCs/>
          <w:color w:val="000000"/>
        </w:rPr>
        <w:t xml:space="preserve">This information collection request does not employ statistical methods. </w:t>
      </w:r>
    </w:p>
    <w:p w:rsidR="00632689" w:rsidRPr="007079A3" w:rsidRDefault="00632689" w:rsidP="00632689">
      <w:pPr>
        <w:widowControl/>
        <w:tabs>
          <w:tab w:val="left" w:pos="0"/>
        </w:tabs>
        <w:rPr>
          <w:rFonts w:ascii="Courier New" w:hAnsi="Courier New" w:cs="Courier New"/>
          <w:color w:val="000000"/>
        </w:rPr>
      </w:pPr>
    </w:p>
    <w:p w:rsidR="00632689" w:rsidRDefault="00632689" w:rsidP="00632689">
      <w:pPr>
        <w:widowControl/>
        <w:tabs>
          <w:tab w:val="left" w:pos="0"/>
        </w:tabs>
        <w:rPr>
          <w:rFonts w:ascii="Courier New" w:hAnsi="Courier New" w:cs="Courier New"/>
          <w:b/>
          <w:bCs/>
          <w:color w:val="000000"/>
          <w:u w:val="single"/>
        </w:rPr>
      </w:pPr>
      <w:r w:rsidRPr="007079A3">
        <w:rPr>
          <w:rFonts w:ascii="Courier New" w:hAnsi="Courier New" w:cs="Courier New"/>
          <w:b/>
          <w:bCs/>
          <w:color w:val="000000"/>
        </w:rPr>
        <w:t>B.1</w:t>
      </w:r>
      <w:proofErr w:type="gramStart"/>
      <w:r w:rsidRPr="007079A3">
        <w:rPr>
          <w:rFonts w:ascii="Courier New" w:hAnsi="Courier New" w:cs="Courier New"/>
          <w:b/>
          <w:bCs/>
          <w:color w:val="000000"/>
        </w:rPr>
        <w:t xml:space="preserve">.  </w:t>
      </w:r>
      <w:r w:rsidRPr="007079A3">
        <w:rPr>
          <w:rFonts w:ascii="Courier New" w:hAnsi="Courier New" w:cs="Courier New"/>
          <w:b/>
          <w:bCs/>
          <w:color w:val="000000"/>
          <w:u w:val="single"/>
        </w:rPr>
        <w:t>Respondent</w:t>
      </w:r>
      <w:proofErr w:type="gramEnd"/>
      <w:r w:rsidRPr="007079A3">
        <w:rPr>
          <w:rFonts w:ascii="Courier New" w:hAnsi="Courier New" w:cs="Courier New"/>
          <w:b/>
          <w:bCs/>
          <w:color w:val="000000"/>
          <w:u w:val="single"/>
        </w:rPr>
        <w:t xml:space="preserve"> Universe and Sampling Methods</w:t>
      </w:r>
    </w:p>
    <w:p w:rsidR="00632689" w:rsidRPr="00DD6B23" w:rsidRDefault="00632689" w:rsidP="00632689">
      <w:pPr>
        <w:rPr>
          <w:rFonts w:ascii="Courier New" w:hAnsi="Courier New" w:cs="Courier New"/>
        </w:rPr>
      </w:pPr>
      <w:r w:rsidRPr="00DD6B23">
        <w:rPr>
          <w:rFonts w:ascii="Courier New" w:hAnsi="Courier New" w:cs="Courier New"/>
        </w:rPr>
        <w:t xml:space="preserve">Because a comprehensive national TB laboratory survey has not been conducted before, no statistical methods will be used to define a sample frame.  Instead, a census of the entire respondent universe of all </w:t>
      </w:r>
      <w:smartTag w:uri="urn:schemas-microsoft-com:office:smarttags" w:element="country-region">
        <w:smartTag w:uri="urn:schemas-microsoft-com:office:smarttags" w:element="place">
          <w:r w:rsidRPr="00DD6B23">
            <w:rPr>
              <w:rFonts w:ascii="Courier New" w:hAnsi="Courier New" w:cs="Courier New"/>
            </w:rPr>
            <w:t>US</w:t>
          </w:r>
        </w:smartTag>
      </w:smartTag>
      <w:r w:rsidRPr="00DD6B23">
        <w:rPr>
          <w:rFonts w:ascii="Courier New" w:hAnsi="Courier New" w:cs="Courier New"/>
        </w:rPr>
        <w:t xml:space="preserve"> laboratories providing some level of TB laboratory testing services will be conducted.  Minimally, stratification variables will include the type of laboratory (e.g., public health, hospital-based clinical, nonhospital-based clinical, commercial, Department of Defense), geographic location, and level of services provided (e.g., microscopy, culture, identification, drug susceptibility testing).  </w:t>
      </w:r>
    </w:p>
    <w:p w:rsidR="00632689" w:rsidRPr="00DD6B23" w:rsidRDefault="00632689" w:rsidP="00632689">
      <w:pPr>
        <w:rPr>
          <w:rFonts w:ascii="Courier New" w:hAnsi="Courier New" w:cs="Courier New"/>
        </w:rPr>
      </w:pPr>
    </w:p>
    <w:p w:rsidR="00632689" w:rsidRDefault="00632689" w:rsidP="00632689">
      <w:pPr>
        <w:rPr>
          <w:rFonts w:ascii="Courier New" w:hAnsi="Courier New" w:cs="Courier New"/>
        </w:rPr>
      </w:pPr>
      <w:r w:rsidRPr="00DD6B23">
        <w:rPr>
          <w:rFonts w:ascii="Courier New" w:hAnsi="Courier New" w:cs="Courier New"/>
        </w:rPr>
        <w:t>The respondent universe was constructed from several sources by APHL.  These sources included the APHL member list of public health laboratories (PHL), the CDC TB Drug Susceptibility Testing Model Performance and Evaluation Program (MPEP) participant list, a Department of Defense (</w:t>
      </w:r>
      <w:proofErr w:type="spellStart"/>
      <w:proofErr w:type="gramStart"/>
      <w:r w:rsidRPr="00DD6B23">
        <w:rPr>
          <w:rFonts w:ascii="Courier New" w:hAnsi="Courier New" w:cs="Courier New"/>
        </w:rPr>
        <w:t>DoD</w:t>
      </w:r>
      <w:proofErr w:type="spellEnd"/>
      <w:proofErr w:type="gramEnd"/>
      <w:r w:rsidRPr="00DD6B23">
        <w:rPr>
          <w:rFonts w:ascii="Courier New" w:hAnsi="Courier New" w:cs="Courier New"/>
        </w:rPr>
        <w:t>) laboratory list, and a directory from the Centers for Medicaid and Medicare Services (CMS) of laboratories certified to perform mycobacteriology laboratory testing.  Directories from all sources were merged and crosschecked to prevent duplication.  The final respondent pool consists of 1,588 entities from all regions of the U.S.</w:t>
      </w:r>
      <w:r>
        <w:rPr>
          <w:rFonts w:ascii="Courier New" w:hAnsi="Courier New" w:cs="Courier New"/>
        </w:rPr>
        <w:t xml:space="preserve"> including territories.</w:t>
      </w:r>
      <w:r w:rsidRPr="00DD6B23">
        <w:rPr>
          <w:rFonts w:ascii="Courier New" w:hAnsi="Courier New" w:cs="Courier New"/>
        </w:rPr>
        <w:t xml:space="preserve">  </w:t>
      </w:r>
    </w:p>
    <w:p w:rsidR="00632689" w:rsidRPr="00DD6B23" w:rsidRDefault="00632689" w:rsidP="00632689">
      <w:pPr>
        <w:rPr>
          <w:rFonts w:ascii="Courier New" w:hAnsi="Courier New" w:cs="Courier Ne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8"/>
        <w:gridCol w:w="1866"/>
        <w:gridCol w:w="24"/>
      </w:tblGrid>
      <w:tr w:rsidR="00632689" w:rsidRPr="009A3A55" w:rsidTr="00021A43">
        <w:trPr>
          <w:gridAfter w:val="1"/>
          <w:wAfter w:w="24" w:type="dxa"/>
        </w:trPr>
        <w:tc>
          <w:tcPr>
            <w:tcW w:w="4518" w:type="dxa"/>
            <w:tcBorders>
              <w:bottom w:val="double" w:sz="4" w:space="0" w:color="auto"/>
            </w:tcBorders>
          </w:tcPr>
          <w:p w:rsidR="00632689" w:rsidRPr="009A3A55" w:rsidRDefault="00632689" w:rsidP="00021A43">
            <w:pPr>
              <w:jc w:val="center"/>
              <w:rPr>
                <w:rFonts w:ascii="Courier New" w:hAnsi="Courier New" w:cs="Courier New"/>
              </w:rPr>
            </w:pPr>
            <w:r w:rsidRPr="009A3A55">
              <w:rPr>
                <w:rFonts w:ascii="Courier New" w:hAnsi="Courier New" w:cs="Courier New"/>
              </w:rPr>
              <w:t>Respondent Characteristics (N= 1,588)</w:t>
            </w:r>
          </w:p>
        </w:tc>
        <w:tc>
          <w:tcPr>
            <w:tcW w:w="1866" w:type="dxa"/>
            <w:tcBorders>
              <w:bottom w:val="double" w:sz="4" w:space="0" w:color="auto"/>
            </w:tcBorders>
          </w:tcPr>
          <w:p w:rsidR="00632689" w:rsidRPr="009A3A55" w:rsidRDefault="00632689" w:rsidP="00021A43">
            <w:pPr>
              <w:jc w:val="center"/>
              <w:rPr>
                <w:rFonts w:ascii="Courier New" w:hAnsi="Courier New" w:cs="Courier New"/>
              </w:rPr>
            </w:pPr>
            <w:r w:rsidRPr="009A3A55">
              <w:rPr>
                <w:rFonts w:ascii="Courier New" w:hAnsi="Courier New" w:cs="Courier New"/>
              </w:rPr>
              <w:t>N (%)</w:t>
            </w:r>
          </w:p>
        </w:tc>
      </w:tr>
      <w:tr w:rsidR="00632689" w:rsidRPr="009A3A55" w:rsidTr="00021A43">
        <w:trPr>
          <w:gridAfter w:val="1"/>
          <w:wAfter w:w="24" w:type="dxa"/>
        </w:trPr>
        <w:tc>
          <w:tcPr>
            <w:tcW w:w="4518" w:type="dxa"/>
            <w:tcBorders>
              <w:top w:val="double" w:sz="4" w:space="0" w:color="auto"/>
            </w:tcBorders>
          </w:tcPr>
          <w:p w:rsidR="00632689" w:rsidRPr="009A3A55" w:rsidRDefault="00632689" w:rsidP="00021A43">
            <w:pPr>
              <w:rPr>
                <w:rFonts w:ascii="Courier New" w:hAnsi="Courier New" w:cs="Courier New"/>
              </w:rPr>
            </w:pPr>
            <w:r w:rsidRPr="009A3A55">
              <w:rPr>
                <w:rFonts w:ascii="Courier New" w:hAnsi="Courier New" w:cs="Courier New"/>
              </w:rPr>
              <w:t>Public Health Laboratory</w:t>
            </w:r>
          </w:p>
        </w:tc>
        <w:tc>
          <w:tcPr>
            <w:tcW w:w="1866" w:type="dxa"/>
            <w:tcBorders>
              <w:top w:val="double" w:sz="4" w:space="0" w:color="auto"/>
            </w:tcBorders>
          </w:tcPr>
          <w:p w:rsidR="00632689" w:rsidRPr="009A3A55" w:rsidRDefault="00632689" w:rsidP="00021A43">
            <w:pPr>
              <w:jc w:val="center"/>
              <w:rPr>
                <w:rFonts w:ascii="Courier New" w:hAnsi="Courier New" w:cs="Courier New"/>
              </w:rPr>
            </w:pPr>
            <w:r w:rsidRPr="009A3A55">
              <w:rPr>
                <w:rFonts w:ascii="Courier New" w:hAnsi="Courier New" w:cs="Courier New"/>
              </w:rPr>
              <w:t>120 (7.6)</w:t>
            </w:r>
          </w:p>
        </w:tc>
      </w:tr>
      <w:tr w:rsidR="00632689" w:rsidRPr="009A3A55" w:rsidTr="00021A43">
        <w:trPr>
          <w:gridAfter w:val="1"/>
          <w:wAfter w:w="24" w:type="dxa"/>
        </w:trPr>
        <w:tc>
          <w:tcPr>
            <w:tcW w:w="4518" w:type="dxa"/>
          </w:tcPr>
          <w:p w:rsidR="00632689" w:rsidRPr="009A3A55" w:rsidRDefault="00632689" w:rsidP="00021A43">
            <w:pPr>
              <w:rPr>
                <w:rFonts w:ascii="Courier New" w:hAnsi="Courier New" w:cs="Courier New"/>
              </w:rPr>
            </w:pPr>
            <w:r w:rsidRPr="009A3A55">
              <w:rPr>
                <w:rFonts w:ascii="Courier New" w:hAnsi="Courier New" w:cs="Courier New"/>
              </w:rPr>
              <w:t>Commercial Laboratory</w:t>
            </w:r>
          </w:p>
        </w:tc>
        <w:tc>
          <w:tcPr>
            <w:tcW w:w="1866" w:type="dxa"/>
          </w:tcPr>
          <w:p w:rsidR="00632689" w:rsidRPr="009A3A55" w:rsidRDefault="00632689" w:rsidP="00021A43">
            <w:pPr>
              <w:jc w:val="center"/>
              <w:rPr>
                <w:rFonts w:ascii="Courier New" w:hAnsi="Courier New" w:cs="Courier New"/>
              </w:rPr>
            </w:pPr>
            <w:r w:rsidRPr="009A3A55">
              <w:rPr>
                <w:rFonts w:ascii="Courier New" w:hAnsi="Courier New" w:cs="Courier New"/>
              </w:rPr>
              <w:t>50 (3.1)</w:t>
            </w:r>
          </w:p>
        </w:tc>
      </w:tr>
      <w:tr w:rsidR="00632689" w:rsidRPr="009A3A55" w:rsidTr="00021A43">
        <w:trPr>
          <w:gridAfter w:val="1"/>
          <w:wAfter w:w="24" w:type="dxa"/>
        </w:trPr>
        <w:tc>
          <w:tcPr>
            <w:tcW w:w="4518" w:type="dxa"/>
          </w:tcPr>
          <w:p w:rsidR="00632689" w:rsidRPr="009A3A55" w:rsidRDefault="00632689" w:rsidP="00021A43">
            <w:pPr>
              <w:rPr>
                <w:rFonts w:ascii="Courier New" w:hAnsi="Courier New" w:cs="Courier New"/>
              </w:rPr>
            </w:pPr>
            <w:r w:rsidRPr="009A3A55">
              <w:rPr>
                <w:rFonts w:ascii="Courier New" w:hAnsi="Courier New" w:cs="Courier New"/>
              </w:rPr>
              <w:t>Clinical Laboratory</w:t>
            </w:r>
          </w:p>
        </w:tc>
        <w:tc>
          <w:tcPr>
            <w:tcW w:w="1866" w:type="dxa"/>
          </w:tcPr>
          <w:p w:rsidR="00632689" w:rsidRPr="009A3A55" w:rsidRDefault="00632689" w:rsidP="00021A43">
            <w:pPr>
              <w:jc w:val="center"/>
              <w:rPr>
                <w:rFonts w:ascii="Courier New" w:hAnsi="Courier New" w:cs="Courier New"/>
              </w:rPr>
            </w:pPr>
            <w:r w:rsidRPr="009A3A55">
              <w:rPr>
                <w:rFonts w:ascii="Courier New" w:hAnsi="Courier New" w:cs="Courier New"/>
              </w:rPr>
              <w:t>1393 (87.7)</w:t>
            </w:r>
          </w:p>
        </w:tc>
      </w:tr>
      <w:tr w:rsidR="00632689" w:rsidRPr="009A3A55" w:rsidTr="00021A43">
        <w:trPr>
          <w:gridAfter w:val="1"/>
          <w:wAfter w:w="24" w:type="dxa"/>
        </w:trPr>
        <w:tc>
          <w:tcPr>
            <w:tcW w:w="4518" w:type="dxa"/>
          </w:tcPr>
          <w:p w:rsidR="00632689" w:rsidRPr="009A3A55" w:rsidRDefault="00632689" w:rsidP="00021A43">
            <w:pPr>
              <w:rPr>
                <w:rFonts w:ascii="Courier New" w:hAnsi="Courier New" w:cs="Courier New"/>
              </w:rPr>
            </w:pPr>
            <w:r w:rsidRPr="009A3A55">
              <w:rPr>
                <w:rFonts w:ascii="Courier New" w:hAnsi="Courier New" w:cs="Courier New"/>
              </w:rPr>
              <w:t>Department of Defense Laboratory</w:t>
            </w:r>
          </w:p>
        </w:tc>
        <w:tc>
          <w:tcPr>
            <w:tcW w:w="1866" w:type="dxa"/>
          </w:tcPr>
          <w:p w:rsidR="00632689" w:rsidRPr="009A3A55" w:rsidRDefault="00632689" w:rsidP="00021A43">
            <w:pPr>
              <w:jc w:val="center"/>
              <w:rPr>
                <w:rFonts w:ascii="Courier New" w:hAnsi="Courier New" w:cs="Courier New"/>
              </w:rPr>
            </w:pPr>
            <w:r w:rsidRPr="009A3A55">
              <w:rPr>
                <w:rFonts w:ascii="Courier New" w:hAnsi="Courier New" w:cs="Courier New"/>
              </w:rPr>
              <w:t>25 (1.6)</w:t>
            </w:r>
          </w:p>
        </w:tc>
      </w:tr>
      <w:tr w:rsidR="00632689" w:rsidRPr="00AF1E4E" w:rsidTr="00021A43">
        <w:tblPrEx>
          <w:tblLook w:val="01E0"/>
        </w:tblPrEx>
        <w:tc>
          <w:tcPr>
            <w:tcW w:w="4518" w:type="dxa"/>
          </w:tcPr>
          <w:p w:rsidR="00632689" w:rsidRPr="00312943" w:rsidRDefault="00632689" w:rsidP="00021A43">
            <w:pPr>
              <w:jc w:val="right"/>
              <w:rPr>
                <w:rFonts w:cs="Arial"/>
              </w:rPr>
            </w:pPr>
            <w:r>
              <w:rPr>
                <w:rFonts w:cs="Arial"/>
              </w:rPr>
              <w:t>Total</w:t>
            </w:r>
          </w:p>
        </w:tc>
        <w:tc>
          <w:tcPr>
            <w:tcW w:w="1890" w:type="dxa"/>
            <w:gridSpan w:val="2"/>
          </w:tcPr>
          <w:p w:rsidR="00632689" w:rsidRPr="00312943" w:rsidRDefault="00632689" w:rsidP="00021A43">
            <w:pPr>
              <w:jc w:val="center"/>
              <w:rPr>
                <w:rFonts w:cs="Arial"/>
              </w:rPr>
            </w:pPr>
            <w:r>
              <w:rPr>
                <w:rFonts w:cs="Arial"/>
              </w:rPr>
              <w:t>1,588 (100)</w:t>
            </w:r>
          </w:p>
        </w:tc>
      </w:tr>
    </w:tbl>
    <w:p w:rsidR="00632689" w:rsidRDefault="00632689" w:rsidP="00632689">
      <w:pPr>
        <w:widowControl/>
        <w:tabs>
          <w:tab w:val="left" w:pos="0"/>
        </w:tabs>
        <w:rPr>
          <w:rFonts w:ascii="Courier New" w:hAnsi="Courier New" w:cs="Courier New"/>
          <w:i/>
          <w:color w:val="000000"/>
        </w:rPr>
      </w:pPr>
      <w:r>
        <w:rPr>
          <w:rFonts w:ascii="Courier New" w:hAnsi="Courier New" w:cs="Courier New"/>
          <w:i/>
          <w:color w:val="000000"/>
        </w:rPr>
        <w:t xml:space="preserve"> </w:t>
      </w:r>
    </w:p>
    <w:p w:rsidR="00632689" w:rsidRPr="00494A46" w:rsidRDefault="00632689" w:rsidP="00632689">
      <w:pPr>
        <w:widowControl/>
        <w:tabs>
          <w:tab w:val="left" w:pos="0"/>
        </w:tabs>
        <w:rPr>
          <w:rFonts w:ascii="Courier New" w:hAnsi="Courier New" w:cs="Courier New"/>
          <w:i/>
          <w:color w:val="000000"/>
        </w:rPr>
      </w:pPr>
    </w:p>
    <w:p w:rsidR="00632689" w:rsidRPr="007079A3" w:rsidRDefault="00632689" w:rsidP="00632689">
      <w:pPr>
        <w:widowControl/>
        <w:tabs>
          <w:tab w:val="left" w:pos="0"/>
        </w:tabs>
        <w:rPr>
          <w:rFonts w:ascii="Courier New" w:hAnsi="Courier New" w:cs="Courier New"/>
          <w:b/>
          <w:bCs/>
          <w:color w:val="000000"/>
          <w:u w:val="single"/>
        </w:rPr>
      </w:pPr>
      <w:r w:rsidRPr="007079A3">
        <w:rPr>
          <w:rFonts w:ascii="Courier New" w:hAnsi="Courier New" w:cs="Courier New"/>
          <w:b/>
          <w:bCs/>
          <w:color w:val="000000"/>
        </w:rPr>
        <w:t xml:space="preserve">B.2. </w:t>
      </w:r>
      <w:r w:rsidRPr="007079A3">
        <w:rPr>
          <w:rFonts w:ascii="Courier New" w:hAnsi="Courier New" w:cs="Courier New"/>
          <w:b/>
          <w:bCs/>
          <w:color w:val="000000"/>
          <w:u w:val="single"/>
        </w:rPr>
        <w:t>Procedures for the Collection of Information</w:t>
      </w:r>
    </w:p>
    <w:p w:rsidR="00632689" w:rsidRPr="007079A3" w:rsidRDefault="00632689" w:rsidP="00632689">
      <w:pPr>
        <w:widowControl/>
        <w:tabs>
          <w:tab w:val="left" w:pos="0"/>
        </w:tabs>
        <w:rPr>
          <w:rFonts w:ascii="Courier New" w:hAnsi="Courier New" w:cs="Courier New"/>
          <w:b/>
          <w:bCs/>
          <w:color w:val="000000"/>
          <w:u w:val="single"/>
        </w:rPr>
      </w:pPr>
    </w:p>
    <w:p w:rsidR="00632689" w:rsidRPr="007079A3" w:rsidRDefault="00632689" w:rsidP="00632689">
      <w:pPr>
        <w:widowControl/>
        <w:tabs>
          <w:tab w:val="left" w:pos="0"/>
        </w:tabs>
        <w:rPr>
          <w:rFonts w:ascii="Courier New" w:hAnsi="Courier New" w:cs="Courier New"/>
          <w:b/>
        </w:rPr>
      </w:pPr>
      <w:r w:rsidRPr="00C93BB8">
        <w:rPr>
          <w:rFonts w:ascii="Courier New" w:hAnsi="Courier New" w:cs="Courier New"/>
          <w:b/>
          <w:bCs/>
          <w:color w:val="000000"/>
        </w:rPr>
        <w:t xml:space="preserve">B.2.1. </w:t>
      </w:r>
      <w:r w:rsidRPr="00C93BB8">
        <w:rPr>
          <w:rFonts w:ascii="Courier New" w:hAnsi="Courier New" w:cs="Courier New"/>
          <w:b/>
        </w:rPr>
        <w:t>Recruitment</w:t>
      </w:r>
    </w:p>
    <w:p w:rsidR="00632689" w:rsidRDefault="00632689" w:rsidP="00632689">
      <w:pPr>
        <w:widowControl/>
        <w:tabs>
          <w:tab w:val="left" w:pos="0"/>
        </w:tabs>
        <w:rPr>
          <w:rFonts w:ascii="Courier New" w:hAnsi="Courier New" w:cs="Courier New"/>
        </w:rPr>
      </w:pPr>
      <w:r>
        <w:rPr>
          <w:rFonts w:ascii="Courier New" w:hAnsi="Courier New" w:cs="Courier New"/>
        </w:rPr>
        <w:lastRenderedPageBreak/>
        <w:t xml:space="preserve">Respondent laboratories for this information collection include those that provide any level of TB laboratory testing service.  These were identified from several sources as described in B.1.  Laboratories will receive a letter of invitation to participate in the survey 1 week prior to the survey going live and then again the day before (Attachment 2).  </w:t>
      </w:r>
    </w:p>
    <w:p w:rsidR="00632689" w:rsidRPr="007079A3" w:rsidRDefault="00632689" w:rsidP="00632689">
      <w:pPr>
        <w:widowControl/>
        <w:tabs>
          <w:tab w:val="left" w:pos="0"/>
        </w:tabs>
        <w:rPr>
          <w:rFonts w:ascii="Courier New" w:hAnsi="Courier New" w:cs="Courier New"/>
        </w:rPr>
      </w:pPr>
    </w:p>
    <w:p w:rsidR="00632689" w:rsidRPr="007079A3" w:rsidRDefault="00632689" w:rsidP="00632689">
      <w:pPr>
        <w:widowControl/>
        <w:tabs>
          <w:tab w:val="left" w:pos="0"/>
        </w:tabs>
        <w:rPr>
          <w:rFonts w:ascii="Courier New" w:hAnsi="Courier New" w:cs="Courier New"/>
        </w:rPr>
        <w:sectPr w:rsidR="00632689" w:rsidRPr="007079A3" w:rsidSect="00632689">
          <w:footerReference w:type="even" r:id="rId5"/>
          <w:footerReference w:type="default" r:id="rId6"/>
          <w:pgSz w:w="12240" w:h="15840"/>
          <w:pgMar w:top="1152" w:right="1440" w:bottom="1440" w:left="1440" w:header="1152" w:footer="1440" w:gutter="0"/>
          <w:cols w:space="720"/>
          <w:noEndnote/>
        </w:sectPr>
      </w:pPr>
    </w:p>
    <w:p w:rsidR="00632689" w:rsidRPr="007079A3" w:rsidRDefault="00632689" w:rsidP="00632689">
      <w:pPr>
        <w:widowControl/>
        <w:tabs>
          <w:tab w:val="left" w:pos="0"/>
        </w:tabs>
        <w:ind w:left="720" w:hanging="720"/>
        <w:rPr>
          <w:rFonts w:ascii="Courier New" w:hAnsi="Courier New" w:cs="Courier New"/>
          <w:bCs/>
        </w:rPr>
      </w:pPr>
      <w:r w:rsidRPr="00FE111F">
        <w:rPr>
          <w:rFonts w:ascii="Courier New" w:hAnsi="Courier New" w:cs="Courier New"/>
          <w:b/>
          <w:bCs/>
        </w:rPr>
        <w:lastRenderedPageBreak/>
        <w:t>B.2.2.</w:t>
      </w:r>
      <w:r w:rsidRPr="007079A3">
        <w:rPr>
          <w:rFonts w:ascii="Courier New" w:hAnsi="Courier New" w:cs="Courier New"/>
          <w:b/>
          <w:bCs/>
        </w:rPr>
        <w:t xml:space="preserve"> Screening and Scheduling Procedures</w:t>
      </w:r>
    </w:p>
    <w:p w:rsidR="00632689" w:rsidRDefault="00632689" w:rsidP="00632689">
      <w:pPr>
        <w:widowControl/>
        <w:tabs>
          <w:tab w:val="left" w:pos="0"/>
        </w:tabs>
        <w:rPr>
          <w:rFonts w:ascii="Courier New" w:hAnsi="Courier New" w:cs="Courier New"/>
          <w:bCs/>
          <w:i/>
        </w:rPr>
      </w:pPr>
      <w:r>
        <w:rPr>
          <w:rFonts w:ascii="Courier New" w:hAnsi="Courier New" w:cs="Courier New"/>
          <w:bCs/>
        </w:rPr>
        <w:t xml:space="preserve">This information collection specifically targets public health, clinical, and commercial laboratories providing TB laboratory testing services.  As such, the only screening procedures utilized were the inclusion of the laboratory in the directories described in B.1. No scheduling procedures will be utilized. </w:t>
      </w:r>
    </w:p>
    <w:p w:rsidR="00632689" w:rsidRPr="00494A46" w:rsidRDefault="00632689" w:rsidP="00632689">
      <w:pPr>
        <w:widowControl/>
        <w:tabs>
          <w:tab w:val="left" w:pos="0"/>
        </w:tabs>
        <w:rPr>
          <w:rFonts w:ascii="Courier New" w:hAnsi="Courier New" w:cs="Courier New"/>
          <w:bCs/>
          <w:i/>
        </w:rPr>
      </w:pPr>
    </w:p>
    <w:p w:rsidR="00632689" w:rsidRDefault="00632689" w:rsidP="00632689">
      <w:pPr>
        <w:pStyle w:val="Level1"/>
        <w:widowControl/>
        <w:numPr>
          <w:ilvl w:val="0"/>
          <w:numId w:val="0"/>
        </w:numPr>
        <w:tabs>
          <w:tab w:val="left" w:pos="0"/>
        </w:tabs>
        <w:ind w:left="720" w:hanging="720"/>
        <w:rPr>
          <w:rFonts w:ascii="Courier New" w:hAnsi="Courier New" w:cs="Courier New"/>
          <w:b/>
        </w:rPr>
      </w:pPr>
      <w:r w:rsidRPr="00346A59">
        <w:rPr>
          <w:rFonts w:ascii="Courier New" w:hAnsi="Courier New" w:cs="Courier New"/>
          <w:b/>
        </w:rPr>
        <w:t>B.2.3.</w:t>
      </w:r>
      <w:r>
        <w:rPr>
          <w:rFonts w:ascii="Courier New" w:hAnsi="Courier New" w:cs="Courier New"/>
          <w:b/>
        </w:rPr>
        <w:t xml:space="preserve"> Data Collection</w:t>
      </w:r>
      <w:r w:rsidRPr="007079A3">
        <w:rPr>
          <w:rFonts w:ascii="Courier New" w:hAnsi="Courier New" w:cs="Courier New"/>
          <w:b/>
        </w:rPr>
        <w:t xml:space="preserve"> Methods</w:t>
      </w:r>
    </w:p>
    <w:p w:rsidR="00632689" w:rsidRPr="00657969" w:rsidRDefault="00632689" w:rsidP="00632689">
      <w:pPr>
        <w:rPr>
          <w:rFonts w:ascii="Courier New" w:hAnsi="Courier New" w:cs="Courier New"/>
        </w:rPr>
      </w:pPr>
      <w:r w:rsidRPr="00657969">
        <w:rPr>
          <w:rFonts w:ascii="Courier New" w:hAnsi="Courier New" w:cs="Courier New"/>
        </w:rPr>
        <w:t xml:space="preserve">The National TB Laboratory Services Survey is a web-based survey designed using the </w:t>
      </w:r>
      <w:proofErr w:type="spellStart"/>
      <w:r w:rsidRPr="00657969">
        <w:rPr>
          <w:rFonts w:ascii="Courier New" w:hAnsi="Courier New" w:cs="Courier New"/>
        </w:rPr>
        <w:t>MRInterview</w:t>
      </w:r>
      <w:proofErr w:type="spellEnd"/>
      <w:r w:rsidRPr="00657969">
        <w:rPr>
          <w:rFonts w:ascii="Courier New" w:hAnsi="Courier New" w:cs="Courier New"/>
        </w:rPr>
        <w:t xml:space="preserve"> Database software package.  The survey is a one-time data collection that will be utilized for program enhancement.  The APHL will conduct the survey and preliminary data analyses.  Laboratories identified as potential respondents will receive a letter of invitation via email from APHL which includes a link with an embedded log-in and password unique to each participant (Attachment 2).  Once participants click the unique login, they will see an introductory page that includes instructions for completing the survey (Attachment 1) </w:t>
      </w:r>
      <w:r w:rsidRPr="00AF56DB">
        <w:rPr>
          <w:rFonts w:ascii="Courier New" w:hAnsi="Courier New" w:cs="Courier New"/>
        </w:rPr>
        <w:t>(test link</w:t>
      </w:r>
      <w:r>
        <w:rPr>
          <w:rFonts w:ascii="Courier New" w:hAnsi="Courier New" w:cs="Courier New"/>
        </w:rPr>
        <w:t xml:space="preserve"> </w:t>
      </w:r>
      <w:proofErr w:type="gramStart"/>
      <w:r>
        <w:rPr>
          <w:rFonts w:ascii="Courier New" w:hAnsi="Courier New" w:cs="Courier New"/>
        </w:rPr>
        <w:t xml:space="preserve">- </w:t>
      </w:r>
      <w:r w:rsidRPr="00657969">
        <w:rPr>
          <w:rFonts w:ascii="Courier New" w:hAnsi="Courier New" w:cs="Courier New"/>
        </w:rPr>
        <w:t>)</w:t>
      </w:r>
      <w:proofErr w:type="gramEnd"/>
      <w:r w:rsidRPr="00657969">
        <w:rPr>
          <w:rFonts w:ascii="Courier New" w:hAnsi="Courier New" w:cs="Courier New"/>
        </w:rPr>
        <w:t xml:space="preserve">.  Participants will be routed to appropriate questions based on their response to one of the introductory questions aimed at determining the level of testing service provided (e.g., AFB smear microscopy, culture, identification, drug susceptibility testing).  Participants will be able to save partially completed surveys and return at a later time to complete and submit the final responses.  Additionally, a glossary is attached to the survey and accessible via a link on each screen for clarification of terms used in the instrument.  A PDF version of the survey will be provided electronically to allow participants an opportunity to view potential questions prior to logging into the electronic survey.  </w:t>
      </w:r>
    </w:p>
    <w:p w:rsidR="00632689" w:rsidRPr="007079A3" w:rsidRDefault="00632689" w:rsidP="00632689">
      <w:pPr>
        <w:pStyle w:val="Level1"/>
        <w:widowControl/>
        <w:numPr>
          <w:ilvl w:val="0"/>
          <w:numId w:val="0"/>
        </w:numPr>
        <w:tabs>
          <w:tab w:val="left" w:pos="0"/>
        </w:tabs>
        <w:ind w:left="720" w:hanging="720"/>
        <w:rPr>
          <w:rFonts w:ascii="Courier New" w:hAnsi="Courier New" w:cs="Courier New"/>
          <w:b/>
        </w:rPr>
      </w:pPr>
    </w:p>
    <w:p w:rsidR="00632689" w:rsidRPr="007079A3" w:rsidRDefault="00632689" w:rsidP="00632689">
      <w:pPr>
        <w:widowControl/>
        <w:tabs>
          <w:tab w:val="left" w:pos="0"/>
        </w:tabs>
        <w:rPr>
          <w:rFonts w:ascii="Courier New" w:hAnsi="Courier New" w:cs="Courier New"/>
        </w:rPr>
      </w:pPr>
      <w:r w:rsidRPr="00346A59">
        <w:rPr>
          <w:rFonts w:ascii="Courier New" w:hAnsi="Courier New" w:cs="Courier New"/>
          <w:b/>
          <w:bCs/>
        </w:rPr>
        <w:t>B.3</w:t>
      </w:r>
      <w:proofErr w:type="gramStart"/>
      <w:r w:rsidRPr="00346A59">
        <w:rPr>
          <w:rFonts w:ascii="Courier New" w:hAnsi="Courier New" w:cs="Courier New"/>
          <w:b/>
          <w:bCs/>
        </w:rPr>
        <w:t xml:space="preserve">.  </w:t>
      </w:r>
      <w:r w:rsidRPr="00346A59">
        <w:rPr>
          <w:rFonts w:ascii="Courier New" w:hAnsi="Courier New" w:cs="Courier New"/>
          <w:b/>
          <w:bCs/>
          <w:u w:val="single"/>
        </w:rPr>
        <w:t>Methods</w:t>
      </w:r>
      <w:proofErr w:type="gramEnd"/>
      <w:r w:rsidRPr="00346A59">
        <w:rPr>
          <w:rFonts w:ascii="Courier New" w:hAnsi="Courier New" w:cs="Courier New"/>
          <w:b/>
          <w:bCs/>
          <w:u w:val="single"/>
        </w:rPr>
        <w:t xml:space="preserve"> to Maximize</w:t>
      </w:r>
      <w:r w:rsidRPr="007079A3">
        <w:rPr>
          <w:rFonts w:ascii="Courier New" w:hAnsi="Courier New" w:cs="Courier New"/>
          <w:b/>
          <w:bCs/>
          <w:u w:val="single"/>
        </w:rPr>
        <w:t xml:space="preserve"> Response Rates and Deal with Nonresponse</w:t>
      </w:r>
    </w:p>
    <w:p w:rsidR="00632689" w:rsidRPr="007079A3" w:rsidRDefault="00632689" w:rsidP="00632689">
      <w:pPr>
        <w:widowControl/>
        <w:tabs>
          <w:tab w:val="left" w:pos="0"/>
        </w:tabs>
        <w:rPr>
          <w:rFonts w:ascii="Courier New" w:hAnsi="Courier New" w:cs="Courier New"/>
        </w:rPr>
        <w:sectPr w:rsidR="00632689" w:rsidRPr="007079A3">
          <w:type w:val="continuous"/>
          <w:pgSz w:w="12240" w:h="15840"/>
          <w:pgMar w:top="1152" w:right="1440" w:bottom="1440" w:left="1440" w:header="1152" w:footer="1440" w:gutter="0"/>
          <w:cols w:space="720"/>
          <w:noEndnote/>
        </w:sectPr>
      </w:pPr>
    </w:p>
    <w:p w:rsidR="00632689" w:rsidRDefault="00632689" w:rsidP="00632689">
      <w:pPr>
        <w:widowControl/>
        <w:tabs>
          <w:tab w:val="left" w:pos="0"/>
        </w:tabs>
        <w:rPr>
          <w:rFonts w:ascii="Courier New" w:hAnsi="Courier New" w:cs="Courier New"/>
        </w:rPr>
      </w:pPr>
      <w:r>
        <w:rPr>
          <w:rFonts w:ascii="Courier New" w:hAnsi="Courier New" w:cs="Courier New"/>
        </w:rPr>
        <w:lastRenderedPageBreak/>
        <w:t xml:space="preserve">Proposed data collection does not employ statistical sampling methods. However, potential respondents will receive a reminder email at 2 and 4 weeks after the survey is distributed (Attachment 3) in an effort to ensure a high response rate. Limited phone calls may also be conducted at 5 weeks to encourage participation (Attachment 3). In addition, endorsements are being sought from several professional laboratory associations. </w:t>
      </w:r>
    </w:p>
    <w:p w:rsidR="00632689" w:rsidRDefault="00632689" w:rsidP="00632689">
      <w:pPr>
        <w:widowControl/>
        <w:tabs>
          <w:tab w:val="left" w:pos="0"/>
        </w:tabs>
        <w:rPr>
          <w:rFonts w:ascii="Courier New" w:hAnsi="Courier New" w:cs="Courier New"/>
        </w:rPr>
      </w:pPr>
    </w:p>
    <w:p w:rsidR="00632689" w:rsidRPr="007079A3" w:rsidRDefault="00632689" w:rsidP="00632689">
      <w:pPr>
        <w:widowControl/>
        <w:tabs>
          <w:tab w:val="left" w:pos="0"/>
        </w:tabs>
        <w:rPr>
          <w:rFonts w:ascii="Courier New" w:hAnsi="Courier New" w:cs="Courier New"/>
        </w:rPr>
      </w:pPr>
      <w:r w:rsidRPr="007079A3">
        <w:rPr>
          <w:rFonts w:ascii="Courier New" w:hAnsi="Courier New" w:cs="Courier New"/>
          <w:b/>
          <w:bCs/>
        </w:rPr>
        <w:t>B.4</w:t>
      </w:r>
      <w:proofErr w:type="gramStart"/>
      <w:r w:rsidRPr="007079A3">
        <w:rPr>
          <w:rFonts w:ascii="Courier New" w:hAnsi="Courier New" w:cs="Courier New"/>
          <w:b/>
          <w:bCs/>
        </w:rPr>
        <w:t xml:space="preserve">.  </w:t>
      </w:r>
      <w:r w:rsidRPr="007079A3">
        <w:rPr>
          <w:rFonts w:ascii="Courier New" w:hAnsi="Courier New" w:cs="Courier New"/>
          <w:b/>
          <w:bCs/>
          <w:u w:val="single"/>
        </w:rPr>
        <w:t>Tests</w:t>
      </w:r>
      <w:proofErr w:type="gramEnd"/>
      <w:r w:rsidRPr="007079A3">
        <w:rPr>
          <w:rFonts w:ascii="Courier New" w:hAnsi="Courier New" w:cs="Courier New"/>
          <w:b/>
          <w:bCs/>
          <w:u w:val="single"/>
        </w:rPr>
        <w:t xml:space="preserve"> of Procedures or Methods to be Undertaken</w:t>
      </w:r>
    </w:p>
    <w:p w:rsidR="00632689" w:rsidRDefault="00632689" w:rsidP="00632689">
      <w:pPr>
        <w:widowControl/>
        <w:tabs>
          <w:tab w:val="left" w:pos="0"/>
        </w:tabs>
        <w:rPr>
          <w:rFonts w:ascii="Courier New" w:hAnsi="Courier New" w:cs="Courier New"/>
        </w:rPr>
      </w:pPr>
      <w:r w:rsidRPr="007079A3">
        <w:rPr>
          <w:rFonts w:ascii="Courier New" w:hAnsi="Courier New" w:cs="Courier New"/>
        </w:rPr>
        <w:t>This submission is a request for authorization to conduct tests of procedures and methodologies typical in meth</w:t>
      </w:r>
      <w:r>
        <w:rPr>
          <w:rFonts w:ascii="Courier New" w:hAnsi="Courier New" w:cs="Courier New"/>
        </w:rPr>
        <w:t>ods and instrument development</w:t>
      </w:r>
      <w:r w:rsidRPr="007079A3">
        <w:rPr>
          <w:rFonts w:ascii="Courier New" w:hAnsi="Courier New" w:cs="Courier New"/>
        </w:rPr>
        <w:t>.</w:t>
      </w:r>
    </w:p>
    <w:p w:rsidR="00632689" w:rsidRPr="007079A3" w:rsidRDefault="00632689" w:rsidP="00632689">
      <w:pPr>
        <w:widowControl/>
        <w:tabs>
          <w:tab w:val="left" w:pos="0"/>
        </w:tabs>
        <w:rPr>
          <w:rFonts w:ascii="Courier New" w:hAnsi="Courier New" w:cs="Courier New"/>
        </w:rPr>
      </w:pPr>
      <w:r w:rsidRPr="007079A3">
        <w:rPr>
          <w:rFonts w:ascii="Courier New" w:hAnsi="Courier New" w:cs="Courier New"/>
        </w:rPr>
        <w:t xml:space="preserve">  </w:t>
      </w:r>
    </w:p>
    <w:p w:rsidR="00632689" w:rsidRDefault="00632689" w:rsidP="0063268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b/>
          <w:bCs/>
          <w:u w:val="single"/>
        </w:rPr>
      </w:pPr>
      <w:r w:rsidRPr="007079A3">
        <w:rPr>
          <w:rFonts w:ascii="Courier New" w:hAnsi="Courier New" w:cs="Courier New"/>
          <w:b/>
          <w:bCs/>
        </w:rPr>
        <w:t>B.5</w:t>
      </w:r>
      <w:proofErr w:type="gramStart"/>
      <w:r w:rsidRPr="007079A3">
        <w:rPr>
          <w:rFonts w:ascii="Courier New" w:hAnsi="Courier New" w:cs="Courier New"/>
          <w:b/>
          <w:bCs/>
        </w:rPr>
        <w:t xml:space="preserve">.  </w:t>
      </w:r>
      <w:r w:rsidRPr="007079A3">
        <w:rPr>
          <w:rFonts w:ascii="Courier New" w:hAnsi="Courier New" w:cs="Courier New"/>
          <w:b/>
          <w:bCs/>
          <w:u w:val="single"/>
        </w:rPr>
        <w:t>Individuals</w:t>
      </w:r>
      <w:proofErr w:type="gramEnd"/>
      <w:r w:rsidRPr="007079A3">
        <w:rPr>
          <w:rFonts w:ascii="Courier New" w:hAnsi="Courier New" w:cs="Courier New"/>
          <w:b/>
          <w:bCs/>
          <w:u w:val="single"/>
        </w:rPr>
        <w:t xml:space="preserve"> Consulted on Statistical Aspects and Individuals and/or Analyzing Data</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The following individuals were consulted on statistical aspects for the National TB Laboratory Services Survey:</w:t>
      </w:r>
    </w:p>
    <w:p w:rsidR="00632689" w:rsidRDefault="00632689" w:rsidP="00632689">
      <w:pPr>
        <w:widowControl/>
        <w:tabs>
          <w:tab w:val="left" w:pos="0"/>
        </w:tabs>
        <w:rPr>
          <w:rFonts w:ascii="Courier New" w:hAnsi="Courier New" w:cs="Courier New"/>
          <w:color w:val="000000"/>
        </w:rPr>
      </w:pPr>
    </w:p>
    <w:p w:rsidR="00632689" w:rsidRDefault="00632689" w:rsidP="00632689">
      <w:pPr>
        <w:widowControl/>
        <w:tabs>
          <w:tab w:val="left" w:pos="0"/>
        </w:tabs>
        <w:rPr>
          <w:rFonts w:ascii="Courier New" w:hAnsi="Courier New" w:cs="Courier New"/>
          <w:color w:val="000000"/>
          <w:u w:val="single"/>
        </w:rPr>
      </w:pPr>
      <w:r w:rsidRPr="00686C1E">
        <w:rPr>
          <w:rFonts w:ascii="Courier New" w:hAnsi="Courier New" w:cs="Courier New"/>
          <w:color w:val="000000"/>
          <w:u w:val="single"/>
        </w:rPr>
        <w:t>NCHHSTP/ DTBE</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Michael Chen</w:t>
      </w:r>
      <w:r>
        <w:rPr>
          <w:rFonts w:ascii="Courier New" w:hAnsi="Courier New" w:cs="Courier New"/>
          <w:color w:val="000000"/>
        </w:rPr>
        <w:t>, PhD</w:t>
      </w:r>
      <w:r w:rsidRPr="0023565E">
        <w:rPr>
          <w:rFonts w:ascii="Courier New" w:hAnsi="Courier New" w:cs="Courier New"/>
          <w:color w:val="000000"/>
        </w:rPr>
        <w:t xml:space="preserve"> </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Math Statistician</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Data Management and Statistics Branch</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Corporate Square/ Bldg 11/</w:t>
      </w:r>
      <w:r>
        <w:rPr>
          <w:rFonts w:ascii="Courier New" w:hAnsi="Courier New" w:cs="Courier New"/>
          <w:color w:val="000000"/>
        </w:rPr>
        <w:t xml:space="preserve"> Room</w:t>
      </w:r>
      <w:r w:rsidRPr="0023565E">
        <w:rPr>
          <w:rFonts w:ascii="Courier New" w:hAnsi="Courier New" w:cs="Courier New"/>
          <w:color w:val="000000"/>
        </w:rPr>
        <w:t xml:space="preserve"> 1106</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MS E10</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Atlanta, Georgia 30329-1902</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Phone: (404)639-6185</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Fax: (404)639-8604</w:t>
      </w:r>
    </w:p>
    <w:p w:rsidR="00632689" w:rsidRPr="0023565E" w:rsidRDefault="00632689" w:rsidP="00632689">
      <w:pPr>
        <w:widowControl/>
        <w:tabs>
          <w:tab w:val="left" w:pos="0"/>
        </w:tabs>
        <w:rPr>
          <w:rFonts w:ascii="Courier New" w:hAnsi="Courier New" w:cs="Courier New"/>
          <w:color w:val="000000"/>
        </w:rPr>
      </w:pPr>
      <w:r w:rsidRPr="0023565E">
        <w:rPr>
          <w:rFonts w:ascii="Courier New" w:hAnsi="Courier New" w:cs="Courier New"/>
          <w:color w:val="000000"/>
        </w:rPr>
        <w:t xml:space="preserve">Email: </w:t>
      </w:r>
      <w:hyperlink r:id="rId7" w:history="1">
        <w:r w:rsidRPr="0023565E">
          <w:rPr>
            <w:rStyle w:val="Hyperlink"/>
            <w:rFonts w:ascii="Courier New" w:hAnsi="Courier New" w:cs="Courier New"/>
          </w:rPr>
          <w:t>adu3@cdc.gov</w:t>
        </w:r>
      </w:hyperlink>
    </w:p>
    <w:p w:rsidR="00632689" w:rsidRDefault="00632689" w:rsidP="00632689">
      <w:pPr>
        <w:widowControl/>
        <w:tabs>
          <w:tab w:val="left" w:pos="0"/>
        </w:tabs>
        <w:rPr>
          <w:rFonts w:ascii="Courier New" w:hAnsi="Courier New" w:cs="Courier New"/>
          <w:color w:val="000000"/>
        </w:rPr>
      </w:pP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Jose Becerra, MD, MPH</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Chief, Data Management and Statistics Branch</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Corporate Square/ Bldg 11/ Room 1113</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MS E10</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Atlanta, Georgia 30329-1902</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Phone: (404) 639-8498</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Fax: (404) 639-8604</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 xml:space="preserve">Email: </w:t>
      </w:r>
      <w:hyperlink r:id="rId8" w:history="1">
        <w:r w:rsidRPr="007251B6">
          <w:rPr>
            <w:rStyle w:val="Hyperlink"/>
            <w:rFonts w:ascii="Courier New" w:hAnsi="Courier New" w:cs="Courier New"/>
          </w:rPr>
          <w:t>jeb2@cdc.gov</w:t>
        </w:r>
      </w:hyperlink>
    </w:p>
    <w:p w:rsidR="00632689" w:rsidRDefault="00632689" w:rsidP="00632689">
      <w:pPr>
        <w:widowControl/>
        <w:tabs>
          <w:tab w:val="left" w:pos="0"/>
        </w:tabs>
        <w:rPr>
          <w:rFonts w:ascii="Courier New" w:hAnsi="Courier New" w:cs="Courier New"/>
          <w:color w:val="000000"/>
        </w:rPr>
      </w:pP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The following individuals are responsible for design, data collection, and analysis:</w:t>
      </w:r>
    </w:p>
    <w:p w:rsidR="00632689" w:rsidRDefault="00632689" w:rsidP="00632689">
      <w:pPr>
        <w:widowControl/>
        <w:tabs>
          <w:tab w:val="left" w:pos="0"/>
        </w:tabs>
        <w:rPr>
          <w:rFonts w:ascii="Courier New" w:hAnsi="Courier New" w:cs="Courier New"/>
          <w:color w:val="000000"/>
        </w:rPr>
      </w:pPr>
    </w:p>
    <w:p w:rsidR="00632689" w:rsidRDefault="00632689" w:rsidP="00632689">
      <w:pPr>
        <w:widowControl/>
        <w:tabs>
          <w:tab w:val="left" w:pos="0"/>
        </w:tabs>
        <w:rPr>
          <w:rFonts w:ascii="Courier New" w:hAnsi="Courier New" w:cs="Courier New"/>
          <w:color w:val="000000"/>
          <w:u w:val="single"/>
        </w:rPr>
      </w:pPr>
      <w:r w:rsidRPr="00686C1E">
        <w:rPr>
          <w:rFonts w:ascii="Courier New" w:hAnsi="Courier New" w:cs="Courier New"/>
          <w:color w:val="000000"/>
          <w:u w:val="single"/>
        </w:rPr>
        <w:t>CDC/ DTBE/ MLB</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Angela Starks, Ph.D.</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Microbiologist</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Mycobacteriology Laboratory Branch</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1600 Clifton Rd. NE</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lastRenderedPageBreak/>
        <w:t>Bldg. 17/ Room 4028/ MS F08</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Atlanta, Georgia 30333</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Phone: (404) 639-3205</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Fax: (404) 639-1287</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 xml:space="preserve">Email: </w:t>
      </w:r>
      <w:hyperlink r:id="rId9" w:history="1">
        <w:r w:rsidRPr="006B4F9E">
          <w:rPr>
            <w:rStyle w:val="Hyperlink"/>
            <w:rFonts w:ascii="Courier New" w:hAnsi="Courier New" w:cs="Courier New"/>
            <w:lang w:val="fr-FR"/>
          </w:rPr>
          <w:t>eog0@cdc.gov</w:t>
        </w:r>
      </w:hyperlink>
    </w:p>
    <w:p w:rsidR="00632689" w:rsidRPr="006B4F9E" w:rsidRDefault="00632689" w:rsidP="00632689">
      <w:pPr>
        <w:widowControl/>
        <w:tabs>
          <w:tab w:val="left" w:pos="0"/>
        </w:tabs>
        <w:rPr>
          <w:rFonts w:ascii="Courier New" w:hAnsi="Courier New" w:cs="Courier New"/>
          <w:color w:val="000000"/>
          <w:lang w:val="fr-FR"/>
        </w:rPr>
      </w:pPr>
    </w:p>
    <w:p w:rsidR="00632689" w:rsidRDefault="00632689" w:rsidP="00632689">
      <w:pPr>
        <w:widowControl/>
        <w:tabs>
          <w:tab w:val="left" w:pos="0"/>
        </w:tabs>
        <w:rPr>
          <w:rFonts w:ascii="Courier New" w:hAnsi="Courier New" w:cs="Courier New"/>
          <w:color w:val="000000"/>
          <w:u w:val="single"/>
        </w:rPr>
      </w:pPr>
      <w:r>
        <w:rPr>
          <w:rFonts w:ascii="Courier New" w:hAnsi="Courier New" w:cs="Courier New"/>
          <w:color w:val="000000"/>
          <w:u w:val="single"/>
        </w:rPr>
        <w:t>APHL</w:t>
      </w:r>
    </w:p>
    <w:p w:rsidR="00632689" w:rsidRPr="000443C7" w:rsidRDefault="00632689" w:rsidP="00632689">
      <w:pPr>
        <w:widowControl/>
        <w:tabs>
          <w:tab w:val="left" w:pos="0"/>
        </w:tabs>
        <w:rPr>
          <w:rFonts w:ascii="Courier New" w:hAnsi="Courier New" w:cs="Courier New"/>
          <w:color w:val="000000"/>
        </w:rPr>
      </w:pPr>
      <w:r>
        <w:rPr>
          <w:rFonts w:ascii="Courier New" w:hAnsi="Courier New" w:cs="Courier New"/>
        </w:rPr>
        <w:t xml:space="preserve">Kelly </w:t>
      </w:r>
      <w:r w:rsidRPr="000443C7">
        <w:rPr>
          <w:rFonts w:ascii="Courier New" w:hAnsi="Courier New" w:cs="Courier New"/>
        </w:rPr>
        <w:t xml:space="preserve">E. </w:t>
      </w:r>
      <w:proofErr w:type="spellStart"/>
      <w:r w:rsidRPr="000443C7">
        <w:rPr>
          <w:rFonts w:ascii="Courier New" w:hAnsi="Courier New" w:cs="Courier New"/>
        </w:rPr>
        <w:t>Wroblewski</w:t>
      </w:r>
      <w:proofErr w:type="spellEnd"/>
      <w:r w:rsidRPr="000443C7">
        <w:rPr>
          <w:rFonts w:ascii="Courier New" w:hAnsi="Courier New" w:cs="Courier New"/>
        </w:rPr>
        <w:t>, MPH, MT (ASCP)</w:t>
      </w:r>
      <w:r w:rsidRPr="000443C7">
        <w:rPr>
          <w:rFonts w:ascii="Courier New" w:hAnsi="Courier New" w:cs="Courier New"/>
        </w:rPr>
        <w:br/>
        <w:t>Manager - HIV, STD, TB, Hepatitis Programs</w:t>
      </w:r>
      <w:r w:rsidRPr="000443C7">
        <w:rPr>
          <w:rFonts w:ascii="Courier New" w:hAnsi="Courier New" w:cs="Courier New"/>
        </w:rPr>
        <w:br/>
        <w:t>Association of Public Health Laboratories</w:t>
      </w:r>
      <w:r w:rsidRPr="000443C7">
        <w:rPr>
          <w:rFonts w:ascii="Courier New" w:hAnsi="Courier New" w:cs="Courier New"/>
        </w:rPr>
        <w:br/>
        <w:t>8515 Georgia Avenue, Suite 700</w:t>
      </w:r>
      <w:r w:rsidRPr="000443C7">
        <w:rPr>
          <w:rFonts w:ascii="Courier New" w:hAnsi="Courier New" w:cs="Courier New"/>
        </w:rPr>
        <w:br/>
        <w:t>Silver Spring, MD 20910</w:t>
      </w:r>
      <w:r w:rsidRPr="000443C7">
        <w:rPr>
          <w:rFonts w:ascii="Courier New" w:hAnsi="Courier New" w:cs="Courier New"/>
        </w:rPr>
        <w:br/>
        <w:t>P: 240.485.2728</w:t>
      </w:r>
      <w:r w:rsidRPr="000443C7">
        <w:rPr>
          <w:rFonts w:ascii="Courier New" w:hAnsi="Courier New" w:cs="Courier New"/>
        </w:rPr>
        <w:br/>
        <w:t>F: 240.485.2700</w:t>
      </w:r>
      <w:r w:rsidRPr="000443C7">
        <w:rPr>
          <w:rFonts w:ascii="Courier New" w:hAnsi="Courier New" w:cs="Courier New"/>
        </w:rPr>
        <w:br/>
      </w:r>
      <w:hyperlink r:id="rId10" w:history="1">
        <w:r w:rsidRPr="000443C7">
          <w:rPr>
            <w:rStyle w:val="Hyperlink"/>
            <w:rFonts w:ascii="Courier New" w:hAnsi="Courier New" w:cs="Courier New"/>
          </w:rPr>
          <w:t>kelly.wroblewski@aphl.org</w:t>
        </w:r>
      </w:hyperlink>
      <w:r w:rsidRPr="000443C7">
        <w:rPr>
          <w:rFonts w:ascii="Courier New" w:hAnsi="Courier New" w:cs="Courier New"/>
        </w:rPr>
        <w:br/>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Doug McNamara</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Research Specialist</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Association of Public Health Laboratories</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8515 Georgia Avenue, Suite 700</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Silver Spring, Maryland 20910</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Phone: (240) 485-2735</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Fax: (240) 485-2700</w:t>
      </w:r>
    </w:p>
    <w:p w:rsidR="00632689" w:rsidRPr="006B4F9E" w:rsidRDefault="00632689" w:rsidP="00632689">
      <w:pPr>
        <w:widowControl/>
        <w:tabs>
          <w:tab w:val="left" w:pos="0"/>
        </w:tabs>
        <w:rPr>
          <w:rFonts w:ascii="Courier New" w:hAnsi="Courier New" w:cs="Courier New"/>
          <w:color w:val="000000"/>
          <w:lang w:val="fr-FR"/>
        </w:rPr>
      </w:pPr>
      <w:r w:rsidRPr="006B4F9E">
        <w:rPr>
          <w:rFonts w:ascii="Courier New" w:hAnsi="Courier New" w:cs="Courier New"/>
          <w:color w:val="000000"/>
          <w:lang w:val="fr-FR"/>
        </w:rPr>
        <w:t xml:space="preserve">Email: </w:t>
      </w:r>
      <w:hyperlink r:id="rId11" w:history="1">
        <w:r w:rsidRPr="006B4F9E">
          <w:rPr>
            <w:rStyle w:val="Hyperlink"/>
            <w:rFonts w:ascii="Courier New" w:hAnsi="Courier New" w:cs="Courier New"/>
            <w:lang w:val="fr-FR"/>
          </w:rPr>
          <w:t>doug.mcnamara@aphl.org</w:t>
        </w:r>
      </w:hyperlink>
    </w:p>
    <w:p w:rsidR="00632689" w:rsidRPr="006B4F9E" w:rsidRDefault="00632689" w:rsidP="00632689">
      <w:pPr>
        <w:widowControl/>
        <w:tabs>
          <w:tab w:val="left" w:pos="0"/>
        </w:tabs>
        <w:rPr>
          <w:rFonts w:ascii="Courier New" w:hAnsi="Courier New" w:cs="Courier New"/>
          <w:color w:val="000000"/>
          <w:lang w:val="fr-FR"/>
        </w:rPr>
      </w:pP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Mark Lamias</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Statistical Consultant and Survey Methodologist</w:t>
      </w:r>
    </w:p>
    <w:p w:rsidR="00632689" w:rsidRDefault="00632689" w:rsidP="00632689">
      <w:pPr>
        <w:widowControl/>
        <w:tabs>
          <w:tab w:val="left" w:pos="0"/>
        </w:tabs>
        <w:rPr>
          <w:rFonts w:ascii="Courier New" w:hAnsi="Courier New" w:cs="Courier New"/>
          <w:color w:val="000000"/>
        </w:rPr>
      </w:pPr>
      <w:proofErr w:type="gramStart"/>
      <w:r>
        <w:rPr>
          <w:rFonts w:ascii="Courier New" w:hAnsi="Courier New" w:cs="Courier New"/>
          <w:color w:val="000000"/>
        </w:rPr>
        <w:t>The Stochastic Group, Inc.</w:t>
      </w:r>
      <w:proofErr w:type="gramEnd"/>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1861 Dresden Drive, NE</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Atlanta, Georgia 30319</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Phone: (404) 210-9018</w:t>
      </w:r>
    </w:p>
    <w:p w:rsidR="00632689" w:rsidRDefault="00632689" w:rsidP="00632689">
      <w:pPr>
        <w:widowControl/>
        <w:tabs>
          <w:tab w:val="left" w:pos="0"/>
        </w:tabs>
        <w:rPr>
          <w:rFonts w:ascii="Courier New" w:hAnsi="Courier New" w:cs="Courier New"/>
          <w:color w:val="000000"/>
        </w:rPr>
      </w:pPr>
      <w:r>
        <w:rPr>
          <w:rFonts w:ascii="Courier New" w:hAnsi="Courier New" w:cs="Courier New"/>
          <w:color w:val="000000"/>
        </w:rPr>
        <w:t xml:space="preserve">Email: </w:t>
      </w:r>
      <w:hyperlink r:id="rId12" w:history="1">
        <w:r w:rsidRPr="007251B6">
          <w:rPr>
            <w:rStyle w:val="Hyperlink"/>
            <w:rFonts w:ascii="Courier New" w:hAnsi="Courier New" w:cs="Courier New"/>
          </w:rPr>
          <w:t>mlamias@bellsouth.net</w:t>
        </w:r>
      </w:hyperlink>
    </w:p>
    <w:p w:rsidR="00725271" w:rsidRDefault="00725271"/>
    <w:sectPr w:rsidR="00725271" w:rsidSect="007252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F7" w:rsidRDefault="00EE2AB7" w:rsidP="00E478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121F7" w:rsidRDefault="00EE2AB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1F7" w:rsidRDefault="00EE2AB7" w:rsidP="00E4786A">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81ACD">
      <w:rPr>
        <w:rStyle w:val="PageNumber"/>
        <w:noProof/>
      </w:rPr>
      <w:t>4</w:t>
    </w:r>
    <w:r>
      <w:rPr>
        <w:rStyle w:val="PageNumber"/>
      </w:rPr>
      <w:fldChar w:fldCharType="end"/>
    </w:r>
  </w:p>
  <w:p w:rsidR="00B121F7" w:rsidRPr="00631337" w:rsidRDefault="00EE2AB7">
    <w:pPr>
      <w:pStyle w:val="Footer"/>
      <w:rPr>
        <w:sz w:val="18"/>
        <w:szCs w:val="18"/>
      </w:rPr>
    </w:pPr>
    <w:r w:rsidRPr="00631337">
      <w:rPr>
        <w:sz w:val="18"/>
        <w:szCs w:val="18"/>
      </w:rPr>
      <w:tab/>
    </w:r>
    <w:r w:rsidRPr="00631337">
      <w:rPr>
        <w:sz w:val="18"/>
        <w:szCs w:val="18"/>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0"/>
    <w:name w:val="AutoList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2689"/>
    <w:rsid w:val="00381ACD"/>
    <w:rsid w:val="00632689"/>
    <w:rsid w:val="00725271"/>
    <w:rsid w:val="00990B9E"/>
    <w:rsid w:val="00AF56DB"/>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689"/>
    <w:pPr>
      <w:widowControl w:val="0"/>
      <w:autoSpaceDE w:val="0"/>
      <w:autoSpaceDN w:val="0"/>
      <w:adjustRightInd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32689"/>
    <w:pPr>
      <w:numPr>
        <w:numId w:val="6"/>
      </w:numPr>
      <w:ind w:left="720" w:hanging="720"/>
      <w:outlineLvl w:val="0"/>
    </w:pPr>
  </w:style>
  <w:style w:type="paragraph" w:styleId="Footer">
    <w:name w:val="footer"/>
    <w:basedOn w:val="Normal"/>
    <w:link w:val="FooterChar"/>
    <w:rsid w:val="00632689"/>
    <w:pPr>
      <w:tabs>
        <w:tab w:val="center" w:pos="4320"/>
        <w:tab w:val="right" w:pos="8640"/>
      </w:tabs>
    </w:pPr>
  </w:style>
  <w:style w:type="character" w:customStyle="1" w:styleId="FooterChar">
    <w:name w:val="Footer Char"/>
    <w:basedOn w:val="DefaultParagraphFont"/>
    <w:link w:val="Footer"/>
    <w:rsid w:val="00632689"/>
    <w:rPr>
      <w:rFonts w:ascii="Times New Roman" w:eastAsia="Times New Roman" w:hAnsi="Times New Roman" w:cs="Times New Roman"/>
      <w:sz w:val="24"/>
      <w:szCs w:val="24"/>
    </w:rPr>
  </w:style>
  <w:style w:type="character" w:styleId="PageNumber">
    <w:name w:val="page number"/>
    <w:basedOn w:val="DefaultParagraphFont"/>
    <w:rsid w:val="00632689"/>
  </w:style>
  <w:style w:type="paragraph" w:customStyle="1" w:styleId="Style0">
    <w:name w:val="Style0"/>
    <w:rsid w:val="00632689"/>
    <w:pPr>
      <w:autoSpaceDE w:val="0"/>
      <w:autoSpaceDN w:val="0"/>
      <w:adjustRightInd w:val="0"/>
    </w:pPr>
    <w:rPr>
      <w:rFonts w:ascii="Arial" w:eastAsia="Times New Roman" w:hAnsi="Arial" w:cs="Times New Roman"/>
      <w:sz w:val="24"/>
      <w:szCs w:val="24"/>
    </w:rPr>
  </w:style>
  <w:style w:type="character" w:styleId="Hyperlink">
    <w:name w:val="Hyperlink"/>
    <w:basedOn w:val="DefaultParagraphFont"/>
    <w:rsid w:val="0063268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b2@cdc.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u3@cdc.gov" TargetMode="External"/><Relationship Id="rId12" Type="http://schemas.openxmlformats.org/officeDocument/2006/relationships/hyperlink" Target="mailto:mlamias@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mailto:doug.mcnamara@aphl.org" TargetMode="External"/><Relationship Id="rId5" Type="http://schemas.openxmlformats.org/officeDocument/2006/relationships/footer" Target="footer1.xml"/><Relationship Id="rId10" Type="http://schemas.openxmlformats.org/officeDocument/2006/relationships/hyperlink" Target="mailto:kelly.wroblewski@aphl.org" TargetMode="External"/><Relationship Id="rId4" Type="http://schemas.openxmlformats.org/officeDocument/2006/relationships/webSettings" Target="webSettings.xml"/><Relationship Id="rId9" Type="http://schemas.openxmlformats.org/officeDocument/2006/relationships/hyperlink" Target="mailto:eog0@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962</Words>
  <Characters>5490</Characters>
  <Application>Microsoft Office Word</Application>
  <DocSecurity>0</DocSecurity>
  <Lines>45</Lines>
  <Paragraphs>12</Paragraphs>
  <ScaleCrop>false</ScaleCrop>
  <Company>CDC</Company>
  <LinksUpToDate>false</LinksUpToDate>
  <CharactersWithSpaces>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vbs6</dc:creator>
  <cp:keywords/>
  <dc:description/>
  <cp:lastModifiedBy>vbs6</cp:lastModifiedBy>
  <cp:revision>3</cp:revision>
  <dcterms:created xsi:type="dcterms:W3CDTF">2010-04-09T16:54:00Z</dcterms:created>
  <dcterms:modified xsi:type="dcterms:W3CDTF">2010-04-09T17:08:00Z</dcterms:modified>
</cp:coreProperties>
</file>