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7B4" w:rsidRDefault="004707B4" w:rsidP="004707B4">
      <w:pPr>
        <w:jc w:val="center"/>
        <w:rPr>
          <w:b/>
          <w:bCs/>
          <w:color w:val="000000"/>
          <w:szCs w:val="24"/>
        </w:rPr>
      </w:pPr>
      <w:r w:rsidRPr="006A08B6">
        <w:rPr>
          <w:b/>
          <w:bCs/>
          <w:color w:val="000000"/>
          <w:szCs w:val="24"/>
        </w:rPr>
        <w:t>Supporting Statement for the</w:t>
      </w:r>
      <w:r>
        <w:rPr>
          <w:b/>
          <w:bCs/>
          <w:color w:val="000000"/>
          <w:szCs w:val="24"/>
        </w:rPr>
        <w:t xml:space="preserve"> </w:t>
      </w:r>
    </w:p>
    <w:p w:rsidR="004707B4" w:rsidRDefault="004707B4" w:rsidP="004707B4">
      <w:pPr>
        <w:jc w:val="center"/>
        <w:rPr>
          <w:b/>
          <w:bCs/>
          <w:color w:val="000000"/>
          <w:szCs w:val="24"/>
        </w:rPr>
      </w:pPr>
      <w:r>
        <w:rPr>
          <w:b/>
          <w:bCs/>
          <w:color w:val="000000"/>
          <w:szCs w:val="24"/>
        </w:rPr>
        <w:t>R</w:t>
      </w:r>
      <w:r w:rsidR="006078FD">
        <w:rPr>
          <w:b/>
          <w:bCs/>
          <w:color w:val="000000"/>
          <w:szCs w:val="24"/>
        </w:rPr>
        <w:t>egistration of Mortgage Loan Originators</w:t>
      </w:r>
    </w:p>
    <w:p w:rsidR="004707B4" w:rsidRPr="006A08B6" w:rsidRDefault="006078FD" w:rsidP="004707B4">
      <w:pPr>
        <w:jc w:val="center"/>
        <w:rPr>
          <w:color w:val="000000"/>
          <w:szCs w:val="24"/>
        </w:rPr>
      </w:pPr>
      <w:r>
        <w:rPr>
          <w:b/>
          <w:bCs/>
          <w:color w:val="000000"/>
          <w:szCs w:val="24"/>
        </w:rPr>
        <w:t>(</w:t>
      </w:r>
      <w:proofErr w:type="spellStart"/>
      <w:r w:rsidR="00C9239E">
        <w:rPr>
          <w:b/>
          <w:bCs/>
          <w:color w:val="000000"/>
          <w:szCs w:val="24"/>
        </w:rPr>
        <w:t>Reg</w:t>
      </w:r>
      <w:proofErr w:type="spellEnd"/>
      <w:r w:rsidR="00C9239E">
        <w:rPr>
          <w:b/>
          <w:bCs/>
          <w:color w:val="000000"/>
          <w:szCs w:val="24"/>
        </w:rPr>
        <w:t xml:space="preserve"> H-8</w:t>
      </w:r>
      <w:r w:rsidR="004707B4">
        <w:rPr>
          <w:b/>
          <w:bCs/>
          <w:color w:val="000000"/>
          <w:szCs w:val="24"/>
        </w:rPr>
        <w:t xml:space="preserve">; </w:t>
      </w:r>
      <w:r w:rsidR="004707B4" w:rsidRPr="006A08B6">
        <w:rPr>
          <w:b/>
          <w:bCs/>
          <w:color w:val="000000"/>
          <w:szCs w:val="24"/>
        </w:rPr>
        <w:t xml:space="preserve">OMB No. </w:t>
      </w:r>
      <w:r>
        <w:rPr>
          <w:b/>
          <w:bCs/>
          <w:color w:val="000000"/>
          <w:szCs w:val="24"/>
        </w:rPr>
        <w:t>7100-</w:t>
      </w:r>
      <w:r w:rsidR="005B30AE">
        <w:rPr>
          <w:b/>
          <w:bCs/>
          <w:color w:val="000000"/>
          <w:szCs w:val="24"/>
        </w:rPr>
        <w:t>0328</w:t>
      </w:r>
      <w:r w:rsidR="004707B4" w:rsidRPr="006A08B6">
        <w:rPr>
          <w:b/>
          <w:bCs/>
          <w:color w:val="000000"/>
          <w:szCs w:val="24"/>
        </w:rPr>
        <w:t>)</w:t>
      </w:r>
    </w:p>
    <w:p w:rsidR="004707B4" w:rsidRDefault="004707B4">
      <w:pPr>
        <w:jc w:val="both"/>
        <w:rPr>
          <w:b/>
          <w:bCs/>
          <w:color w:val="000000"/>
          <w:szCs w:val="24"/>
        </w:rPr>
      </w:pPr>
    </w:p>
    <w:p w:rsidR="0097783F" w:rsidRPr="006A08B6" w:rsidRDefault="0097783F">
      <w:pPr>
        <w:jc w:val="both"/>
        <w:rPr>
          <w:color w:val="000000"/>
          <w:szCs w:val="24"/>
        </w:rPr>
      </w:pPr>
      <w:r w:rsidRPr="006A08B6">
        <w:rPr>
          <w:b/>
          <w:bCs/>
          <w:color w:val="000000"/>
          <w:szCs w:val="24"/>
        </w:rPr>
        <w:t>Summary</w:t>
      </w:r>
    </w:p>
    <w:p w:rsidR="0097783F" w:rsidRPr="006A08B6" w:rsidRDefault="0097783F">
      <w:pPr>
        <w:jc w:val="both"/>
        <w:rPr>
          <w:color w:val="000000"/>
          <w:szCs w:val="24"/>
        </w:rPr>
      </w:pPr>
    </w:p>
    <w:p w:rsidR="00566034" w:rsidRDefault="0097783F" w:rsidP="00566034">
      <w:pPr>
        <w:rPr>
          <w:szCs w:val="24"/>
        </w:rPr>
      </w:pPr>
      <w:r w:rsidRPr="006A08B6">
        <w:rPr>
          <w:color w:val="000000"/>
          <w:szCs w:val="24"/>
        </w:rPr>
        <w:tab/>
      </w:r>
      <w:r w:rsidR="004707B4" w:rsidRPr="006A08B6">
        <w:rPr>
          <w:color w:val="000000"/>
          <w:szCs w:val="24"/>
        </w:rPr>
        <w:t>The Board of Governors of the Federal Reserve System, under delegated authority from the Office of Management and Budget (OMB),</w:t>
      </w:r>
      <w:r w:rsidR="004707B4">
        <w:rPr>
          <w:color w:val="000000"/>
          <w:szCs w:val="24"/>
        </w:rPr>
        <w:t xml:space="preserve"> </w:t>
      </w:r>
      <w:r w:rsidR="00744600">
        <w:t xml:space="preserve">proposes to </w:t>
      </w:r>
      <w:r w:rsidR="006078FD">
        <w:t xml:space="preserve">implement </w:t>
      </w:r>
      <w:r w:rsidR="00717EA3">
        <w:rPr>
          <w:color w:val="000000"/>
          <w:szCs w:val="24"/>
        </w:rPr>
        <w:t>the R</w:t>
      </w:r>
      <w:r w:rsidR="006078FD">
        <w:rPr>
          <w:color w:val="000000"/>
          <w:szCs w:val="24"/>
        </w:rPr>
        <w:t xml:space="preserve">egistration of Mortgage Loan Originators </w:t>
      </w:r>
      <w:r w:rsidRPr="006A08B6">
        <w:rPr>
          <w:color w:val="000000"/>
          <w:szCs w:val="24"/>
        </w:rPr>
        <w:t>(</w:t>
      </w:r>
      <w:proofErr w:type="spellStart"/>
      <w:r w:rsidR="00C9239E">
        <w:rPr>
          <w:color w:val="000000"/>
          <w:szCs w:val="24"/>
        </w:rPr>
        <w:t>Reg</w:t>
      </w:r>
      <w:proofErr w:type="spellEnd"/>
      <w:r w:rsidR="00C9239E">
        <w:rPr>
          <w:color w:val="000000"/>
          <w:szCs w:val="24"/>
        </w:rPr>
        <w:t xml:space="preserve"> H-8</w:t>
      </w:r>
      <w:r w:rsidR="00123261">
        <w:rPr>
          <w:color w:val="000000"/>
          <w:szCs w:val="24"/>
        </w:rPr>
        <w:t xml:space="preserve">; </w:t>
      </w:r>
      <w:r w:rsidRPr="006A08B6">
        <w:rPr>
          <w:color w:val="000000"/>
          <w:szCs w:val="24"/>
        </w:rPr>
        <w:t xml:space="preserve">OMB No. </w:t>
      </w:r>
      <w:r w:rsidR="00924369">
        <w:rPr>
          <w:color w:val="000000"/>
          <w:szCs w:val="24"/>
        </w:rPr>
        <w:t>7100-</w:t>
      </w:r>
      <w:r w:rsidR="00DF2C8C">
        <w:rPr>
          <w:color w:val="000000"/>
          <w:szCs w:val="24"/>
        </w:rPr>
        <w:t>0328</w:t>
      </w:r>
      <w:r w:rsidRPr="006A08B6">
        <w:rPr>
          <w:color w:val="000000"/>
          <w:szCs w:val="24"/>
        </w:rPr>
        <w:t>)</w:t>
      </w:r>
      <w:r w:rsidR="00921519" w:rsidRPr="006A08B6">
        <w:rPr>
          <w:color w:val="000000"/>
          <w:szCs w:val="24"/>
        </w:rPr>
        <w:t xml:space="preserve">. </w:t>
      </w:r>
      <w:r w:rsidR="002D68CB">
        <w:rPr>
          <w:color w:val="000000"/>
          <w:szCs w:val="24"/>
        </w:rPr>
        <w:t xml:space="preserve"> </w:t>
      </w:r>
      <w:r w:rsidR="00921519" w:rsidRPr="006A08B6">
        <w:rPr>
          <w:color w:val="000000"/>
          <w:szCs w:val="24"/>
        </w:rPr>
        <w:t>The</w:t>
      </w:r>
      <w:r w:rsidRPr="006A08B6">
        <w:rPr>
          <w:szCs w:val="24"/>
        </w:rPr>
        <w:t xml:space="preserve"> Paperwork Reduction Act (PRA) classifies reporting, recordkeeping, or disclosure requirements of a regulation as an “information collection.”</w:t>
      </w:r>
      <w:r w:rsidRPr="006A08B6">
        <w:rPr>
          <w:rStyle w:val="FootnoteReference"/>
          <w:color w:val="000000"/>
          <w:szCs w:val="24"/>
        </w:rPr>
        <w:t xml:space="preserve"> </w:t>
      </w:r>
      <w:r w:rsidRPr="006A08B6">
        <w:rPr>
          <w:rStyle w:val="FootnoteReference"/>
          <w:color w:val="000000"/>
          <w:szCs w:val="24"/>
        </w:rPr>
        <w:footnoteReference w:id="1"/>
      </w:r>
      <w:r w:rsidRPr="006A08B6">
        <w:rPr>
          <w:szCs w:val="24"/>
        </w:rPr>
        <w:t xml:space="preserve">  </w:t>
      </w:r>
    </w:p>
    <w:p w:rsidR="00492EED" w:rsidRDefault="00492EED" w:rsidP="00566034">
      <w:pPr>
        <w:rPr>
          <w:szCs w:val="24"/>
        </w:rPr>
      </w:pPr>
    </w:p>
    <w:p w:rsidR="00566034" w:rsidRDefault="009A6DC7" w:rsidP="00566034">
      <w:pPr>
        <w:ind w:firstLine="720"/>
      </w:pPr>
      <w:r>
        <w:rPr>
          <w:color w:val="000000"/>
          <w:szCs w:val="24"/>
        </w:rPr>
        <w:t xml:space="preserve">On </w:t>
      </w:r>
      <w:r w:rsidR="009946D3">
        <w:rPr>
          <w:color w:val="000000"/>
          <w:szCs w:val="24"/>
        </w:rPr>
        <w:t>July 28</w:t>
      </w:r>
      <w:r w:rsidR="006078FD">
        <w:rPr>
          <w:color w:val="000000"/>
          <w:szCs w:val="24"/>
        </w:rPr>
        <w:t xml:space="preserve">, </w:t>
      </w:r>
      <w:r w:rsidR="009946D3">
        <w:rPr>
          <w:color w:val="000000"/>
          <w:szCs w:val="24"/>
        </w:rPr>
        <w:t>2010</w:t>
      </w:r>
      <w:r w:rsidR="006078FD">
        <w:rPr>
          <w:color w:val="000000"/>
          <w:szCs w:val="24"/>
        </w:rPr>
        <w:t>,</w:t>
      </w:r>
      <w:r>
        <w:rPr>
          <w:color w:val="000000"/>
          <w:szCs w:val="24"/>
        </w:rPr>
        <w:t xml:space="preserve"> </w:t>
      </w:r>
      <w:r w:rsidR="005B5A41">
        <w:rPr>
          <w:color w:val="000000"/>
          <w:szCs w:val="24"/>
        </w:rPr>
        <w:t xml:space="preserve">the Office of the Comptroller of the Currency (OCC), the </w:t>
      </w:r>
      <w:r w:rsidR="005B5A41" w:rsidRPr="006A08B6">
        <w:rPr>
          <w:color w:val="000000"/>
          <w:szCs w:val="24"/>
        </w:rPr>
        <w:t>Board</w:t>
      </w:r>
      <w:r w:rsidR="005B5A41">
        <w:rPr>
          <w:color w:val="000000"/>
          <w:szCs w:val="24"/>
        </w:rPr>
        <w:t xml:space="preserve"> of Governors of the Federal Reserve System (Federal Reserve), </w:t>
      </w:r>
      <w:r>
        <w:rPr>
          <w:color w:val="000000"/>
          <w:szCs w:val="24"/>
        </w:rPr>
        <w:t>t</w:t>
      </w:r>
      <w:r w:rsidR="00F25713">
        <w:rPr>
          <w:color w:val="000000"/>
          <w:szCs w:val="24"/>
        </w:rPr>
        <w:t xml:space="preserve">he </w:t>
      </w:r>
      <w:r w:rsidR="00566034">
        <w:rPr>
          <w:color w:val="000000"/>
          <w:szCs w:val="24"/>
        </w:rPr>
        <w:t>Federal Deposit Insurance Corporation</w:t>
      </w:r>
      <w:r w:rsidR="00164734">
        <w:rPr>
          <w:color w:val="000000"/>
          <w:szCs w:val="24"/>
        </w:rPr>
        <w:t xml:space="preserve"> (FDIC)</w:t>
      </w:r>
      <w:r w:rsidR="006078FD">
        <w:rPr>
          <w:color w:val="000000"/>
          <w:szCs w:val="24"/>
        </w:rPr>
        <w:t xml:space="preserve">, </w:t>
      </w:r>
      <w:r w:rsidR="00566034">
        <w:rPr>
          <w:color w:val="000000"/>
          <w:szCs w:val="24"/>
        </w:rPr>
        <w:t xml:space="preserve">the Office of Thrift Supervision </w:t>
      </w:r>
      <w:r w:rsidR="001612C7">
        <w:rPr>
          <w:color w:val="000000"/>
          <w:szCs w:val="24"/>
        </w:rPr>
        <w:t>(OTS)</w:t>
      </w:r>
      <w:r w:rsidR="006078FD">
        <w:rPr>
          <w:color w:val="000000"/>
          <w:szCs w:val="24"/>
        </w:rPr>
        <w:t xml:space="preserve">, the Farm Credit </w:t>
      </w:r>
      <w:r w:rsidR="00086124">
        <w:rPr>
          <w:color w:val="000000"/>
          <w:szCs w:val="24"/>
        </w:rPr>
        <w:t>Administration</w:t>
      </w:r>
      <w:r w:rsidR="006078FD">
        <w:rPr>
          <w:color w:val="000000"/>
          <w:szCs w:val="24"/>
        </w:rPr>
        <w:t xml:space="preserve"> (FCA) and the National Credit Union Administration (NCUA)</w:t>
      </w:r>
      <w:r w:rsidR="001612C7">
        <w:rPr>
          <w:color w:val="000000"/>
          <w:szCs w:val="24"/>
        </w:rPr>
        <w:t xml:space="preserve"> </w:t>
      </w:r>
      <w:r w:rsidR="00566034">
        <w:rPr>
          <w:color w:val="000000"/>
          <w:szCs w:val="24"/>
        </w:rPr>
        <w:t xml:space="preserve">(the agencies) </w:t>
      </w:r>
      <w:r w:rsidR="00744600">
        <w:rPr>
          <w:color w:val="000000"/>
          <w:szCs w:val="24"/>
        </w:rPr>
        <w:t xml:space="preserve">issued </w:t>
      </w:r>
      <w:r>
        <w:rPr>
          <w:color w:val="000000"/>
          <w:szCs w:val="24"/>
        </w:rPr>
        <w:t xml:space="preserve">the </w:t>
      </w:r>
      <w:r w:rsidR="00F25713">
        <w:rPr>
          <w:color w:val="000000"/>
          <w:szCs w:val="24"/>
        </w:rPr>
        <w:t xml:space="preserve">joint </w:t>
      </w:r>
      <w:r w:rsidR="009946D3">
        <w:rPr>
          <w:color w:val="000000"/>
          <w:szCs w:val="24"/>
        </w:rPr>
        <w:t>final</w:t>
      </w:r>
      <w:r w:rsidR="00744600">
        <w:rPr>
          <w:color w:val="000000"/>
          <w:szCs w:val="24"/>
        </w:rPr>
        <w:t xml:space="preserve"> </w:t>
      </w:r>
      <w:r w:rsidR="00F25713">
        <w:rPr>
          <w:color w:val="000000"/>
          <w:szCs w:val="24"/>
        </w:rPr>
        <w:t>r</w:t>
      </w:r>
      <w:r w:rsidR="00375AA4">
        <w:rPr>
          <w:color w:val="000000"/>
          <w:szCs w:val="24"/>
        </w:rPr>
        <w:t xml:space="preserve">ule </w:t>
      </w:r>
      <w:r w:rsidR="00D91484">
        <w:rPr>
          <w:color w:val="000000"/>
          <w:szCs w:val="24"/>
        </w:rPr>
        <w:t>titled</w:t>
      </w:r>
      <w:r w:rsidR="00744600">
        <w:rPr>
          <w:color w:val="000000"/>
          <w:szCs w:val="24"/>
        </w:rPr>
        <w:t xml:space="preserve"> </w:t>
      </w:r>
      <w:r w:rsidR="006078FD">
        <w:rPr>
          <w:color w:val="000000"/>
          <w:szCs w:val="24"/>
        </w:rPr>
        <w:t>Registration of Mortgage Loan Originators (</w:t>
      </w:r>
      <w:r w:rsidR="009946D3">
        <w:rPr>
          <w:color w:val="000000"/>
          <w:szCs w:val="24"/>
        </w:rPr>
        <w:t xml:space="preserve">75 </w:t>
      </w:r>
      <w:r w:rsidR="006078FD">
        <w:rPr>
          <w:color w:val="000000"/>
          <w:szCs w:val="24"/>
        </w:rPr>
        <w:t xml:space="preserve">FR </w:t>
      </w:r>
      <w:r w:rsidR="001275D3">
        <w:rPr>
          <w:color w:val="000000"/>
          <w:szCs w:val="24"/>
        </w:rPr>
        <w:t>44656</w:t>
      </w:r>
      <w:r w:rsidR="00744600">
        <w:rPr>
          <w:color w:val="000000"/>
          <w:szCs w:val="24"/>
        </w:rPr>
        <w:t>)</w:t>
      </w:r>
      <w:r w:rsidR="00F25713">
        <w:rPr>
          <w:color w:val="000000"/>
          <w:szCs w:val="24"/>
        </w:rPr>
        <w:t>.</w:t>
      </w:r>
      <w:r w:rsidR="00566034">
        <w:rPr>
          <w:color w:val="000000"/>
          <w:szCs w:val="24"/>
        </w:rPr>
        <w:t xml:space="preserve">  </w:t>
      </w:r>
      <w:r w:rsidR="00937412">
        <w:rPr>
          <w:color w:val="000000"/>
          <w:szCs w:val="24"/>
        </w:rPr>
        <w:t>Th</w:t>
      </w:r>
      <w:r w:rsidR="00086124">
        <w:rPr>
          <w:color w:val="000000"/>
          <w:szCs w:val="24"/>
        </w:rPr>
        <w:t>e Board’s</w:t>
      </w:r>
      <w:r w:rsidR="00937412">
        <w:rPr>
          <w:color w:val="000000"/>
          <w:szCs w:val="24"/>
        </w:rPr>
        <w:t xml:space="preserve"> rule amend</w:t>
      </w:r>
      <w:r w:rsidR="009946D3">
        <w:rPr>
          <w:color w:val="000000"/>
          <w:szCs w:val="24"/>
        </w:rPr>
        <w:t>s</w:t>
      </w:r>
      <w:r w:rsidR="00937412">
        <w:rPr>
          <w:color w:val="000000"/>
          <w:szCs w:val="24"/>
        </w:rPr>
        <w:t xml:space="preserve"> Regulation H to implement the Secure and Fair Enforcement for Mortgage Licensing Act (the S.A.F.E. Act</w:t>
      </w:r>
      <w:r w:rsidR="00F97C4A">
        <w:rPr>
          <w:color w:val="000000"/>
          <w:szCs w:val="24"/>
        </w:rPr>
        <w:t xml:space="preserve"> or the Act</w:t>
      </w:r>
      <w:r w:rsidR="00937412">
        <w:rPr>
          <w:color w:val="000000"/>
          <w:szCs w:val="24"/>
        </w:rPr>
        <w:t>)</w:t>
      </w:r>
      <w:r w:rsidR="00086124">
        <w:rPr>
          <w:color w:val="000000"/>
          <w:szCs w:val="24"/>
        </w:rPr>
        <w:t xml:space="preserve"> with respect to its regulated entities</w:t>
      </w:r>
      <w:r w:rsidR="00937412">
        <w:rPr>
          <w:color w:val="000000"/>
          <w:szCs w:val="24"/>
        </w:rPr>
        <w:t xml:space="preserve">, enacted July 30, 2008.  </w:t>
      </w:r>
      <w:r w:rsidR="002D68CB">
        <w:rPr>
          <w:color w:val="000000"/>
          <w:szCs w:val="24"/>
        </w:rPr>
        <w:t xml:space="preserve">Along with the rule, the agencies </w:t>
      </w:r>
      <w:r w:rsidR="00834CBA">
        <w:rPr>
          <w:color w:val="000000"/>
          <w:szCs w:val="24"/>
        </w:rPr>
        <w:t>proposed</w:t>
      </w:r>
      <w:r w:rsidR="002D68CB">
        <w:rPr>
          <w:color w:val="000000"/>
          <w:szCs w:val="24"/>
        </w:rPr>
        <w:t xml:space="preserve"> the </w:t>
      </w:r>
      <w:r w:rsidR="0071338A">
        <w:rPr>
          <w:color w:val="000000"/>
          <w:szCs w:val="24"/>
        </w:rPr>
        <w:t>information collection</w:t>
      </w:r>
      <w:r w:rsidR="002D68CB">
        <w:rPr>
          <w:color w:val="000000"/>
          <w:szCs w:val="24"/>
        </w:rPr>
        <w:t xml:space="preserve"> referred to above.  </w:t>
      </w:r>
    </w:p>
    <w:p w:rsidR="000034D5" w:rsidRDefault="000034D5" w:rsidP="000034D5">
      <w:pPr>
        <w:rPr>
          <w:color w:val="000000"/>
        </w:rPr>
      </w:pPr>
    </w:p>
    <w:p w:rsidR="0097783F" w:rsidRDefault="0097783F">
      <w:pPr>
        <w:rPr>
          <w:szCs w:val="24"/>
        </w:rPr>
      </w:pPr>
      <w:r w:rsidRPr="006A08B6">
        <w:rPr>
          <w:szCs w:val="24"/>
        </w:rPr>
        <w:tab/>
      </w:r>
      <w:r w:rsidR="00566034">
        <w:rPr>
          <w:szCs w:val="24"/>
        </w:rPr>
        <w:t xml:space="preserve">The </w:t>
      </w:r>
      <w:r w:rsidR="00F97C4A">
        <w:rPr>
          <w:szCs w:val="24"/>
        </w:rPr>
        <w:t xml:space="preserve">Federal Reserve’s </w:t>
      </w:r>
      <w:r w:rsidR="009946D3">
        <w:rPr>
          <w:szCs w:val="24"/>
        </w:rPr>
        <w:t>final</w:t>
      </w:r>
      <w:r w:rsidR="00937412">
        <w:rPr>
          <w:szCs w:val="24"/>
        </w:rPr>
        <w:t xml:space="preserve"> </w:t>
      </w:r>
      <w:r w:rsidR="00744600">
        <w:rPr>
          <w:szCs w:val="24"/>
        </w:rPr>
        <w:t xml:space="preserve">rule </w:t>
      </w:r>
      <w:r w:rsidRPr="006A08B6">
        <w:rPr>
          <w:szCs w:val="24"/>
        </w:rPr>
        <w:t>require</w:t>
      </w:r>
      <w:r w:rsidR="00744600">
        <w:rPr>
          <w:szCs w:val="24"/>
        </w:rPr>
        <w:t>s</w:t>
      </w:r>
      <w:r w:rsidRPr="006A08B6">
        <w:rPr>
          <w:szCs w:val="24"/>
        </w:rPr>
        <w:t xml:space="preserve"> </w:t>
      </w:r>
      <w:r w:rsidR="00937412">
        <w:rPr>
          <w:szCs w:val="24"/>
        </w:rPr>
        <w:t xml:space="preserve">employees of </w:t>
      </w:r>
      <w:r w:rsidR="006078FD">
        <w:rPr>
          <w:szCs w:val="24"/>
        </w:rPr>
        <w:t xml:space="preserve">state member banks, </w:t>
      </w:r>
      <w:r w:rsidR="00F25713">
        <w:rPr>
          <w:szCs w:val="24"/>
        </w:rPr>
        <w:t xml:space="preserve">certain </w:t>
      </w:r>
      <w:r w:rsidR="006078FD">
        <w:rPr>
          <w:szCs w:val="24"/>
        </w:rPr>
        <w:t>subsidiaries of state member banks, branches and agencies of foreign banks</w:t>
      </w:r>
      <w:r w:rsidR="00086124">
        <w:rPr>
          <w:szCs w:val="24"/>
        </w:rPr>
        <w:t xml:space="preserve"> that are regulated by the Board</w:t>
      </w:r>
      <w:r w:rsidR="006078FD">
        <w:rPr>
          <w:szCs w:val="24"/>
        </w:rPr>
        <w:t xml:space="preserve">, and </w:t>
      </w:r>
      <w:r w:rsidR="00937412">
        <w:rPr>
          <w:szCs w:val="24"/>
        </w:rPr>
        <w:t xml:space="preserve">commercial lending companies </w:t>
      </w:r>
      <w:r w:rsidR="00086124">
        <w:rPr>
          <w:szCs w:val="24"/>
        </w:rPr>
        <w:t xml:space="preserve">of foreign banks </w:t>
      </w:r>
      <w:r w:rsidR="00937412">
        <w:rPr>
          <w:szCs w:val="24"/>
        </w:rPr>
        <w:t xml:space="preserve">who act as residential mortgage loan originators (MLOs) to register with the Nationwide Mortgage Licensing System and Registry, </w:t>
      </w:r>
      <w:r w:rsidR="00C9239E">
        <w:rPr>
          <w:szCs w:val="24"/>
        </w:rPr>
        <w:t xml:space="preserve">obtain a unique identifier, </w:t>
      </w:r>
      <w:r w:rsidR="00937412">
        <w:rPr>
          <w:szCs w:val="24"/>
        </w:rPr>
        <w:t>maintain this registration</w:t>
      </w:r>
      <w:r w:rsidR="00C9239E">
        <w:rPr>
          <w:szCs w:val="24"/>
        </w:rPr>
        <w:t>, and disclose to consumers the unique identifier</w:t>
      </w:r>
      <w:r w:rsidR="000034D5">
        <w:rPr>
          <w:szCs w:val="24"/>
        </w:rPr>
        <w:t xml:space="preserve">.  </w:t>
      </w:r>
      <w:r w:rsidR="00937412">
        <w:rPr>
          <w:szCs w:val="24"/>
        </w:rPr>
        <w:t>The rule also requires the institutions employing these MLOs to adopt and follow written policies and procedures to ensure their employees comply with these requirements</w:t>
      </w:r>
      <w:r w:rsidR="00C9239E">
        <w:rPr>
          <w:szCs w:val="24"/>
        </w:rPr>
        <w:t xml:space="preserve"> and to disclose the unique identifiers of their MLOs</w:t>
      </w:r>
      <w:r w:rsidR="00937412">
        <w:rPr>
          <w:szCs w:val="24"/>
        </w:rPr>
        <w:t xml:space="preserve">.  </w:t>
      </w:r>
      <w:r w:rsidRPr="006A08B6">
        <w:rPr>
          <w:szCs w:val="24"/>
        </w:rPr>
        <w:t xml:space="preserve">The Federal Reserve’s total annual burden </w:t>
      </w:r>
      <w:r w:rsidR="000034D5">
        <w:rPr>
          <w:szCs w:val="24"/>
        </w:rPr>
        <w:t xml:space="preserve">for this information collection is estimated to be </w:t>
      </w:r>
      <w:r w:rsidR="00937412">
        <w:rPr>
          <w:szCs w:val="24"/>
        </w:rPr>
        <w:t>933,957</w:t>
      </w:r>
      <w:r w:rsidRPr="006A08B6">
        <w:rPr>
          <w:szCs w:val="24"/>
        </w:rPr>
        <w:t xml:space="preserve"> hours.  </w:t>
      </w:r>
    </w:p>
    <w:p w:rsidR="00EF4283" w:rsidRPr="006A08B6" w:rsidRDefault="00EF4283">
      <w:pPr>
        <w:rPr>
          <w:color w:val="000000"/>
          <w:szCs w:val="24"/>
        </w:rPr>
      </w:pPr>
    </w:p>
    <w:p w:rsidR="0097783F" w:rsidRPr="006A08B6" w:rsidRDefault="0097783F">
      <w:pPr>
        <w:jc w:val="both"/>
        <w:rPr>
          <w:color w:val="000000"/>
          <w:szCs w:val="24"/>
        </w:rPr>
      </w:pPr>
      <w:r w:rsidRPr="006A08B6">
        <w:rPr>
          <w:b/>
          <w:bCs/>
          <w:color w:val="000000"/>
          <w:szCs w:val="24"/>
        </w:rPr>
        <w:t>Background and Justification</w:t>
      </w:r>
    </w:p>
    <w:p w:rsidR="0097783F" w:rsidRPr="006A08B6" w:rsidRDefault="0097783F">
      <w:pPr>
        <w:jc w:val="both"/>
        <w:rPr>
          <w:color w:val="000000"/>
          <w:szCs w:val="24"/>
        </w:rPr>
      </w:pPr>
    </w:p>
    <w:p w:rsidR="00D15543" w:rsidRDefault="008B25AB" w:rsidP="00274816">
      <w:pPr>
        <w:rPr>
          <w:bCs/>
          <w:color w:val="000000"/>
          <w:szCs w:val="24"/>
        </w:rPr>
      </w:pPr>
      <w:r>
        <w:rPr>
          <w:bCs/>
          <w:color w:val="000000"/>
          <w:szCs w:val="24"/>
        </w:rPr>
        <w:tab/>
        <w:t xml:space="preserve">The S.A.F.E. Act mandates a nationwide licensing or registration system for MLOs.  The Act requires the </w:t>
      </w:r>
      <w:r w:rsidR="00F97C4A">
        <w:rPr>
          <w:bCs/>
          <w:color w:val="000000"/>
          <w:szCs w:val="24"/>
        </w:rPr>
        <w:t>agencies</w:t>
      </w:r>
      <w:r w:rsidR="008D0630">
        <w:rPr>
          <w:bCs/>
          <w:color w:val="000000"/>
          <w:szCs w:val="24"/>
        </w:rPr>
        <w:t xml:space="preserve"> </w:t>
      </w:r>
      <w:r w:rsidR="00086124">
        <w:rPr>
          <w:bCs/>
          <w:color w:val="000000"/>
          <w:szCs w:val="24"/>
        </w:rPr>
        <w:t xml:space="preserve">to </w:t>
      </w:r>
      <w:r>
        <w:rPr>
          <w:bCs/>
          <w:color w:val="000000"/>
          <w:szCs w:val="24"/>
        </w:rPr>
        <w:t>develop and maintain a federal registration system for those MLOs employed by agency-regulated institutions.  The Act provides that the objectives of the registry are to aggregate and improve the flow of information to and between regulators, provide increased accountability and tracking of MLOs, enhance consumer protections, reduce fraud in the residential mortgage loan origination process, and provide consumers wit</w:t>
      </w:r>
      <w:r w:rsidR="008D0630">
        <w:rPr>
          <w:bCs/>
          <w:color w:val="000000"/>
          <w:szCs w:val="24"/>
        </w:rPr>
        <w:t>h easily accessible information</w:t>
      </w:r>
      <w:r>
        <w:rPr>
          <w:bCs/>
          <w:color w:val="000000"/>
          <w:szCs w:val="24"/>
        </w:rPr>
        <w:t xml:space="preserve"> at no charge regarding the employment history of, and publicly adjudicated disciplinary and enforcement actions </w:t>
      </w:r>
      <w:r>
        <w:rPr>
          <w:bCs/>
          <w:color w:val="000000"/>
          <w:szCs w:val="24"/>
        </w:rPr>
        <w:lastRenderedPageBreak/>
        <w:t xml:space="preserve">against MLOs.  </w:t>
      </w:r>
      <w:r w:rsidR="00C9239E">
        <w:rPr>
          <w:bCs/>
          <w:color w:val="000000"/>
          <w:szCs w:val="24"/>
        </w:rPr>
        <w:t>There are no other information collections that require these reporting, recordkeeping, and disclosure requirements for agency-regulated institutions.</w:t>
      </w:r>
    </w:p>
    <w:p w:rsidR="009946D3" w:rsidRDefault="009946D3" w:rsidP="00814CF7">
      <w:pPr>
        <w:jc w:val="both"/>
        <w:rPr>
          <w:b/>
          <w:bCs/>
          <w:color w:val="000000"/>
          <w:szCs w:val="24"/>
        </w:rPr>
      </w:pPr>
    </w:p>
    <w:p w:rsidR="0097783F" w:rsidRPr="006A08B6" w:rsidRDefault="0097783F" w:rsidP="00814CF7">
      <w:pPr>
        <w:jc w:val="both"/>
        <w:rPr>
          <w:color w:val="000000"/>
          <w:szCs w:val="24"/>
        </w:rPr>
      </w:pPr>
      <w:r w:rsidRPr="006A08B6">
        <w:rPr>
          <w:b/>
          <w:bCs/>
          <w:color w:val="000000"/>
          <w:szCs w:val="24"/>
        </w:rPr>
        <w:t>Description of Information Collection</w:t>
      </w:r>
    </w:p>
    <w:p w:rsidR="0012553E" w:rsidRDefault="0012553E" w:rsidP="0012553E"/>
    <w:p w:rsidR="0097783F" w:rsidRDefault="00814CF7" w:rsidP="008D0630">
      <w:r>
        <w:tab/>
      </w:r>
      <w:r w:rsidR="0012553E" w:rsidRPr="006A08B6">
        <w:t xml:space="preserve">The </w:t>
      </w:r>
      <w:r w:rsidR="00CD7F56">
        <w:t>rule</w:t>
      </w:r>
      <w:r w:rsidR="00CD7F56" w:rsidRPr="006A08B6">
        <w:t xml:space="preserve"> </w:t>
      </w:r>
      <w:r w:rsidR="0012553E">
        <w:t xml:space="preserve">requires </w:t>
      </w:r>
      <w:r w:rsidR="008D0630">
        <w:t>MLOs to register, obtain a unique identifier, and maintain their registration.  The rule also requires depository institutions regulated by the agencies to ensure compliance of MLOs employed by their institution, including establishing written policies and procedures</w:t>
      </w:r>
      <w:r w:rsidR="0012553E">
        <w:t xml:space="preserve">.  These requirements are described in Sections </w:t>
      </w:r>
      <w:r w:rsidR="008D0630">
        <w:t>103 (a)</w:t>
      </w:r>
      <w:proofErr w:type="gramStart"/>
      <w:r w:rsidR="008D0630">
        <w:t>,(</w:t>
      </w:r>
      <w:proofErr w:type="gramEnd"/>
      <w:r w:rsidR="008D0630">
        <w:t xml:space="preserve">b),(d),(e), 104, and 105 </w:t>
      </w:r>
      <w:r w:rsidR="0012553E">
        <w:t xml:space="preserve">of the </w:t>
      </w:r>
      <w:r w:rsidR="00CD7F56">
        <w:t>final rule</w:t>
      </w:r>
      <w:r w:rsidR="0012553E">
        <w:t xml:space="preserve">.  </w:t>
      </w:r>
      <w:r>
        <w:t>Details of</w:t>
      </w:r>
      <w:r w:rsidR="005D7A89">
        <w:t xml:space="preserve"> </w:t>
      </w:r>
      <w:r>
        <w:t xml:space="preserve">the requirements for </w:t>
      </w:r>
      <w:r w:rsidR="005D7A89">
        <w:t>each section are provided below.</w:t>
      </w:r>
    </w:p>
    <w:p w:rsidR="0045767E" w:rsidRDefault="0045767E" w:rsidP="003935D5">
      <w:pPr>
        <w:keepNext/>
        <w:keepLines/>
      </w:pPr>
    </w:p>
    <w:p w:rsidR="003935D5" w:rsidRDefault="008D0630" w:rsidP="00EB212E">
      <w:pPr>
        <w:ind w:firstLine="720"/>
      </w:pPr>
      <w:proofErr w:type="gramStart"/>
      <w:r>
        <w:rPr>
          <w:b/>
        </w:rPr>
        <w:t>Mortgage Loan Originators</w:t>
      </w:r>
      <w:r w:rsidR="005D7A89">
        <w:rPr>
          <w:b/>
        </w:rPr>
        <w:t xml:space="preserve"> (Section</w:t>
      </w:r>
      <w:r w:rsidR="00BF45EC">
        <w:rPr>
          <w:b/>
        </w:rPr>
        <w:t>s</w:t>
      </w:r>
      <w:r>
        <w:rPr>
          <w:b/>
        </w:rPr>
        <w:t xml:space="preserve"> 10</w:t>
      </w:r>
      <w:r w:rsidR="003935D5">
        <w:rPr>
          <w:b/>
        </w:rPr>
        <w:t>3</w:t>
      </w:r>
      <w:r>
        <w:rPr>
          <w:b/>
        </w:rPr>
        <w:t>(a)</w:t>
      </w:r>
      <w:r w:rsidR="00EB212E">
        <w:rPr>
          <w:b/>
        </w:rPr>
        <w:t xml:space="preserve">, </w:t>
      </w:r>
      <w:r w:rsidR="009946D3">
        <w:rPr>
          <w:b/>
        </w:rPr>
        <w:t xml:space="preserve">(b), </w:t>
      </w:r>
      <w:r w:rsidR="00BF45EC">
        <w:rPr>
          <w:b/>
        </w:rPr>
        <w:t>(d)</w:t>
      </w:r>
      <w:r w:rsidR="00EB212E">
        <w:rPr>
          <w:b/>
        </w:rPr>
        <w:t xml:space="preserve"> and 105</w:t>
      </w:r>
      <w:r w:rsidR="003935D5">
        <w:rPr>
          <w:b/>
        </w:rPr>
        <w:t>).</w:t>
      </w:r>
      <w:proofErr w:type="gramEnd"/>
      <w:r w:rsidR="003935D5">
        <w:rPr>
          <w:b/>
        </w:rPr>
        <w:t xml:space="preserve">  </w:t>
      </w:r>
      <w:r w:rsidR="00BF45EC" w:rsidRPr="00BF45EC">
        <w:t xml:space="preserve">Unless the de </w:t>
      </w:r>
      <w:proofErr w:type="spellStart"/>
      <w:r w:rsidR="00BF45EC" w:rsidRPr="00BF45EC">
        <w:t>minimis</w:t>
      </w:r>
      <w:proofErr w:type="spellEnd"/>
      <w:r w:rsidR="00BF45EC" w:rsidRPr="00BF45EC">
        <w:t xml:space="preserve"> exception or a different implem</w:t>
      </w:r>
      <w:r w:rsidR="00BF45EC">
        <w:t xml:space="preserve">entation period applies, Section 103(a) </w:t>
      </w:r>
      <w:r w:rsidR="009946D3">
        <w:t xml:space="preserve">and (b) </w:t>
      </w:r>
      <w:r w:rsidR="00BF45EC">
        <w:t xml:space="preserve">would require an employee of a depository institution who engages in the business of </w:t>
      </w:r>
      <w:r w:rsidR="004612CF">
        <w:t xml:space="preserve">a </w:t>
      </w:r>
      <w:r w:rsidR="00BF45EC">
        <w:t xml:space="preserve">MLO to register with the Registry, maintain such registration, and obtain an unique identifier.  Section 103(d) describes the categories of information that an employee, or the employing depository institution on the employee’s behalf, must submit to the Registry, with the employee’s attestation as to the correctness of the information supplied, and his or her authorization to obtain further information.  </w:t>
      </w:r>
      <w:r w:rsidR="00EB212E">
        <w:t>Section 105 would require a registered MLO to provide his or her unique identifier to a consumer upon request, before acting as a MLO, and through the originator’s initial written communication with a consumer, if any.</w:t>
      </w:r>
    </w:p>
    <w:p w:rsidR="00EB212E" w:rsidRDefault="00EB212E" w:rsidP="00EB212E">
      <w:pPr>
        <w:ind w:firstLine="720"/>
      </w:pPr>
    </w:p>
    <w:p w:rsidR="00BF45EC" w:rsidRDefault="00BF45EC" w:rsidP="00BF45EC">
      <w:pPr>
        <w:ind w:firstLine="720"/>
      </w:pPr>
      <w:proofErr w:type="gramStart"/>
      <w:r>
        <w:rPr>
          <w:b/>
        </w:rPr>
        <w:t>Depository Institutions</w:t>
      </w:r>
      <w:r w:rsidR="003935D5">
        <w:rPr>
          <w:b/>
        </w:rPr>
        <w:t xml:space="preserve"> (Sections </w:t>
      </w:r>
      <w:r>
        <w:rPr>
          <w:b/>
        </w:rPr>
        <w:t>103(e), 104, and 105</w:t>
      </w:r>
      <w:r w:rsidR="003935D5">
        <w:rPr>
          <w:b/>
        </w:rPr>
        <w:t>).</w:t>
      </w:r>
      <w:proofErr w:type="gramEnd"/>
      <w:r w:rsidR="003935D5">
        <w:rPr>
          <w:b/>
        </w:rPr>
        <w:t xml:space="preserve">  </w:t>
      </w:r>
      <w:r>
        <w:t xml:space="preserve">  Section 103(e) specifies institution and employee information that a </w:t>
      </w:r>
      <w:r w:rsidR="00EB212E">
        <w:t>depository</w:t>
      </w:r>
      <w:r>
        <w:t xml:space="preserve"> institution would submit to the Registry in connection with the initial registration of one or more MLOs and thereafter to update.  Section 104 would require that an agency-regulation institution employing MLOs adopt and follow </w:t>
      </w:r>
      <w:r w:rsidR="00EB212E">
        <w:t>w</w:t>
      </w:r>
      <w:r>
        <w:t>ritten policies and procedures, at a minimum addressing certain specified areas, but otherwise appropriate to the nature, size</w:t>
      </w:r>
      <w:r w:rsidR="009946D3">
        <w:t>,</w:t>
      </w:r>
      <w:r>
        <w:t xml:space="preserve"> complexity</w:t>
      </w:r>
      <w:r w:rsidR="009946D3">
        <w:t>, and scope</w:t>
      </w:r>
      <w:r>
        <w:t xml:space="preserve"> of their mortgage lending activities.  Section 105 would require a depository institution to make the unique identifier(s) of its register</w:t>
      </w:r>
      <w:r w:rsidR="00EB212E">
        <w:t>e</w:t>
      </w:r>
      <w:r>
        <w:t xml:space="preserve">d MLOs available to consumers in a manner and method practicable to the institution.  </w:t>
      </w:r>
    </w:p>
    <w:p w:rsidR="00EB212E" w:rsidRPr="006A08B6" w:rsidRDefault="00EB212E" w:rsidP="00BF45EC">
      <w:pPr>
        <w:ind w:firstLine="720"/>
      </w:pPr>
    </w:p>
    <w:p w:rsidR="0097783F" w:rsidRPr="006A08B6" w:rsidRDefault="0097783F">
      <w:pPr>
        <w:jc w:val="both"/>
        <w:rPr>
          <w:color w:val="000000"/>
          <w:szCs w:val="24"/>
        </w:rPr>
      </w:pPr>
      <w:r w:rsidRPr="006A08B6">
        <w:rPr>
          <w:b/>
          <w:bCs/>
          <w:color w:val="000000"/>
          <w:szCs w:val="24"/>
        </w:rPr>
        <w:t>Time Schedule for Information Collection</w:t>
      </w:r>
    </w:p>
    <w:p w:rsidR="0097783F" w:rsidRPr="006A08B6" w:rsidRDefault="0097783F">
      <w:pPr>
        <w:jc w:val="both"/>
        <w:rPr>
          <w:color w:val="000000"/>
          <w:szCs w:val="24"/>
        </w:rPr>
      </w:pPr>
    </w:p>
    <w:p w:rsidR="0097783F" w:rsidRPr="006A08B6" w:rsidRDefault="0097783F">
      <w:pPr>
        <w:pStyle w:val="BodyText"/>
        <w:rPr>
          <w:rFonts w:ascii="Times New Roman" w:hAnsi="Times New Roman"/>
        </w:rPr>
      </w:pPr>
      <w:r w:rsidRPr="006A08B6">
        <w:rPr>
          <w:rFonts w:ascii="Times New Roman" w:hAnsi="Times New Roman"/>
        </w:rPr>
        <w:tab/>
        <w:t xml:space="preserve">This information collection contains </w:t>
      </w:r>
      <w:r w:rsidR="00814CF7">
        <w:rPr>
          <w:rFonts w:ascii="Times New Roman" w:hAnsi="Times New Roman"/>
        </w:rPr>
        <w:t>reporting</w:t>
      </w:r>
      <w:r w:rsidR="00EB212E">
        <w:rPr>
          <w:rFonts w:ascii="Times New Roman" w:hAnsi="Times New Roman"/>
        </w:rPr>
        <w:t>, recordkeeping,</w:t>
      </w:r>
      <w:r w:rsidR="00814CF7">
        <w:rPr>
          <w:rFonts w:ascii="Times New Roman" w:hAnsi="Times New Roman"/>
        </w:rPr>
        <w:t xml:space="preserve"> and disclosure </w:t>
      </w:r>
      <w:r w:rsidRPr="006A08B6">
        <w:rPr>
          <w:rFonts w:ascii="Times New Roman" w:hAnsi="Times New Roman"/>
        </w:rPr>
        <w:t>requirement</w:t>
      </w:r>
      <w:r w:rsidR="00814CF7">
        <w:rPr>
          <w:rFonts w:ascii="Times New Roman" w:hAnsi="Times New Roman"/>
        </w:rPr>
        <w:t>s</w:t>
      </w:r>
      <w:r w:rsidRPr="006A08B6">
        <w:rPr>
          <w:rFonts w:ascii="Times New Roman" w:hAnsi="Times New Roman"/>
        </w:rPr>
        <w:t xml:space="preserve">, as </w:t>
      </w:r>
      <w:r w:rsidR="00DA0357">
        <w:rPr>
          <w:rFonts w:ascii="Times New Roman" w:hAnsi="Times New Roman"/>
        </w:rPr>
        <w:t>described</w:t>
      </w:r>
      <w:r w:rsidRPr="006A08B6">
        <w:rPr>
          <w:rFonts w:ascii="Times New Roman" w:hAnsi="Times New Roman"/>
        </w:rPr>
        <w:t xml:space="preserve"> above.  The </w:t>
      </w:r>
      <w:r w:rsidR="00EB212E">
        <w:rPr>
          <w:rFonts w:ascii="Times New Roman" w:hAnsi="Times New Roman"/>
        </w:rPr>
        <w:t xml:space="preserve">registry must be updated at least annually, but on occasion within 30 days if there are certain changes.  The disclosures to consumers are on occasion.  </w:t>
      </w:r>
    </w:p>
    <w:p w:rsidR="0097783F" w:rsidRPr="006A08B6" w:rsidRDefault="0097783F">
      <w:pPr>
        <w:jc w:val="both"/>
        <w:rPr>
          <w:color w:val="000000"/>
          <w:szCs w:val="24"/>
        </w:rPr>
      </w:pPr>
    </w:p>
    <w:p w:rsidR="00921519" w:rsidRPr="006A08B6" w:rsidRDefault="00921519" w:rsidP="00A01247">
      <w:pPr>
        <w:rPr>
          <w:color w:val="000000"/>
          <w:szCs w:val="24"/>
        </w:rPr>
      </w:pPr>
      <w:r w:rsidRPr="006A08B6">
        <w:rPr>
          <w:b/>
          <w:bCs/>
          <w:color w:val="000000"/>
          <w:szCs w:val="24"/>
        </w:rPr>
        <w:t>Sensitive Questions</w:t>
      </w:r>
    </w:p>
    <w:p w:rsidR="00921519" w:rsidRPr="006A08B6" w:rsidRDefault="00921519" w:rsidP="009215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921519" w:rsidRPr="006A08B6" w:rsidRDefault="00921519" w:rsidP="009215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6A08B6">
        <w:rPr>
          <w:color w:val="000000"/>
          <w:szCs w:val="24"/>
        </w:rPr>
        <w:tab/>
      </w:r>
      <w:r w:rsidRPr="006A08B6">
        <w:rPr>
          <w:color w:val="000000"/>
          <w:szCs w:val="24"/>
        </w:rPr>
        <w:tab/>
        <w:t>This collection of information contains no questions of a sensitive nature, as defined by OMB guidelines.</w:t>
      </w:r>
    </w:p>
    <w:p w:rsidR="00921519" w:rsidRPr="006A08B6" w:rsidRDefault="00921519" w:rsidP="00921519">
      <w:pPr>
        <w:jc w:val="both"/>
        <w:rPr>
          <w:color w:val="000000"/>
          <w:szCs w:val="24"/>
        </w:rPr>
      </w:pPr>
    </w:p>
    <w:p w:rsidR="00AA1230" w:rsidRDefault="00921519" w:rsidP="00AA1230">
      <w:pPr>
        <w:rPr>
          <w:b/>
          <w:bCs/>
          <w:szCs w:val="24"/>
        </w:rPr>
      </w:pPr>
      <w:r w:rsidRPr="006A08B6">
        <w:rPr>
          <w:b/>
          <w:bCs/>
          <w:color w:val="000000"/>
          <w:szCs w:val="24"/>
        </w:rPr>
        <w:lastRenderedPageBreak/>
        <w:t xml:space="preserve">Consultation </w:t>
      </w:r>
      <w:proofErr w:type="gramStart"/>
      <w:r w:rsidRPr="006A08B6">
        <w:rPr>
          <w:b/>
          <w:bCs/>
          <w:color w:val="000000"/>
          <w:szCs w:val="24"/>
        </w:rPr>
        <w:t>Outside</w:t>
      </w:r>
      <w:proofErr w:type="gramEnd"/>
      <w:r w:rsidRPr="006A08B6">
        <w:rPr>
          <w:b/>
          <w:bCs/>
          <w:color w:val="000000"/>
          <w:szCs w:val="24"/>
        </w:rPr>
        <w:t xml:space="preserve"> the Agency </w:t>
      </w:r>
      <w:r w:rsidR="004707B4">
        <w:rPr>
          <w:b/>
          <w:bCs/>
          <w:szCs w:val="24"/>
        </w:rPr>
        <w:t>and Discussion of Public Comments</w:t>
      </w:r>
    </w:p>
    <w:p w:rsidR="00921519" w:rsidRPr="006A08B6" w:rsidRDefault="00921519" w:rsidP="00921519">
      <w:pPr>
        <w:jc w:val="both"/>
        <w:rPr>
          <w:color w:val="000000"/>
          <w:szCs w:val="24"/>
        </w:rPr>
      </w:pPr>
    </w:p>
    <w:p w:rsidR="00921519" w:rsidRPr="004707B4" w:rsidRDefault="004707B4" w:rsidP="004707B4">
      <w:pPr>
        <w:ind w:firstLine="720"/>
        <w:jc w:val="both"/>
      </w:pPr>
      <w:r>
        <w:t xml:space="preserve">On </w:t>
      </w:r>
      <w:r w:rsidR="00EB212E">
        <w:t>June 9</w:t>
      </w:r>
      <w:r>
        <w:t xml:space="preserve">, 2009, the agencies published a notice in the </w:t>
      </w:r>
      <w:r w:rsidRPr="003B2E58">
        <w:rPr>
          <w:i/>
        </w:rPr>
        <w:t>Federal Register</w:t>
      </w:r>
      <w:r>
        <w:t xml:space="preserve"> (74 FR </w:t>
      </w:r>
      <w:r w:rsidR="00EB212E">
        <w:t>27386</w:t>
      </w:r>
      <w:r>
        <w:t xml:space="preserve">) requesting public comment for 60 days on the </w:t>
      </w:r>
      <w:r w:rsidR="00EB212E">
        <w:t>implementation of this information collection</w:t>
      </w:r>
      <w:r>
        <w:t>.  The commen</w:t>
      </w:r>
      <w:r w:rsidR="00EB212E">
        <w:t>t period for this notice expired</w:t>
      </w:r>
      <w:r>
        <w:t xml:space="preserve"> on </w:t>
      </w:r>
      <w:r w:rsidR="00EB212E">
        <w:t>August 10, 2009</w:t>
      </w:r>
      <w:r>
        <w:t>.</w:t>
      </w:r>
      <w:r w:rsidR="00274816">
        <w:t xml:space="preserve">  The </w:t>
      </w:r>
      <w:r w:rsidR="009946D3">
        <w:t>agencies</w:t>
      </w:r>
      <w:r w:rsidR="00274816">
        <w:t xml:space="preserve"> received </w:t>
      </w:r>
      <w:r w:rsidR="004612CF">
        <w:t xml:space="preserve">approximately </w:t>
      </w:r>
      <w:r w:rsidR="009946D3">
        <w:t xml:space="preserve">140 </w:t>
      </w:r>
      <w:r w:rsidR="00274816">
        <w:t>comment letters.</w:t>
      </w:r>
      <w:r w:rsidR="009946D3">
        <w:t xml:space="preserve">  </w:t>
      </w:r>
      <w:r w:rsidR="00D2455D">
        <w:t xml:space="preserve">The comments addressed the </w:t>
      </w:r>
      <w:r w:rsidR="00EE389F">
        <w:t xml:space="preserve">need for the </w:t>
      </w:r>
      <w:r w:rsidR="00D2455D">
        <w:t xml:space="preserve">registration requirement, </w:t>
      </w:r>
      <w:r w:rsidR="00B469AC">
        <w:t xml:space="preserve">the </w:t>
      </w:r>
      <w:r w:rsidR="00EE389F">
        <w:t xml:space="preserve">scope of employees covered by the registration requirement, the </w:t>
      </w:r>
      <w:r w:rsidR="007F5727" w:rsidRPr="007F5727">
        <w:rPr>
          <w:i/>
        </w:rPr>
        <w:t xml:space="preserve">de </w:t>
      </w:r>
      <w:proofErr w:type="spellStart"/>
      <w:r w:rsidR="007F5727" w:rsidRPr="007F5727">
        <w:rPr>
          <w:i/>
        </w:rPr>
        <w:t>minimis</w:t>
      </w:r>
      <w:proofErr w:type="spellEnd"/>
      <w:r w:rsidR="00B469AC">
        <w:t xml:space="preserve"> exception from the registration requirement, the timeframe for the initial registration</w:t>
      </w:r>
      <w:r w:rsidR="00EE389F">
        <w:t xml:space="preserve">, the need for fingerprints, certain privacy and security concerns, and a request for batch processing of registrations.  The agencies modified the rule to take into account many of these comments.  However, none of the changes to the rule were significant enough to affect the burden estimates for the information collection.  </w:t>
      </w:r>
      <w:r w:rsidR="009946D3">
        <w:t>On July 28, 2010, the agencies published the final rule</w:t>
      </w:r>
      <w:r w:rsidR="00B74341">
        <w:t xml:space="preserve"> (75 FR </w:t>
      </w:r>
      <w:r w:rsidR="001275D3">
        <w:t>44656</w:t>
      </w:r>
      <w:r w:rsidR="00B74341">
        <w:t>)</w:t>
      </w:r>
      <w:r w:rsidR="009946D3">
        <w:t>.</w:t>
      </w:r>
    </w:p>
    <w:p w:rsidR="00EF4283" w:rsidRDefault="00EF4283" w:rsidP="0045767E">
      <w:pPr>
        <w:rPr>
          <w:b/>
          <w:bCs/>
          <w:color w:val="000000"/>
          <w:szCs w:val="24"/>
        </w:rPr>
      </w:pPr>
    </w:p>
    <w:p w:rsidR="0097783F" w:rsidRPr="006A08B6" w:rsidRDefault="0097783F" w:rsidP="0045767E">
      <w:pPr>
        <w:rPr>
          <w:color w:val="000000"/>
          <w:szCs w:val="24"/>
        </w:rPr>
      </w:pPr>
      <w:r w:rsidRPr="006A08B6">
        <w:rPr>
          <w:b/>
          <w:bCs/>
          <w:color w:val="000000"/>
          <w:szCs w:val="24"/>
        </w:rPr>
        <w:t xml:space="preserve">Legal Status </w:t>
      </w:r>
    </w:p>
    <w:p w:rsidR="0097783F" w:rsidRPr="006A08B6" w:rsidRDefault="0097783F">
      <w:pPr>
        <w:jc w:val="both"/>
        <w:rPr>
          <w:color w:val="000000"/>
          <w:szCs w:val="24"/>
        </w:rPr>
      </w:pPr>
    </w:p>
    <w:p w:rsidR="00C4079D" w:rsidRDefault="0097783F">
      <w:pPr>
        <w:rPr>
          <w:color w:val="000000"/>
          <w:szCs w:val="24"/>
        </w:rPr>
      </w:pPr>
      <w:r w:rsidRPr="006A08B6">
        <w:rPr>
          <w:color w:val="000000"/>
          <w:szCs w:val="24"/>
        </w:rPr>
        <w:tab/>
        <w:t xml:space="preserve">The Board's Legal Division has determined that </w:t>
      </w:r>
      <w:r w:rsidR="00EB212E">
        <w:rPr>
          <w:color w:val="000000"/>
          <w:szCs w:val="24"/>
        </w:rPr>
        <w:t>the Housing and Economic Recovery Act of 2008 (</w:t>
      </w:r>
      <w:r w:rsidRPr="006A08B6">
        <w:rPr>
          <w:color w:val="000000"/>
          <w:szCs w:val="24"/>
        </w:rPr>
        <w:t xml:space="preserve">12 U.S.C. </w:t>
      </w:r>
      <w:r w:rsidR="00EB212E">
        <w:rPr>
          <w:color w:val="000000"/>
          <w:szCs w:val="24"/>
        </w:rPr>
        <w:t>5101 – 5116)</w:t>
      </w:r>
      <w:r w:rsidRPr="006A08B6">
        <w:rPr>
          <w:color w:val="000000"/>
          <w:szCs w:val="24"/>
        </w:rPr>
        <w:t xml:space="preserve"> authorize the Board to require the </w:t>
      </w:r>
      <w:r w:rsidR="009537C3">
        <w:rPr>
          <w:color w:val="000000"/>
          <w:szCs w:val="24"/>
        </w:rPr>
        <w:t>information collection</w:t>
      </w:r>
      <w:r w:rsidRPr="006A08B6">
        <w:rPr>
          <w:color w:val="000000"/>
          <w:szCs w:val="24"/>
        </w:rPr>
        <w:t xml:space="preserve">.  </w:t>
      </w:r>
      <w:r w:rsidR="009946D3">
        <w:rPr>
          <w:color w:val="000000"/>
          <w:szCs w:val="24"/>
        </w:rPr>
        <w:t>The information collection is mandatory.</w:t>
      </w:r>
      <w:r w:rsidR="00C4079D">
        <w:rPr>
          <w:color w:val="000000"/>
          <w:szCs w:val="24"/>
        </w:rPr>
        <w:t xml:space="preserve">  </w:t>
      </w:r>
    </w:p>
    <w:p w:rsidR="00C4079D" w:rsidRDefault="00C4079D">
      <w:pPr>
        <w:rPr>
          <w:color w:val="000000"/>
          <w:szCs w:val="24"/>
        </w:rPr>
      </w:pPr>
    </w:p>
    <w:p w:rsidR="00000000" w:rsidRDefault="00C4079D">
      <w:pPr>
        <w:ind w:firstLine="720"/>
        <w:rPr>
          <w:color w:val="000000"/>
          <w:szCs w:val="24"/>
        </w:rPr>
      </w:pPr>
      <w:r>
        <w:rPr>
          <w:color w:val="000000"/>
          <w:szCs w:val="24"/>
        </w:rPr>
        <w:t>The unique identifier of MLOs must be made public and is not considered confidential.  In addition, most of the information that MLOs submit to register with the National Mortgage Licensing System and Registry will be publicly available.  However, certain identifying data on individuals who act as MLOs is entitled to confidential treatment under (b)(6) of the Freedom of Information Act (FOIA), which protects from disclosure information that would constitute a clearly unwarranted invasion of personal privacy (5 U.S.C. 552(b)(6)).</w:t>
      </w:r>
    </w:p>
    <w:p w:rsidR="003935D5" w:rsidRDefault="003935D5">
      <w:pPr>
        <w:jc w:val="both"/>
        <w:rPr>
          <w:b/>
          <w:bCs/>
          <w:color w:val="000000"/>
          <w:szCs w:val="24"/>
        </w:rPr>
      </w:pPr>
    </w:p>
    <w:p w:rsidR="00C4079D" w:rsidRDefault="00C4079D">
      <w:pPr>
        <w:jc w:val="both"/>
        <w:rPr>
          <w:bCs/>
          <w:color w:val="000000"/>
          <w:szCs w:val="24"/>
        </w:rPr>
      </w:pPr>
      <w:r>
        <w:rPr>
          <w:b/>
          <w:bCs/>
          <w:color w:val="000000"/>
          <w:szCs w:val="24"/>
        </w:rPr>
        <w:tab/>
      </w:r>
      <w:r>
        <w:rPr>
          <w:bCs/>
          <w:color w:val="000000"/>
          <w:szCs w:val="24"/>
        </w:rPr>
        <w:t>With respect to the information collection requirements imposed on depository institutions, because the requirements require that depository institutions retain their own records and make certain disclosures to customers, FOIA would only be implicated if the Federal Reserve’s examiners obtained a copy of these records as part of an examination or supervision of a bank are exempt from disclosure under FOIA exemption (b</w:t>
      </w:r>
      <w:proofErr w:type="gramStart"/>
      <w:r>
        <w:rPr>
          <w:bCs/>
          <w:color w:val="000000"/>
          <w:szCs w:val="24"/>
        </w:rPr>
        <w:t>)(</w:t>
      </w:r>
      <w:proofErr w:type="gramEnd"/>
      <w:r>
        <w:rPr>
          <w:bCs/>
          <w:color w:val="000000"/>
          <w:szCs w:val="24"/>
        </w:rPr>
        <w:t>8), for examination material (5 U.S.C. 552(b)(8)).</w:t>
      </w:r>
    </w:p>
    <w:p w:rsidR="00C4079D" w:rsidRPr="00C4079D" w:rsidRDefault="00C4079D">
      <w:pPr>
        <w:jc w:val="both"/>
        <w:rPr>
          <w:bCs/>
          <w:color w:val="000000"/>
          <w:szCs w:val="24"/>
        </w:rPr>
      </w:pPr>
    </w:p>
    <w:p w:rsidR="0097783F" w:rsidRPr="006A08B6" w:rsidRDefault="0097783F">
      <w:pPr>
        <w:jc w:val="both"/>
        <w:rPr>
          <w:color w:val="000000"/>
          <w:szCs w:val="24"/>
        </w:rPr>
      </w:pPr>
      <w:r w:rsidRPr="006A08B6">
        <w:rPr>
          <w:b/>
          <w:bCs/>
          <w:color w:val="000000"/>
          <w:szCs w:val="24"/>
        </w:rPr>
        <w:t>Estimate of Respondent Burden</w:t>
      </w:r>
    </w:p>
    <w:p w:rsidR="0097783F" w:rsidRPr="006A08B6" w:rsidRDefault="0097783F">
      <w:pPr>
        <w:jc w:val="both"/>
        <w:rPr>
          <w:color w:val="000000"/>
          <w:szCs w:val="24"/>
        </w:rPr>
      </w:pPr>
    </w:p>
    <w:p w:rsidR="000C4EFE" w:rsidRDefault="0097783F" w:rsidP="00312FE3">
      <w:pPr>
        <w:pStyle w:val="CommentText"/>
        <w:ind w:firstLine="720"/>
        <w:rPr>
          <w:sz w:val="24"/>
          <w:szCs w:val="24"/>
        </w:rPr>
      </w:pPr>
      <w:r w:rsidRPr="00335841">
        <w:rPr>
          <w:sz w:val="24"/>
          <w:szCs w:val="24"/>
        </w:rPr>
        <w:t xml:space="preserve">The total </w:t>
      </w:r>
      <w:r w:rsidR="0058508D" w:rsidRPr="00335841">
        <w:rPr>
          <w:sz w:val="24"/>
          <w:szCs w:val="24"/>
        </w:rPr>
        <w:t xml:space="preserve">estimated </w:t>
      </w:r>
      <w:r w:rsidRPr="00335841">
        <w:rPr>
          <w:sz w:val="24"/>
          <w:szCs w:val="24"/>
        </w:rPr>
        <w:t xml:space="preserve">annual burden for </w:t>
      </w:r>
      <w:r w:rsidR="00D80AF8">
        <w:rPr>
          <w:sz w:val="24"/>
          <w:szCs w:val="24"/>
        </w:rPr>
        <w:t>this information collection</w:t>
      </w:r>
      <w:r w:rsidRPr="00335841">
        <w:rPr>
          <w:sz w:val="24"/>
          <w:szCs w:val="24"/>
        </w:rPr>
        <w:t xml:space="preserve"> is </w:t>
      </w:r>
      <w:r w:rsidR="00D80AF8">
        <w:rPr>
          <w:sz w:val="24"/>
          <w:szCs w:val="24"/>
        </w:rPr>
        <w:t>933,957</w:t>
      </w:r>
      <w:r w:rsidRPr="00335841">
        <w:rPr>
          <w:sz w:val="24"/>
          <w:szCs w:val="24"/>
        </w:rPr>
        <w:t xml:space="preserve"> hours, as shown in the table below.  The Federal Reserve estimates that</w:t>
      </w:r>
      <w:r w:rsidR="009F48AA" w:rsidRPr="00335841">
        <w:rPr>
          <w:sz w:val="24"/>
          <w:szCs w:val="24"/>
        </w:rPr>
        <w:t xml:space="preserve"> </w:t>
      </w:r>
      <w:r w:rsidR="00312FE3">
        <w:rPr>
          <w:sz w:val="24"/>
          <w:szCs w:val="24"/>
        </w:rPr>
        <w:t xml:space="preserve">there are 27,000 MLOs for Federal Reserve-regulated entities and that </w:t>
      </w:r>
      <w:r w:rsidR="009F48AA" w:rsidRPr="00335841">
        <w:rPr>
          <w:sz w:val="24"/>
          <w:szCs w:val="24"/>
        </w:rPr>
        <w:t xml:space="preserve">it will take each </w:t>
      </w:r>
      <w:r w:rsidR="00312FE3">
        <w:rPr>
          <w:sz w:val="24"/>
          <w:szCs w:val="24"/>
        </w:rPr>
        <w:t xml:space="preserve">MLO 3.5 </w:t>
      </w:r>
      <w:r w:rsidRPr="00335841">
        <w:rPr>
          <w:sz w:val="24"/>
          <w:szCs w:val="24"/>
        </w:rPr>
        <w:t xml:space="preserve">hours </w:t>
      </w:r>
      <w:r w:rsidR="009F48AA" w:rsidRPr="00335841">
        <w:rPr>
          <w:sz w:val="24"/>
          <w:szCs w:val="24"/>
        </w:rPr>
        <w:t xml:space="preserve">to </w:t>
      </w:r>
      <w:r w:rsidR="00312FE3">
        <w:rPr>
          <w:sz w:val="24"/>
          <w:szCs w:val="24"/>
        </w:rPr>
        <w:t xml:space="preserve">register initially and disclose their unique identifier to consumers.  The Federal Reserve also estimates that half of those MLOs will need to update their registration each year and it will take 15 minutes </w:t>
      </w:r>
      <w:r w:rsidR="009F48AA" w:rsidRPr="00335841">
        <w:rPr>
          <w:sz w:val="24"/>
          <w:szCs w:val="24"/>
        </w:rPr>
        <w:t xml:space="preserve">to provide </w:t>
      </w:r>
      <w:r w:rsidR="00312FE3">
        <w:rPr>
          <w:sz w:val="24"/>
          <w:szCs w:val="24"/>
        </w:rPr>
        <w:t>these updates</w:t>
      </w:r>
      <w:r w:rsidR="009F48AA" w:rsidRPr="00335841">
        <w:rPr>
          <w:sz w:val="24"/>
          <w:szCs w:val="24"/>
        </w:rPr>
        <w:t>.</w:t>
      </w:r>
      <w:r w:rsidRPr="00335841">
        <w:rPr>
          <w:sz w:val="24"/>
          <w:szCs w:val="24"/>
        </w:rPr>
        <w:t xml:space="preserve">  </w:t>
      </w:r>
      <w:r w:rsidR="00FA3E7F">
        <w:rPr>
          <w:sz w:val="24"/>
          <w:szCs w:val="24"/>
        </w:rPr>
        <w:t>Finally, the Federal Reserve estimates that 2,382 regulated institutions would take 351 hours to implement policies and procedures, establish tracking and compliance systems, and establish reporting, filing, and information dissemination systems.  Most of the burden w</w:t>
      </w:r>
      <w:r w:rsidR="00375AA4" w:rsidRPr="00335841">
        <w:rPr>
          <w:sz w:val="24"/>
          <w:szCs w:val="24"/>
        </w:rPr>
        <w:t xml:space="preserve">ill only occur during the </w:t>
      </w:r>
      <w:r w:rsidR="00375AA4" w:rsidRPr="00335841">
        <w:rPr>
          <w:sz w:val="24"/>
          <w:szCs w:val="24"/>
        </w:rPr>
        <w:lastRenderedPageBreak/>
        <w:t>first year of implementation</w:t>
      </w:r>
      <w:r w:rsidR="00FA3E7F">
        <w:rPr>
          <w:sz w:val="24"/>
          <w:szCs w:val="24"/>
        </w:rPr>
        <w:t xml:space="preserve">.  </w:t>
      </w:r>
      <w:r w:rsidRPr="00335841">
        <w:rPr>
          <w:sz w:val="24"/>
          <w:szCs w:val="24"/>
        </w:rPr>
        <w:t xml:space="preserve">This burden represents </w:t>
      </w:r>
      <w:r w:rsidR="007719E4">
        <w:rPr>
          <w:sz w:val="24"/>
          <w:szCs w:val="24"/>
        </w:rPr>
        <w:t>9</w:t>
      </w:r>
      <w:r w:rsidR="007719E4" w:rsidRPr="00335841">
        <w:rPr>
          <w:sz w:val="24"/>
          <w:szCs w:val="24"/>
        </w:rPr>
        <w:t xml:space="preserve"> </w:t>
      </w:r>
      <w:r w:rsidRPr="00335841">
        <w:rPr>
          <w:sz w:val="24"/>
          <w:szCs w:val="24"/>
        </w:rPr>
        <w:t>percent of the total Federal Reserve System paperwork burden.</w:t>
      </w:r>
    </w:p>
    <w:p w:rsidR="00000000" w:rsidRDefault="000360C3">
      <w:pPr>
        <w:rPr>
          <w:szCs w:val="24"/>
        </w:rPr>
      </w:pPr>
    </w:p>
    <w:p w:rsidR="009A6DC7" w:rsidRDefault="009A6DC7">
      <w:pPr>
        <w:ind w:firstLine="720"/>
        <w:rPr>
          <w:color w:val="000000"/>
          <w:szCs w:val="24"/>
        </w:rPr>
      </w:pPr>
    </w:p>
    <w:tbl>
      <w:tblPr>
        <w:tblW w:w="8640" w:type="dxa"/>
        <w:tblInd w:w="139" w:type="dxa"/>
        <w:tblLayout w:type="fixed"/>
        <w:tblCellMar>
          <w:left w:w="139" w:type="dxa"/>
          <w:right w:w="139" w:type="dxa"/>
        </w:tblCellMar>
        <w:tblLook w:val="0000"/>
      </w:tblPr>
      <w:tblGrid>
        <w:gridCol w:w="3240"/>
        <w:gridCol w:w="1440"/>
        <w:gridCol w:w="1260"/>
        <w:gridCol w:w="1260"/>
        <w:gridCol w:w="1440"/>
      </w:tblGrid>
      <w:tr w:rsidR="0097783F" w:rsidRPr="006A08B6">
        <w:trPr>
          <w:cantSplit/>
        </w:trPr>
        <w:tc>
          <w:tcPr>
            <w:tcW w:w="3240" w:type="dxa"/>
            <w:tcBorders>
              <w:top w:val="single" w:sz="6" w:space="0" w:color="000000"/>
            </w:tcBorders>
            <w:vAlign w:val="center"/>
          </w:tcPr>
          <w:p w:rsidR="0097783F" w:rsidRPr="006A08B6" w:rsidRDefault="0097783F" w:rsidP="00E75D49">
            <w:pPr>
              <w:tabs>
                <w:tab w:val="left" w:pos="-1440"/>
                <w:tab w:val="left" w:pos="-720"/>
                <w:tab w:val="left" w:pos="0"/>
                <w:tab w:val="left" w:pos="240"/>
                <w:tab w:val="left" w:pos="720"/>
                <w:tab w:val="left" w:pos="1440"/>
                <w:tab w:val="left" w:pos="2160"/>
                <w:tab w:val="left" w:pos="2880"/>
              </w:tabs>
              <w:spacing w:before="163" w:after="19"/>
              <w:rPr>
                <w:szCs w:val="24"/>
              </w:rPr>
            </w:pPr>
          </w:p>
        </w:tc>
        <w:tc>
          <w:tcPr>
            <w:tcW w:w="1440" w:type="dxa"/>
            <w:tcBorders>
              <w:top w:val="single" w:sz="6" w:space="0" w:color="000000"/>
            </w:tcBorders>
            <w:vAlign w:val="bottom"/>
          </w:tcPr>
          <w:p w:rsidR="000B401A" w:rsidRPr="006A08B6" w:rsidRDefault="0097783F" w:rsidP="00E75D49">
            <w:pPr>
              <w:tabs>
                <w:tab w:val="left" w:pos="-1440"/>
                <w:tab w:val="left" w:pos="-720"/>
                <w:tab w:val="left" w:pos="0"/>
                <w:tab w:val="left" w:pos="240"/>
                <w:tab w:val="left" w:pos="720"/>
                <w:tab w:val="left" w:pos="1440"/>
              </w:tabs>
              <w:spacing w:after="19"/>
              <w:jc w:val="center"/>
              <w:rPr>
                <w:i/>
                <w:iCs/>
                <w:color w:val="000000"/>
                <w:szCs w:val="24"/>
              </w:rPr>
            </w:pPr>
            <w:r w:rsidRPr="006A08B6">
              <w:rPr>
                <w:i/>
                <w:iCs/>
                <w:color w:val="000000"/>
                <w:szCs w:val="24"/>
              </w:rPr>
              <w:t>Number</w:t>
            </w:r>
          </w:p>
          <w:p w:rsidR="0097783F" w:rsidRPr="006A08B6" w:rsidRDefault="0097783F" w:rsidP="000B401A">
            <w:pPr>
              <w:tabs>
                <w:tab w:val="left" w:pos="-1440"/>
                <w:tab w:val="left" w:pos="-720"/>
                <w:tab w:val="left" w:pos="0"/>
                <w:tab w:val="left" w:pos="240"/>
                <w:tab w:val="left" w:pos="720"/>
                <w:tab w:val="left" w:pos="1440"/>
              </w:tabs>
              <w:spacing w:after="19"/>
              <w:jc w:val="center"/>
              <w:rPr>
                <w:szCs w:val="24"/>
              </w:rPr>
            </w:pPr>
            <w:r w:rsidRPr="006A08B6">
              <w:rPr>
                <w:i/>
                <w:iCs/>
                <w:color w:val="000000"/>
                <w:szCs w:val="24"/>
              </w:rPr>
              <w:t>of respondents</w:t>
            </w:r>
          </w:p>
        </w:tc>
        <w:tc>
          <w:tcPr>
            <w:tcW w:w="1260" w:type="dxa"/>
            <w:tcBorders>
              <w:top w:val="single" w:sz="6" w:space="0" w:color="000000"/>
            </w:tcBorders>
            <w:vAlign w:val="bottom"/>
          </w:tcPr>
          <w:p w:rsidR="0097783F" w:rsidRPr="006A08B6" w:rsidRDefault="0097783F" w:rsidP="000B401A">
            <w:pPr>
              <w:tabs>
                <w:tab w:val="left" w:pos="-1440"/>
                <w:tab w:val="left" w:pos="-720"/>
                <w:tab w:val="left" w:pos="0"/>
                <w:tab w:val="left" w:pos="240"/>
                <w:tab w:val="left" w:pos="720"/>
              </w:tabs>
              <w:spacing w:before="163" w:after="19"/>
              <w:jc w:val="center"/>
              <w:rPr>
                <w:szCs w:val="24"/>
              </w:rPr>
            </w:pPr>
            <w:r w:rsidRPr="006A08B6">
              <w:rPr>
                <w:i/>
                <w:iCs/>
                <w:color w:val="000000"/>
                <w:szCs w:val="24"/>
              </w:rPr>
              <w:t>Estimated annual frequency</w:t>
            </w:r>
          </w:p>
        </w:tc>
        <w:tc>
          <w:tcPr>
            <w:tcW w:w="1260" w:type="dxa"/>
            <w:tcBorders>
              <w:top w:val="single" w:sz="6" w:space="0" w:color="000000"/>
            </w:tcBorders>
            <w:vAlign w:val="bottom"/>
          </w:tcPr>
          <w:p w:rsidR="0097783F" w:rsidRPr="006A08B6" w:rsidRDefault="0097783F" w:rsidP="000B401A">
            <w:pPr>
              <w:tabs>
                <w:tab w:val="left" w:pos="-1440"/>
                <w:tab w:val="left" w:pos="-720"/>
                <w:tab w:val="left" w:pos="0"/>
                <w:tab w:val="left" w:pos="240"/>
                <w:tab w:val="left" w:pos="720"/>
              </w:tabs>
              <w:spacing w:before="163"/>
              <w:jc w:val="center"/>
              <w:rPr>
                <w:color w:val="000000"/>
                <w:szCs w:val="24"/>
              </w:rPr>
            </w:pPr>
            <w:r w:rsidRPr="006A08B6">
              <w:rPr>
                <w:i/>
                <w:iCs/>
                <w:color w:val="000000"/>
                <w:szCs w:val="24"/>
              </w:rPr>
              <w:t xml:space="preserve">Estimated </w:t>
            </w:r>
            <w:r w:rsidR="00EF4283">
              <w:rPr>
                <w:i/>
                <w:iCs/>
                <w:color w:val="000000"/>
                <w:szCs w:val="24"/>
              </w:rPr>
              <w:t xml:space="preserve">hours per </w:t>
            </w:r>
            <w:r w:rsidRPr="006A08B6">
              <w:rPr>
                <w:i/>
                <w:iCs/>
                <w:color w:val="000000"/>
                <w:szCs w:val="24"/>
              </w:rPr>
              <w:t>response</w:t>
            </w:r>
          </w:p>
          <w:p w:rsidR="0097783F" w:rsidRPr="006A08B6" w:rsidRDefault="0097783F" w:rsidP="000B401A">
            <w:pPr>
              <w:tabs>
                <w:tab w:val="left" w:pos="-1440"/>
                <w:tab w:val="left" w:pos="-720"/>
                <w:tab w:val="left" w:pos="0"/>
                <w:tab w:val="left" w:pos="240"/>
                <w:tab w:val="left" w:pos="720"/>
              </w:tabs>
              <w:spacing w:after="19"/>
              <w:jc w:val="center"/>
              <w:rPr>
                <w:szCs w:val="24"/>
              </w:rPr>
            </w:pPr>
          </w:p>
        </w:tc>
        <w:tc>
          <w:tcPr>
            <w:tcW w:w="1440" w:type="dxa"/>
            <w:tcBorders>
              <w:top w:val="single" w:sz="6" w:space="0" w:color="000000"/>
            </w:tcBorders>
            <w:vAlign w:val="bottom"/>
          </w:tcPr>
          <w:p w:rsidR="0097783F" w:rsidRPr="006A08B6" w:rsidRDefault="0097783F" w:rsidP="00E75D49">
            <w:pPr>
              <w:tabs>
                <w:tab w:val="left" w:pos="-1440"/>
                <w:tab w:val="left" w:pos="-720"/>
                <w:tab w:val="left" w:pos="0"/>
                <w:tab w:val="left" w:pos="240"/>
                <w:tab w:val="left" w:pos="720"/>
                <w:tab w:val="left" w:pos="1440"/>
              </w:tabs>
              <w:spacing w:before="163" w:after="19"/>
              <w:jc w:val="center"/>
              <w:rPr>
                <w:szCs w:val="24"/>
              </w:rPr>
            </w:pPr>
            <w:r w:rsidRPr="006A08B6">
              <w:rPr>
                <w:i/>
                <w:iCs/>
                <w:color w:val="000000"/>
                <w:szCs w:val="24"/>
              </w:rPr>
              <w:t>Estimated annual burden hours</w:t>
            </w:r>
          </w:p>
        </w:tc>
      </w:tr>
      <w:tr w:rsidR="0097783F" w:rsidRPr="006A08B6">
        <w:trPr>
          <w:cantSplit/>
        </w:trPr>
        <w:tc>
          <w:tcPr>
            <w:tcW w:w="3240" w:type="dxa"/>
          </w:tcPr>
          <w:p w:rsidR="0097783F" w:rsidRPr="006A08B6" w:rsidRDefault="00D80AF8">
            <w:pPr>
              <w:tabs>
                <w:tab w:val="left" w:pos="-1440"/>
                <w:tab w:val="left" w:pos="-720"/>
                <w:tab w:val="left" w:pos="0"/>
                <w:tab w:val="left" w:pos="240"/>
                <w:tab w:val="left" w:pos="720"/>
                <w:tab w:val="left" w:pos="1440"/>
                <w:tab w:val="left" w:pos="2160"/>
                <w:tab w:val="left" w:pos="2880"/>
              </w:tabs>
              <w:spacing w:before="163" w:after="19"/>
              <w:rPr>
                <w:szCs w:val="24"/>
              </w:rPr>
            </w:pPr>
            <w:r>
              <w:rPr>
                <w:szCs w:val="24"/>
              </w:rPr>
              <w:t>MLOs – initial set up and disclosure</w:t>
            </w:r>
          </w:p>
        </w:tc>
        <w:tc>
          <w:tcPr>
            <w:tcW w:w="1440" w:type="dxa"/>
          </w:tcPr>
          <w:p w:rsidR="0097783F" w:rsidRPr="006A08B6" w:rsidRDefault="00D80AF8">
            <w:pPr>
              <w:tabs>
                <w:tab w:val="left" w:pos="-1440"/>
                <w:tab w:val="left" w:pos="-720"/>
                <w:tab w:val="left" w:pos="0"/>
                <w:tab w:val="left" w:pos="240"/>
                <w:tab w:val="left" w:pos="720"/>
                <w:tab w:val="left" w:pos="1440"/>
              </w:tabs>
              <w:spacing w:before="163" w:after="19"/>
              <w:jc w:val="center"/>
              <w:rPr>
                <w:szCs w:val="24"/>
              </w:rPr>
            </w:pPr>
            <w:r>
              <w:rPr>
                <w:szCs w:val="24"/>
              </w:rPr>
              <w:t>2</w:t>
            </w:r>
            <w:r w:rsidR="00CD7F56">
              <w:rPr>
                <w:szCs w:val="24"/>
              </w:rPr>
              <w:t>7</w:t>
            </w:r>
            <w:r>
              <w:rPr>
                <w:szCs w:val="24"/>
              </w:rPr>
              <w:t>,000</w:t>
            </w:r>
          </w:p>
        </w:tc>
        <w:tc>
          <w:tcPr>
            <w:tcW w:w="1260" w:type="dxa"/>
          </w:tcPr>
          <w:p w:rsidR="0097783F" w:rsidRPr="006A08B6" w:rsidRDefault="0097783F">
            <w:pPr>
              <w:tabs>
                <w:tab w:val="left" w:pos="-1440"/>
                <w:tab w:val="left" w:pos="-720"/>
                <w:tab w:val="left" w:pos="0"/>
                <w:tab w:val="left" w:pos="240"/>
                <w:tab w:val="left" w:pos="720"/>
              </w:tabs>
              <w:spacing w:before="163" w:after="19"/>
              <w:jc w:val="center"/>
              <w:rPr>
                <w:szCs w:val="24"/>
              </w:rPr>
            </w:pPr>
            <w:r w:rsidRPr="006A08B6">
              <w:rPr>
                <w:szCs w:val="24"/>
              </w:rPr>
              <w:t>1</w:t>
            </w:r>
          </w:p>
        </w:tc>
        <w:tc>
          <w:tcPr>
            <w:tcW w:w="1260" w:type="dxa"/>
          </w:tcPr>
          <w:p w:rsidR="0097783F" w:rsidRPr="006A08B6" w:rsidRDefault="00D80AF8" w:rsidP="00EF4283">
            <w:pPr>
              <w:tabs>
                <w:tab w:val="left" w:pos="-1440"/>
                <w:tab w:val="left" w:pos="-720"/>
                <w:tab w:val="left" w:pos="0"/>
                <w:tab w:val="left" w:pos="240"/>
                <w:tab w:val="left" w:pos="720"/>
              </w:tabs>
              <w:spacing w:before="163" w:after="19"/>
              <w:jc w:val="center"/>
              <w:rPr>
                <w:szCs w:val="24"/>
              </w:rPr>
            </w:pPr>
            <w:r>
              <w:rPr>
                <w:szCs w:val="24"/>
              </w:rPr>
              <w:t>3.50</w:t>
            </w:r>
            <w:r w:rsidR="005869DD">
              <w:rPr>
                <w:szCs w:val="24"/>
              </w:rPr>
              <w:t xml:space="preserve"> </w:t>
            </w:r>
          </w:p>
        </w:tc>
        <w:tc>
          <w:tcPr>
            <w:tcW w:w="1440" w:type="dxa"/>
          </w:tcPr>
          <w:p w:rsidR="003844B4" w:rsidRPr="006A08B6" w:rsidRDefault="00CD7F56" w:rsidP="005869DD">
            <w:pPr>
              <w:tabs>
                <w:tab w:val="left" w:pos="-1440"/>
                <w:tab w:val="left" w:pos="-720"/>
                <w:tab w:val="left" w:pos="0"/>
                <w:tab w:val="left" w:pos="240"/>
                <w:tab w:val="left" w:pos="720"/>
                <w:tab w:val="left" w:pos="1440"/>
              </w:tabs>
              <w:spacing w:before="163" w:after="19"/>
              <w:jc w:val="right"/>
              <w:rPr>
                <w:szCs w:val="24"/>
              </w:rPr>
            </w:pPr>
            <w:r>
              <w:rPr>
                <w:szCs w:val="24"/>
              </w:rPr>
              <w:t>9</w:t>
            </w:r>
            <w:r w:rsidR="00D80AF8">
              <w:rPr>
                <w:szCs w:val="24"/>
              </w:rPr>
              <w:t>4,500</w:t>
            </w:r>
          </w:p>
        </w:tc>
      </w:tr>
      <w:tr w:rsidR="003844B4" w:rsidRPr="006A08B6">
        <w:trPr>
          <w:cantSplit/>
        </w:trPr>
        <w:tc>
          <w:tcPr>
            <w:tcW w:w="3240" w:type="dxa"/>
          </w:tcPr>
          <w:p w:rsidR="003844B4" w:rsidRDefault="00D80AF8">
            <w:pPr>
              <w:tabs>
                <w:tab w:val="left" w:pos="-1440"/>
                <w:tab w:val="left" w:pos="-720"/>
                <w:tab w:val="left" w:pos="0"/>
                <w:tab w:val="left" w:pos="240"/>
                <w:tab w:val="left" w:pos="720"/>
                <w:tab w:val="left" w:pos="1440"/>
                <w:tab w:val="left" w:pos="2160"/>
                <w:tab w:val="left" w:pos="2880"/>
              </w:tabs>
              <w:spacing w:before="163" w:after="19"/>
              <w:rPr>
                <w:szCs w:val="24"/>
              </w:rPr>
            </w:pPr>
            <w:r>
              <w:rPr>
                <w:szCs w:val="24"/>
              </w:rPr>
              <w:t>MLOs – updates for changes</w:t>
            </w:r>
          </w:p>
        </w:tc>
        <w:tc>
          <w:tcPr>
            <w:tcW w:w="1440" w:type="dxa"/>
          </w:tcPr>
          <w:p w:rsidR="003844B4" w:rsidRPr="006A08B6" w:rsidRDefault="00D80AF8" w:rsidP="00CD7F56">
            <w:pPr>
              <w:tabs>
                <w:tab w:val="left" w:pos="-1440"/>
                <w:tab w:val="left" w:pos="-720"/>
                <w:tab w:val="left" w:pos="0"/>
                <w:tab w:val="left" w:pos="240"/>
                <w:tab w:val="left" w:pos="720"/>
                <w:tab w:val="left" w:pos="1440"/>
              </w:tabs>
              <w:spacing w:before="163" w:after="19"/>
              <w:jc w:val="center"/>
              <w:rPr>
                <w:szCs w:val="24"/>
              </w:rPr>
            </w:pPr>
            <w:r>
              <w:rPr>
                <w:szCs w:val="24"/>
              </w:rPr>
              <w:t>13,500</w:t>
            </w:r>
          </w:p>
        </w:tc>
        <w:tc>
          <w:tcPr>
            <w:tcW w:w="1260" w:type="dxa"/>
          </w:tcPr>
          <w:p w:rsidR="003844B4" w:rsidRPr="006A08B6" w:rsidRDefault="005869DD">
            <w:pPr>
              <w:tabs>
                <w:tab w:val="left" w:pos="-1440"/>
                <w:tab w:val="left" w:pos="-720"/>
                <w:tab w:val="left" w:pos="0"/>
                <w:tab w:val="left" w:pos="240"/>
                <w:tab w:val="left" w:pos="720"/>
              </w:tabs>
              <w:spacing w:before="163" w:after="19"/>
              <w:jc w:val="center"/>
              <w:rPr>
                <w:szCs w:val="24"/>
              </w:rPr>
            </w:pPr>
            <w:r>
              <w:rPr>
                <w:szCs w:val="24"/>
              </w:rPr>
              <w:t>1</w:t>
            </w:r>
          </w:p>
        </w:tc>
        <w:tc>
          <w:tcPr>
            <w:tcW w:w="1260" w:type="dxa"/>
          </w:tcPr>
          <w:p w:rsidR="003844B4" w:rsidRPr="006A08B6" w:rsidRDefault="00D80AF8" w:rsidP="00EF4283">
            <w:pPr>
              <w:tabs>
                <w:tab w:val="left" w:pos="-1440"/>
                <w:tab w:val="left" w:pos="-720"/>
                <w:tab w:val="left" w:pos="0"/>
                <w:tab w:val="left" w:pos="240"/>
                <w:tab w:val="left" w:pos="720"/>
              </w:tabs>
              <w:spacing w:before="163" w:after="19"/>
              <w:jc w:val="center"/>
              <w:rPr>
                <w:szCs w:val="24"/>
              </w:rPr>
            </w:pPr>
            <w:r>
              <w:rPr>
                <w:szCs w:val="24"/>
              </w:rPr>
              <w:t>.25</w:t>
            </w:r>
          </w:p>
        </w:tc>
        <w:tc>
          <w:tcPr>
            <w:tcW w:w="1440" w:type="dxa"/>
          </w:tcPr>
          <w:p w:rsidR="003844B4" w:rsidRPr="006A08B6" w:rsidRDefault="00D80AF8" w:rsidP="00CD7F56">
            <w:pPr>
              <w:tabs>
                <w:tab w:val="left" w:pos="-1440"/>
                <w:tab w:val="left" w:pos="-720"/>
                <w:tab w:val="left" w:pos="0"/>
                <w:tab w:val="left" w:pos="240"/>
                <w:tab w:val="left" w:pos="720"/>
                <w:tab w:val="left" w:pos="1440"/>
              </w:tabs>
              <w:spacing w:before="163" w:after="19"/>
              <w:jc w:val="right"/>
              <w:rPr>
                <w:szCs w:val="24"/>
              </w:rPr>
            </w:pPr>
            <w:r>
              <w:rPr>
                <w:szCs w:val="24"/>
              </w:rPr>
              <w:t>3,375</w:t>
            </w:r>
          </w:p>
        </w:tc>
      </w:tr>
      <w:tr w:rsidR="00D80AF8" w:rsidRPr="006A08B6">
        <w:trPr>
          <w:cantSplit/>
        </w:trPr>
        <w:tc>
          <w:tcPr>
            <w:tcW w:w="3240" w:type="dxa"/>
          </w:tcPr>
          <w:p w:rsidR="00D80AF8" w:rsidRDefault="00D80AF8" w:rsidP="00086124">
            <w:pPr>
              <w:tabs>
                <w:tab w:val="left" w:pos="-1440"/>
                <w:tab w:val="left" w:pos="-720"/>
                <w:tab w:val="left" w:pos="0"/>
                <w:tab w:val="left" w:pos="240"/>
                <w:tab w:val="left" w:pos="720"/>
                <w:tab w:val="left" w:pos="1440"/>
                <w:tab w:val="left" w:pos="2160"/>
                <w:tab w:val="left" w:pos="2880"/>
              </w:tabs>
              <w:spacing w:before="163" w:after="19"/>
              <w:rPr>
                <w:szCs w:val="24"/>
              </w:rPr>
            </w:pPr>
            <w:r>
              <w:rPr>
                <w:szCs w:val="24"/>
              </w:rPr>
              <w:t>Depository Institutions</w:t>
            </w:r>
          </w:p>
        </w:tc>
        <w:tc>
          <w:tcPr>
            <w:tcW w:w="1440" w:type="dxa"/>
          </w:tcPr>
          <w:p w:rsidR="00D80AF8" w:rsidRPr="006A08B6" w:rsidRDefault="00D80AF8">
            <w:pPr>
              <w:tabs>
                <w:tab w:val="left" w:pos="-1440"/>
                <w:tab w:val="left" w:pos="-720"/>
                <w:tab w:val="left" w:pos="0"/>
                <w:tab w:val="left" w:pos="240"/>
                <w:tab w:val="left" w:pos="720"/>
                <w:tab w:val="left" w:pos="1440"/>
              </w:tabs>
              <w:spacing w:before="163" w:after="19"/>
              <w:jc w:val="center"/>
              <w:rPr>
                <w:szCs w:val="24"/>
              </w:rPr>
            </w:pPr>
            <w:r>
              <w:rPr>
                <w:szCs w:val="24"/>
              </w:rPr>
              <w:t>2,382</w:t>
            </w:r>
            <w:r w:rsidR="000C4EFE">
              <w:rPr>
                <w:rStyle w:val="FootnoteReference"/>
                <w:szCs w:val="24"/>
              </w:rPr>
              <w:footnoteReference w:id="2"/>
            </w:r>
          </w:p>
        </w:tc>
        <w:tc>
          <w:tcPr>
            <w:tcW w:w="1260" w:type="dxa"/>
          </w:tcPr>
          <w:p w:rsidR="00D80AF8" w:rsidRPr="006A08B6" w:rsidRDefault="00D80AF8">
            <w:pPr>
              <w:tabs>
                <w:tab w:val="left" w:pos="-1440"/>
                <w:tab w:val="left" w:pos="-720"/>
                <w:tab w:val="left" w:pos="0"/>
                <w:tab w:val="left" w:pos="240"/>
                <w:tab w:val="left" w:pos="720"/>
              </w:tabs>
              <w:spacing w:before="163" w:after="19"/>
              <w:jc w:val="center"/>
              <w:rPr>
                <w:szCs w:val="24"/>
              </w:rPr>
            </w:pPr>
            <w:r>
              <w:rPr>
                <w:szCs w:val="24"/>
              </w:rPr>
              <w:t>1</w:t>
            </w:r>
          </w:p>
        </w:tc>
        <w:tc>
          <w:tcPr>
            <w:tcW w:w="1260" w:type="dxa"/>
          </w:tcPr>
          <w:p w:rsidR="00D80AF8" w:rsidRPr="006A08B6" w:rsidRDefault="00D80AF8" w:rsidP="00EF4283">
            <w:pPr>
              <w:tabs>
                <w:tab w:val="left" w:pos="-1440"/>
                <w:tab w:val="left" w:pos="-720"/>
                <w:tab w:val="left" w:pos="0"/>
                <w:tab w:val="left" w:pos="240"/>
                <w:tab w:val="left" w:pos="720"/>
              </w:tabs>
              <w:spacing w:before="163" w:after="19"/>
              <w:jc w:val="center"/>
              <w:rPr>
                <w:szCs w:val="24"/>
              </w:rPr>
            </w:pPr>
            <w:r>
              <w:rPr>
                <w:szCs w:val="24"/>
              </w:rPr>
              <w:t>351</w:t>
            </w:r>
          </w:p>
        </w:tc>
        <w:tc>
          <w:tcPr>
            <w:tcW w:w="1440" w:type="dxa"/>
          </w:tcPr>
          <w:p w:rsidR="00D80AF8" w:rsidRPr="00201631" w:rsidRDefault="00D80AF8" w:rsidP="00CD7F56">
            <w:pPr>
              <w:tabs>
                <w:tab w:val="left" w:pos="-1440"/>
                <w:tab w:val="left" w:pos="-720"/>
                <w:tab w:val="left" w:pos="0"/>
                <w:tab w:val="left" w:pos="240"/>
                <w:tab w:val="left" w:pos="720"/>
                <w:tab w:val="left" w:pos="1440"/>
              </w:tabs>
              <w:spacing w:before="163" w:after="19"/>
              <w:jc w:val="right"/>
              <w:rPr>
                <w:szCs w:val="24"/>
                <w:u w:val="single"/>
              </w:rPr>
            </w:pPr>
            <w:r>
              <w:rPr>
                <w:szCs w:val="24"/>
                <w:u w:val="single"/>
              </w:rPr>
              <w:t>836,082</w:t>
            </w:r>
          </w:p>
        </w:tc>
      </w:tr>
      <w:tr w:rsidR="00D80AF8" w:rsidRPr="006A08B6">
        <w:trPr>
          <w:cantSplit/>
        </w:trPr>
        <w:tc>
          <w:tcPr>
            <w:tcW w:w="3240" w:type="dxa"/>
            <w:tcBorders>
              <w:bottom w:val="single" w:sz="4" w:space="0" w:color="auto"/>
            </w:tcBorders>
            <w:vAlign w:val="bottom"/>
          </w:tcPr>
          <w:p w:rsidR="00D80AF8" w:rsidRPr="00701590" w:rsidRDefault="00D80AF8" w:rsidP="009F48AA">
            <w:pPr>
              <w:jc w:val="right"/>
              <w:rPr>
                <w:i/>
                <w:szCs w:val="24"/>
              </w:rPr>
            </w:pPr>
            <w:r w:rsidRPr="00701590">
              <w:rPr>
                <w:i/>
                <w:szCs w:val="24"/>
              </w:rPr>
              <w:t>Total</w:t>
            </w:r>
          </w:p>
        </w:tc>
        <w:tc>
          <w:tcPr>
            <w:tcW w:w="1440" w:type="dxa"/>
            <w:tcBorders>
              <w:bottom w:val="single" w:sz="4" w:space="0" w:color="auto"/>
            </w:tcBorders>
            <w:vAlign w:val="bottom"/>
          </w:tcPr>
          <w:p w:rsidR="00D80AF8" w:rsidRPr="00701590" w:rsidRDefault="00D80AF8" w:rsidP="009F48AA">
            <w:pPr>
              <w:tabs>
                <w:tab w:val="left" w:pos="-1440"/>
                <w:tab w:val="left" w:pos="-720"/>
                <w:tab w:val="left" w:pos="0"/>
                <w:tab w:val="left" w:pos="240"/>
                <w:tab w:val="left" w:pos="720"/>
                <w:tab w:val="left" w:pos="1440"/>
              </w:tabs>
              <w:spacing w:before="144"/>
              <w:jc w:val="center"/>
              <w:rPr>
                <w:szCs w:val="24"/>
              </w:rPr>
            </w:pPr>
          </w:p>
        </w:tc>
        <w:tc>
          <w:tcPr>
            <w:tcW w:w="1260" w:type="dxa"/>
            <w:tcBorders>
              <w:bottom w:val="single" w:sz="4" w:space="0" w:color="auto"/>
            </w:tcBorders>
          </w:tcPr>
          <w:p w:rsidR="00D80AF8" w:rsidRDefault="00D80AF8">
            <w:pPr>
              <w:tabs>
                <w:tab w:val="left" w:pos="-1440"/>
                <w:tab w:val="left" w:pos="-720"/>
                <w:tab w:val="left" w:pos="0"/>
                <w:tab w:val="left" w:pos="240"/>
                <w:tab w:val="left" w:pos="720"/>
              </w:tabs>
              <w:spacing w:before="163" w:after="19"/>
              <w:jc w:val="center"/>
              <w:rPr>
                <w:szCs w:val="24"/>
              </w:rPr>
            </w:pPr>
          </w:p>
        </w:tc>
        <w:tc>
          <w:tcPr>
            <w:tcW w:w="1260" w:type="dxa"/>
            <w:tcBorders>
              <w:bottom w:val="single" w:sz="4" w:space="0" w:color="auto"/>
            </w:tcBorders>
          </w:tcPr>
          <w:p w:rsidR="00D80AF8" w:rsidRDefault="00D80AF8">
            <w:pPr>
              <w:tabs>
                <w:tab w:val="left" w:pos="-1440"/>
                <w:tab w:val="left" w:pos="-720"/>
                <w:tab w:val="left" w:pos="0"/>
                <w:tab w:val="left" w:pos="240"/>
                <w:tab w:val="left" w:pos="720"/>
              </w:tabs>
              <w:spacing w:before="163" w:after="19"/>
              <w:jc w:val="center"/>
              <w:rPr>
                <w:szCs w:val="24"/>
              </w:rPr>
            </w:pPr>
          </w:p>
        </w:tc>
        <w:tc>
          <w:tcPr>
            <w:tcW w:w="1440" w:type="dxa"/>
            <w:tcBorders>
              <w:bottom w:val="single" w:sz="4" w:space="0" w:color="auto"/>
            </w:tcBorders>
          </w:tcPr>
          <w:p w:rsidR="00D80AF8" w:rsidRDefault="00D80AF8" w:rsidP="005869DD">
            <w:pPr>
              <w:tabs>
                <w:tab w:val="left" w:pos="-1440"/>
                <w:tab w:val="left" w:pos="-720"/>
                <w:tab w:val="left" w:pos="0"/>
                <w:tab w:val="left" w:pos="240"/>
                <w:tab w:val="left" w:pos="720"/>
                <w:tab w:val="left" w:pos="1440"/>
              </w:tabs>
              <w:spacing w:before="163" w:after="19"/>
              <w:jc w:val="right"/>
              <w:rPr>
                <w:szCs w:val="24"/>
              </w:rPr>
            </w:pPr>
            <w:r>
              <w:rPr>
                <w:szCs w:val="24"/>
              </w:rPr>
              <w:t>933,957</w:t>
            </w:r>
          </w:p>
        </w:tc>
      </w:tr>
    </w:tbl>
    <w:p w:rsidR="0097783F" w:rsidRPr="006A08B6" w:rsidRDefault="0097783F">
      <w:pPr>
        <w:pStyle w:val="Footer"/>
        <w:tabs>
          <w:tab w:val="clear" w:pos="4320"/>
          <w:tab w:val="clear" w:pos="8640"/>
        </w:tabs>
        <w:rPr>
          <w:szCs w:val="24"/>
        </w:rPr>
      </w:pPr>
    </w:p>
    <w:p w:rsidR="0097783F" w:rsidRPr="006A08B6" w:rsidRDefault="0058508D">
      <w:pPr>
        <w:pStyle w:val="Footer"/>
        <w:tabs>
          <w:tab w:val="clear" w:pos="4320"/>
          <w:tab w:val="clear" w:pos="8640"/>
        </w:tabs>
        <w:rPr>
          <w:szCs w:val="24"/>
        </w:rPr>
      </w:pPr>
      <w:r w:rsidRPr="007F2D19">
        <w:rPr>
          <w:color w:val="000000"/>
          <w:szCs w:val="24"/>
        </w:rPr>
        <w:t xml:space="preserve">The current annual cost to the public of </w:t>
      </w:r>
      <w:r>
        <w:rPr>
          <w:color w:val="000000"/>
          <w:szCs w:val="24"/>
        </w:rPr>
        <w:t>this information collection</w:t>
      </w:r>
      <w:r w:rsidRPr="007F2D19">
        <w:rPr>
          <w:color w:val="000000"/>
          <w:szCs w:val="24"/>
        </w:rPr>
        <w:t xml:space="preserve"> is estimated to be</w:t>
      </w:r>
      <w:r w:rsidRPr="006A08B6" w:rsidDel="0058508D">
        <w:rPr>
          <w:szCs w:val="24"/>
        </w:rPr>
        <w:t xml:space="preserve"> </w:t>
      </w:r>
      <w:r w:rsidR="0097783F" w:rsidRPr="006A08B6">
        <w:rPr>
          <w:szCs w:val="24"/>
        </w:rPr>
        <w:t>$</w:t>
      </w:r>
      <w:r w:rsidR="007719E4">
        <w:rPr>
          <w:szCs w:val="24"/>
        </w:rPr>
        <w:t>48,192</w:t>
      </w:r>
      <w:r w:rsidR="00B81D16">
        <w:rPr>
          <w:szCs w:val="24"/>
        </w:rPr>
        <w:t>,</w:t>
      </w:r>
      <w:r w:rsidR="007719E4">
        <w:rPr>
          <w:szCs w:val="24"/>
        </w:rPr>
        <w:t>181</w:t>
      </w:r>
      <w:r w:rsidR="0097783F" w:rsidRPr="006A08B6">
        <w:rPr>
          <w:szCs w:val="24"/>
        </w:rPr>
        <w:t>.</w:t>
      </w:r>
      <w:r w:rsidR="008C25F5">
        <w:rPr>
          <w:rStyle w:val="FootnoteReference"/>
          <w:szCs w:val="24"/>
        </w:rPr>
        <w:footnoteReference w:id="3"/>
      </w:r>
    </w:p>
    <w:p w:rsidR="00B77BF2" w:rsidRDefault="00B77BF2">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szCs w:val="24"/>
        </w:rPr>
      </w:pPr>
    </w:p>
    <w:p w:rsidR="0097783F" w:rsidRPr="006A08B6" w:rsidRDefault="0097783F">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6A08B6">
        <w:rPr>
          <w:b/>
          <w:bCs/>
          <w:color w:val="000000"/>
          <w:szCs w:val="24"/>
        </w:rPr>
        <w:t>Estimate of Cost to the Federal Reserve System</w:t>
      </w:r>
    </w:p>
    <w:p w:rsidR="0097783F" w:rsidRPr="006A08B6" w:rsidRDefault="0097783F">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97783F" w:rsidRPr="006A08B6" w:rsidRDefault="0097783F">
      <w:pPr>
        <w:rPr>
          <w:szCs w:val="24"/>
        </w:rPr>
      </w:pPr>
      <w:r w:rsidRPr="006A08B6">
        <w:rPr>
          <w:color w:val="000000"/>
          <w:szCs w:val="24"/>
        </w:rPr>
        <w:tab/>
      </w:r>
      <w:r w:rsidR="008C25F5">
        <w:rPr>
          <w:color w:val="000000"/>
          <w:szCs w:val="24"/>
        </w:rPr>
        <w:t xml:space="preserve">Federal Reserve System </w:t>
      </w:r>
      <w:r w:rsidR="0058508D">
        <w:rPr>
          <w:color w:val="000000"/>
          <w:szCs w:val="24"/>
        </w:rPr>
        <w:t>supervision</w:t>
      </w:r>
      <w:r w:rsidR="008C25F5">
        <w:rPr>
          <w:color w:val="000000"/>
          <w:szCs w:val="24"/>
        </w:rPr>
        <w:t xml:space="preserve"> staff would review the </w:t>
      </w:r>
      <w:r w:rsidR="00D80AF8">
        <w:rPr>
          <w:color w:val="000000"/>
          <w:szCs w:val="24"/>
        </w:rPr>
        <w:t xml:space="preserve">information </w:t>
      </w:r>
      <w:r w:rsidR="008C25F5">
        <w:rPr>
          <w:color w:val="000000"/>
          <w:szCs w:val="24"/>
        </w:rPr>
        <w:t xml:space="preserve">as part of their normal work assignments and there would be no additional staffing costs.  </w:t>
      </w:r>
    </w:p>
    <w:sectPr w:rsidR="0097783F" w:rsidRPr="006A08B6" w:rsidSect="00201631">
      <w:footerReference w:type="even" r:id="rId7"/>
      <w:footerReference w:type="default" r:id="rId8"/>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79D" w:rsidRDefault="00C4079D">
      <w:r>
        <w:separator/>
      </w:r>
    </w:p>
  </w:endnote>
  <w:endnote w:type="continuationSeparator" w:id="0">
    <w:p w:rsidR="00C4079D" w:rsidRDefault="00C407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79D" w:rsidRDefault="007F5727">
    <w:pPr>
      <w:pStyle w:val="Footer"/>
      <w:framePr w:wrap="around" w:vAnchor="text" w:hAnchor="margin" w:xAlign="right" w:y="1"/>
      <w:rPr>
        <w:rStyle w:val="PageNumber"/>
      </w:rPr>
    </w:pPr>
    <w:r>
      <w:rPr>
        <w:rStyle w:val="PageNumber"/>
      </w:rPr>
      <w:fldChar w:fldCharType="begin"/>
    </w:r>
    <w:r w:rsidR="00C4079D">
      <w:rPr>
        <w:rStyle w:val="PageNumber"/>
      </w:rPr>
      <w:instrText xml:space="preserve">PAGE  </w:instrText>
    </w:r>
    <w:r>
      <w:rPr>
        <w:rStyle w:val="PageNumber"/>
      </w:rPr>
      <w:fldChar w:fldCharType="end"/>
    </w:r>
  </w:p>
  <w:p w:rsidR="00C4079D" w:rsidRDefault="00C4079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95657"/>
      <w:docPartObj>
        <w:docPartGallery w:val="Page Numbers (Bottom of Page)"/>
        <w:docPartUnique/>
      </w:docPartObj>
    </w:sdtPr>
    <w:sdtContent>
      <w:p w:rsidR="00C4079D" w:rsidRDefault="007F5727">
        <w:pPr>
          <w:pStyle w:val="Footer"/>
          <w:jc w:val="center"/>
        </w:pPr>
        <w:fldSimple w:instr=" PAGE   \* MERGEFORMAT ">
          <w:r w:rsidR="000360C3">
            <w:rPr>
              <w:noProof/>
            </w:rPr>
            <w:t>2</w:t>
          </w:r>
        </w:fldSimple>
      </w:p>
    </w:sdtContent>
  </w:sdt>
  <w:p w:rsidR="00C4079D" w:rsidRDefault="00C4079D" w:rsidP="00A01247">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79D" w:rsidRDefault="00C4079D">
      <w:r>
        <w:separator/>
      </w:r>
    </w:p>
  </w:footnote>
  <w:footnote w:type="continuationSeparator" w:id="0">
    <w:p w:rsidR="00C4079D" w:rsidRDefault="00C4079D">
      <w:r>
        <w:continuationSeparator/>
      </w:r>
    </w:p>
  </w:footnote>
  <w:footnote w:id="1">
    <w:p w:rsidR="00C4079D" w:rsidRDefault="00C4079D">
      <w:pPr>
        <w:pStyle w:val="FootnoteText"/>
        <w:spacing w:after="120"/>
      </w:pPr>
      <w:r>
        <w:rPr>
          <w:rStyle w:val="FootnoteReference"/>
        </w:rPr>
        <w:footnoteRef/>
      </w:r>
      <w:r>
        <w:t xml:space="preserve"> </w:t>
      </w:r>
      <w:proofErr w:type="gramStart"/>
      <w:r>
        <w:t xml:space="preserve">44 U.S.C. § 3501 </w:t>
      </w:r>
      <w:r>
        <w:rPr>
          <w:u w:val="single"/>
        </w:rPr>
        <w:t>et</w:t>
      </w:r>
      <w:r>
        <w:t xml:space="preserve"> </w:t>
      </w:r>
      <w:r>
        <w:rPr>
          <w:u w:val="single"/>
        </w:rPr>
        <w:t>seq</w:t>
      </w:r>
      <w:r>
        <w:t>.</w:t>
      </w:r>
      <w:proofErr w:type="gramEnd"/>
    </w:p>
  </w:footnote>
  <w:footnote w:id="2">
    <w:p w:rsidR="00C4079D" w:rsidRPr="000C4EFE" w:rsidRDefault="00C4079D" w:rsidP="000C4EFE">
      <w:pPr>
        <w:pStyle w:val="FootnoteText"/>
        <w:jc w:val="both"/>
        <w:rPr>
          <w:sz w:val="18"/>
          <w:szCs w:val="18"/>
        </w:rPr>
      </w:pPr>
      <w:r>
        <w:rPr>
          <w:rStyle w:val="FootnoteReference"/>
        </w:rPr>
        <w:footnoteRef/>
      </w:r>
      <w:r>
        <w:t xml:space="preserve"> </w:t>
      </w:r>
      <w:r w:rsidRPr="000C4EFE">
        <w:rPr>
          <w:sz w:val="18"/>
          <w:szCs w:val="18"/>
        </w:rPr>
        <w:t>Of these respondents, 500 are small entities as defined by the Small Business Administration (i.e., entities with less than $175 million in total assets)</w:t>
      </w:r>
    </w:p>
    <w:p w:rsidR="00C4079D" w:rsidRPr="000C4EFE" w:rsidRDefault="007F5727" w:rsidP="000C4EFE">
      <w:pPr>
        <w:pStyle w:val="FootnoteText"/>
        <w:jc w:val="both"/>
        <w:rPr>
          <w:sz w:val="18"/>
          <w:szCs w:val="18"/>
        </w:rPr>
      </w:pPr>
      <w:hyperlink r:id="rId1" w:history="1">
        <w:r w:rsidR="00C4079D" w:rsidRPr="000C4EFE">
          <w:rPr>
            <w:rStyle w:val="Hyperlink"/>
            <w:sz w:val="18"/>
            <w:szCs w:val="18"/>
          </w:rPr>
          <w:t>www.sba.gov/contractingopportunities/officials/size/table/index.html</w:t>
        </w:r>
      </w:hyperlink>
      <w:r w:rsidR="00C4079D" w:rsidRPr="000C4EFE">
        <w:rPr>
          <w:sz w:val="18"/>
          <w:szCs w:val="18"/>
        </w:rPr>
        <w:t>.</w:t>
      </w:r>
    </w:p>
    <w:p w:rsidR="00C4079D" w:rsidRDefault="00C4079D">
      <w:pPr>
        <w:pStyle w:val="FootnoteText"/>
      </w:pPr>
    </w:p>
  </w:footnote>
  <w:footnote w:id="3">
    <w:p w:rsidR="00C4079D" w:rsidRPr="004D3650" w:rsidRDefault="00C4079D" w:rsidP="008C25F5">
      <w:pPr>
        <w:rPr>
          <w:snapToGrid/>
          <w:sz w:val="18"/>
          <w:szCs w:val="18"/>
          <w:u w:val="single"/>
        </w:rPr>
      </w:pPr>
      <w:r>
        <w:rPr>
          <w:rStyle w:val="FootnoteReference"/>
        </w:rPr>
        <w:footnoteRef/>
      </w:r>
      <w:r>
        <w:t xml:space="preserve"> </w:t>
      </w:r>
      <w:r w:rsidRPr="004D3650">
        <w:rPr>
          <w:snapToGrid/>
          <w:sz w:val="18"/>
          <w:szCs w:val="18"/>
        </w:rPr>
        <w:t xml:space="preserve">Total cost to the public was estimated using the following formula: percent of staff time, multiplied by annual burden hours, multiplied by hourly rate (10% </w:t>
      </w:r>
      <w:r>
        <w:rPr>
          <w:snapToGrid/>
          <w:sz w:val="18"/>
          <w:szCs w:val="18"/>
        </w:rPr>
        <w:t>Office and Administrative Support</w:t>
      </w:r>
      <w:r w:rsidRPr="004D3650">
        <w:rPr>
          <w:snapToGrid/>
          <w:sz w:val="18"/>
          <w:szCs w:val="18"/>
        </w:rPr>
        <w:t xml:space="preserve"> @ $</w:t>
      </w:r>
      <w:r>
        <w:rPr>
          <w:snapToGrid/>
          <w:sz w:val="18"/>
          <w:szCs w:val="18"/>
        </w:rPr>
        <w:t>16</w:t>
      </w:r>
      <w:r w:rsidRPr="004D3650">
        <w:rPr>
          <w:snapToGrid/>
          <w:sz w:val="18"/>
          <w:szCs w:val="18"/>
        </w:rPr>
        <w:t xml:space="preserve">, 50% </w:t>
      </w:r>
      <w:r>
        <w:rPr>
          <w:snapToGrid/>
          <w:sz w:val="18"/>
          <w:szCs w:val="18"/>
        </w:rPr>
        <w:t xml:space="preserve">Financial </w:t>
      </w:r>
      <w:r w:rsidRPr="004D3650">
        <w:rPr>
          <w:snapToGrid/>
          <w:sz w:val="18"/>
          <w:szCs w:val="18"/>
        </w:rPr>
        <w:t>Manager</w:t>
      </w:r>
      <w:r>
        <w:rPr>
          <w:snapToGrid/>
          <w:sz w:val="18"/>
          <w:szCs w:val="18"/>
        </w:rPr>
        <w:t>s</w:t>
      </w:r>
      <w:r w:rsidRPr="004D3650">
        <w:rPr>
          <w:snapToGrid/>
          <w:sz w:val="18"/>
          <w:szCs w:val="18"/>
        </w:rPr>
        <w:t xml:space="preserve"> @ $</w:t>
      </w:r>
      <w:r>
        <w:rPr>
          <w:snapToGrid/>
          <w:sz w:val="18"/>
          <w:szCs w:val="18"/>
        </w:rPr>
        <w:t>48</w:t>
      </w:r>
      <w:r w:rsidRPr="004D3650">
        <w:rPr>
          <w:snapToGrid/>
          <w:sz w:val="18"/>
          <w:szCs w:val="18"/>
        </w:rPr>
        <w:t xml:space="preserve">, 20% </w:t>
      </w:r>
      <w:r>
        <w:rPr>
          <w:snapToGrid/>
          <w:sz w:val="18"/>
          <w:szCs w:val="18"/>
        </w:rPr>
        <w:t>Chief Executives</w:t>
      </w:r>
      <w:r w:rsidRPr="004D3650">
        <w:rPr>
          <w:snapToGrid/>
          <w:sz w:val="18"/>
          <w:szCs w:val="18"/>
        </w:rPr>
        <w:t xml:space="preserve"> @ $</w:t>
      </w:r>
      <w:r>
        <w:rPr>
          <w:snapToGrid/>
          <w:sz w:val="18"/>
          <w:szCs w:val="18"/>
        </w:rPr>
        <w:t>76</w:t>
      </w:r>
      <w:r w:rsidRPr="004D3650">
        <w:rPr>
          <w:snapToGrid/>
          <w:sz w:val="18"/>
          <w:szCs w:val="18"/>
        </w:rPr>
        <w:t>, and 20% Legal Counsel @ $</w:t>
      </w:r>
      <w:r>
        <w:rPr>
          <w:snapToGrid/>
          <w:sz w:val="18"/>
          <w:szCs w:val="18"/>
        </w:rPr>
        <w:t>5</w:t>
      </w:r>
      <w:r w:rsidRPr="004D3650">
        <w:rPr>
          <w:snapToGrid/>
          <w:sz w:val="18"/>
          <w:szCs w:val="18"/>
        </w:rPr>
        <w:t xml:space="preserve">4).  </w:t>
      </w:r>
      <w:r w:rsidRPr="007719E4">
        <w:rPr>
          <w:snapToGrid/>
          <w:sz w:val="18"/>
          <w:szCs w:val="18"/>
        </w:rPr>
        <w:t>Hourly rate for each occupational group are the median hourly wages (rounded up) from the Bureau of Labor and Statistics (BLS), Occupational Employment and Wages 2008, www.bls.gov/news.release/</w:t>
      </w:r>
      <w:proofErr w:type="gramStart"/>
      <w:r w:rsidRPr="007719E4">
        <w:rPr>
          <w:snapToGrid/>
          <w:sz w:val="18"/>
          <w:szCs w:val="18"/>
        </w:rPr>
        <w:t xml:space="preserve">ocwage.nr0.htm </w:t>
      </w:r>
      <w:r>
        <w:rPr>
          <w:snapToGrid/>
          <w:sz w:val="18"/>
          <w:szCs w:val="18"/>
        </w:rPr>
        <w:t>.</w:t>
      </w:r>
      <w:proofErr w:type="gramEnd"/>
      <w:r w:rsidRPr="007719E4">
        <w:rPr>
          <w:snapToGrid/>
          <w:sz w:val="18"/>
          <w:szCs w:val="18"/>
        </w:rPr>
        <w:t xml:space="preserve"> </w:t>
      </w:r>
      <w:r w:rsidRPr="004D3650">
        <w:rPr>
          <w:snapToGrid/>
          <w:sz w:val="18"/>
          <w:szCs w:val="18"/>
        </w:rPr>
        <w:t xml:space="preserve">  Occupations are defined using the BLS Occupational Classification System, </w:t>
      </w:r>
      <w:hyperlink r:id="rId2" w:history="1">
        <w:r w:rsidRPr="00703278">
          <w:rPr>
            <w:rStyle w:val="Hyperlink"/>
            <w:snapToGrid/>
            <w:sz w:val="18"/>
            <w:szCs w:val="18"/>
          </w:rPr>
          <w:t>http://www.bls.gov/soc/</w:t>
        </w:r>
      </w:hyperlink>
      <w:r w:rsidRPr="004D3650">
        <w:rPr>
          <w:snapToGrid/>
          <w:sz w:val="18"/>
          <w:szCs w:val="18"/>
          <w:u w:val="single"/>
        </w:rPr>
        <w:t>.</w:t>
      </w:r>
      <w:r>
        <w:rPr>
          <w:snapToGrid/>
          <w:sz w:val="18"/>
          <w:szCs w:val="18"/>
          <w:u w:val="single"/>
        </w:rPr>
        <w:t xml:space="preserve">  </w:t>
      </w:r>
      <w:r w:rsidRPr="007719E4">
        <w:rPr>
          <w:snapToGrid/>
          <w:sz w:val="18"/>
          <w:szCs w:val="18"/>
          <w:u w:val="single"/>
        </w:rPr>
        <w:t xml:space="preserve"> </w:t>
      </w:r>
    </w:p>
    <w:p w:rsidR="00C4079D" w:rsidRPr="004D3650" w:rsidRDefault="00C4079D">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C32C9E"/>
    <w:rsid w:val="000034D5"/>
    <w:rsid w:val="0002076F"/>
    <w:rsid w:val="000360C3"/>
    <w:rsid w:val="00074CC2"/>
    <w:rsid w:val="00086124"/>
    <w:rsid w:val="00092D7D"/>
    <w:rsid w:val="000B1315"/>
    <w:rsid w:val="000B401A"/>
    <w:rsid w:val="000C4EFE"/>
    <w:rsid w:val="000C5FDD"/>
    <w:rsid w:val="000D7F64"/>
    <w:rsid w:val="00103A61"/>
    <w:rsid w:val="00107609"/>
    <w:rsid w:val="00116B63"/>
    <w:rsid w:val="00123261"/>
    <w:rsid w:val="0012553E"/>
    <w:rsid w:val="001275D3"/>
    <w:rsid w:val="00131C95"/>
    <w:rsid w:val="001464A7"/>
    <w:rsid w:val="001612C7"/>
    <w:rsid w:val="00164734"/>
    <w:rsid w:val="0016757E"/>
    <w:rsid w:val="001A2406"/>
    <w:rsid w:val="001B4121"/>
    <w:rsid w:val="001D55BC"/>
    <w:rsid w:val="001E71F6"/>
    <w:rsid w:val="00201631"/>
    <w:rsid w:val="00206AD5"/>
    <w:rsid w:val="00214838"/>
    <w:rsid w:val="00271D8D"/>
    <w:rsid w:val="00274816"/>
    <w:rsid w:val="002D68CB"/>
    <w:rsid w:val="002E5312"/>
    <w:rsid w:val="00312FE3"/>
    <w:rsid w:val="00330C46"/>
    <w:rsid w:val="00335841"/>
    <w:rsid w:val="00341F36"/>
    <w:rsid w:val="003514BE"/>
    <w:rsid w:val="0036182C"/>
    <w:rsid w:val="00375AA4"/>
    <w:rsid w:val="003844B4"/>
    <w:rsid w:val="003935D5"/>
    <w:rsid w:val="003947A0"/>
    <w:rsid w:val="003C034E"/>
    <w:rsid w:val="003F07E8"/>
    <w:rsid w:val="003F5AF5"/>
    <w:rsid w:val="00416897"/>
    <w:rsid w:val="004313F7"/>
    <w:rsid w:val="004405C0"/>
    <w:rsid w:val="0045767E"/>
    <w:rsid w:val="004612CF"/>
    <w:rsid w:val="0046361E"/>
    <w:rsid w:val="004707B4"/>
    <w:rsid w:val="00472F3E"/>
    <w:rsid w:val="004730BC"/>
    <w:rsid w:val="00490400"/>
    <w:rsid w:val="00492EED"/>
    <w:rsid w:val="004D3650"/>
    <w:rsid w:val="00503B0C"/>
    <w:rsid w:val="00530F5A"/>
    <w:rsid w:val="0053251B"/>
    <w:rsid w:val="00566034"/>
    <w:rsid w:val="00567471"/>
    <w:rsid w:val="005844C2"/>
    <w:rsid w:val="0058508D"/>
    <w:rsid w:val="005869DD"/>
    <w:rsid w:val="005B30AE"/>
    <w:rsid w:val="005B5A41"/>
    <w:rsid w:val="005D09A3"/>
    <w:rsid w:val="005D6F87"/>
    <w:rsid w:val="005D7A89"/>
    <w:rsid w:val="006078FD"/>
    <w:rsid w:val="00613F94"/>
    <w:rsid w:val="006320D9"/>
    <w:rsid w:val="00644C7C"/>
    <w:rsid w:val="00652C91"/>
    <w:rsid w:val="006A08B6"/>
    <w:rsid w:val="006B0827"/>
    <w:rsid w:val="006B31FE"/>
    <w:rsid w:val="006C56D6"/>
    <w:rsid w:val="006E7C17"/>
    <w:rsid w:val="00700D37"/>
    <w:rsid w:val="0071338A"/>
    <w:rsid w:val="00715E8C"/>
    <w:rsid w:val="00717EA3"/>
    <w:rsid w:val="00744600"/>
    <w:rsid w:val="007531C7"/>
    <w:rsid w:val="00754495"/>
    <w:rsid w:val="00756472"/>
    <w:rsid w:val="00762BFF"/>
    <w:rsid w:val="007719E4"/>
    <w:rsid w:val="00780850"/>
    <w:rsid w:val="007968EF"/>
    <w:rsid w:val="007C035C"/>
    <w:rsid w:val="007F5727"/>
    <w:rsid w:val="00805D16"/>
    <w:rsid w:val="00814CF7"/>
    <w:rsid w:val="00825797"/>
    <w:rsid w:val="00834CBA"/>
    <w:rsid w:val="00841B71"/>
    <w:rsid w:val="0088299B"/>
    <w:rsid w:val="008B25AB"/>
    <w:rsid w:val="008C25F5"/>
    <w:rsid w:val="008D0630"/>
    <w:rsid w:val="008D48DB"/>
    <w:rsid w:val="00921519"/>
    <w:rsid w:val="00924369"/>
    <w:rsid w:val="009309D2"/>
    <w:rsid w:val="009364C1"/>
    <w:rsid w:val="00937412"/>
    <w:rsid w:val="009537C3"/>
    <w:rsid w:val="0095705F"/>
    <w:rsid w:val="009640D8"/>
    <w:rsid w:val="0097783F"/>
    <w:rsid w:val="009946D3"/>
    <w:rsid w:val="009A6DC7"/>
    <w:rsid w:val="009C5B2C"/>
    <w:rsid w:val="009D503A"/>
    <w:rsid w:val="009F48AA"/>
    <w:rsid w:val="00A01247"/>
    <w:rsid w:val="00A04603"/>
    <w:rsid w:val="00A31156"/>
    <w:rsid w:val="00AA1230"/>
    <w:rsid w:val="00AA17A2"/>
    <w:rsid w:val="00AD14C2"/>
    <w:rsid w:val="00B05587"/>
    <w:rsid w:val="00B22C09"/>
    <w:rsid w:val="00B231FD"/>
    <w:rsid w:val="00B44DE1"/>
    <w:rsid w:val="00B450D9"/>
    <w:rsid w:val="00B469AC"/>
    <w:rsid w:val="00B74341"/>
    <w:rsid w:val="00B77BF2"/>
    <w:rsid w:val="00B81D16"/>
    <w:rsid w:val="00BF45EC"/>
    <w:rsid w:val="00C302EB"/>
    <w:rsid w:val="00C32C9E"/>
    <w:rsid w:val="00C348D6"/>
    <w:rsid w:val="00C36C2E"/>
    <w:rsid w:val="00C4079D"/>
    <w:rsid w:val="00C4664C"/>
    <w:rsid w:val="00C64016"/>
    <w:rsid w:val="00C75C7A"/>
    <w:rsid w:val="00C908B1"/>
    <w:rsid w:val="00C9239E"/>
    <w:rsid w:val="00C94BB7"/>
    <w:rsid w:val="00CC102F"/>
    <w:rsid w:val="00CD04F5"/>
    <w:rsid w:val="00CD7F56"/>
    <w:rsid w:val="00D15543"/>
    <w:rsid w:val="00D21D59"/>
    <w:rsid w:val="00D2455D"/>
    <w:rsid w:val="00D2793B"/>
    <w:rsid w:val="00D72561"/>
    <w:rsid w:val="00D80AF8"/>
    <w:rsid w:val="00D81D2B"/>
    <w:rsid w:val="00D91484"/>
    <w:rsid w:val="00DA0357"/>
    <w:rsid w:val="00DC1AC3"/>
    <w:rsid w:val="00DF2C8C"/>
    <w:rsid w:val="00E26E2E"/>
    <w:rsid w:val="00E74599"/>
    <w:rsid w:val="00E75D49"/>
    <w:rsid w:val="00E90DF4"/>
    <w:rsid w:val="00EB212E"/>
    <w:rsid w:val="00ED1243"/>
    <w:rsid w:val="00EE389F"/>
    <w:rsid w:val="00EF4283"/>
    <w:rsid w:val="00F11B0A"/>
    <w:rsid w:val="00F25713"/>
    <w:rsid w:val="00F379CC"/>
    <w:rsid w:val="00F5601F"/>
    <w:rsid w:val="00F75846"/>
    <w:rsid w:val="00F97C4A"/>
    <w:rsid w:val="00FA3E7F"/>
    <w:rsid w:val="00FB0B9D"/>
    <w:rsid w:val="00FB5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587"/>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t"/>
    <w:basedOn w:val="Normal"/>
    <w:link w:val="FootnoteTextChar"/>
    <w:semiHidden/>
    <w:rsid w:val="00B05587"/>
    <w:rPr>
      <w:snapToGrid/>
      <w:sz w:val="20"/>
    </w:rPr>
  </w:style>
  <w:style w:type="character" w:styleId="FootnoteReference">
    <w:name w:val="footnote reference"/>
    <w:basedOn w:val="DefaultParagraphFont"/>
    <w:semiHidden/>
    <w:rsid w:val="00B05587"/>
    <w:rPr>
      <w:vertAlign w:val="superscript"/>
    </w:rPr>
  </w:style>
  <w:style w:type="paragraph" w:styleId="BodyTextIndent">
    <w:name w:val="Body Text Indent"/>
    <w:basedOn w:val="Normal"/>
    <w:rsid w:val="00B05587"/>
    <w:pPr>
      <w:ind w:firstLine="720"/>
      <w:jc w:val="both"/>
    </w:pPr>
    <w:rPr>
      <w:rFonts w:ascii="Times" w:hAnsi="Times"/>
    </w:rPr>
  </w:style>
  <w:style w:type="paragraph" w:styleId="BodyTextIndent2">
    <w:name w:val="Body Text Indent 2"/>
    <w:basedOn w:val="Normal"/>
    <w:rsid w:val="00B05587"/>
    <w:pPr>
      <w:ind w:firstLine="720"/>
    </w:pPr>
    <w:rPr>
      <w:rFonts w:ascii="Times" w:hAnsi="Times"/>
      <w:color w:val="000000"/>
      <w:szCs w:val="24"/>
    </w:rPr>
  </w:style>
  <w:style w:type="paragraph" w:styleId="Footer">
    <w:name w:val="footer"/>
    <w:basedOn w:val="Normal"/>
    <w:link w:val="FooterChar"/>
    <w:uiPriority w:val="99"/>
    <w:rsid w:val="00B05587"/>
    <w:pPr>
      <w:tabs>
        <w:tab w:val="center" w:pos="4320"/>
        <w:tab w:val="right" w:pos="8640"/>
      </w:tabs>
    </w:pPr>
  </w:style>
  <w:style w:type="character" w:styleId="PageNumber">
    <w:name w:val="page number"/>
    <w:basedOn w:val="DefaultParagraphFont"/>
    <w:rsid w:val="00B05587"/>
  </w:style>
  <w:style w:type="paragraph" w:styleId="BodyText">
    <w:name w:val="Body Text"/>
    <w:basedOn w:val="Normal"/>
    <w:rsid w:val="00B05587"/>
    <w:rPr>
      <w:rFonts w:ascii="Times" w:hAnsi="Times"/>
      <w:color w:val="000000"/>
      <w:szCs w:val="24"/>
    </w:rPr>
  </w:style>
  <w:style w:type="paragraph" w:styleId="BalloonText">
    <w:name w:val="Balloon Text"/>
    <w:basedOn w:val="Normal"/>
    <w:semiHidden/>
    <w:rsid w:val="00C32C9E"/>
    <w:rPr>
      <w:rFonts w:ascii="Tahoma" w:hAnsi="Tahoma" w:cs="Tahoma"/>
      <w:sz w:val="16"/>
      <w:szCs w:val="16"/>
    </w:rPr>
  </w:style>
  <w:style w:type="character" w:styleId="CommentReference">
    <w:name w:val="annotation reference"/>
    <w:basedOn w:val="DefaultParagraphFont"/>
    <w:semiHidden/>
    <w:rsid w:val="00C32C9E"/>
    <w:rPr>
      <w:sz w:val="16"/>
      <w:szCs w:val="16"/>
    </w:rPr>
  </w:style>
  <w:style w:type="paragraph" w:styleId="CommentText">
    <w:name w:val="annotation text"/>
    <w:basedOn w:val="Normal"/>
    <w:semiHidden/>
    <w:rsid w:val="00C32C9E"/>
    <w:rPr>
      <w:sz w:val="20"/>
    </w:rPr>
  </w:style>
  <w:style w:type="paragraph" w:styleId="CommentSubject">
    <w:name w:val="annotation subject"/>
    <w:basedOn w:val="CommentText"/>
    <w:next w:val="CommentText"/>
    <w:semiHidden/>
    <w:rsid w:val="00C32C9E"/>
    <w:rPr>
      <w:b/>
      <w:bCs/>
    </w:rPr>
  </w:style>
  <w:style w:type="character" w:styleId="FollowedHyperlink">
    <w:name w:val="FollowedHyperlink"/>
    <w:basedOn w:val="DefaultParagraphFont"/>
    <w:rsid w:val="006A08B6"/>
    <w:rPr>
      <w:color w:val="800080"/>
      <w:u w:val="single"/>
    </w:rPr>
  </w:style>
  <w:style w:type="paragraph" w:styleId="Header">
    <w:name w:val="header"/>
    <w:basedOn w:val="Normal"/>
    <w:link w:val="HeaderChar"/>
    <w:uiPriority w:val="99"/>
    <w:semiHidden/>
    <w:unhideWhenUsed/>
    <w:rsid w:val="00A01247"/>
    <w:pPr>
      <w:tabs>
        <w:tab w:val="center" w:pos="4680"/>
        <w:tab w:val="right" w:pos="9360"/>
      </w:tabs>
    </w:pPr>
  </w:style>
  <w:style w:type="character" w:customStyle="1" w:styleId="HeaderChar">
    <w:name w:val="Header Char"/>
    <w:basedOn w:val="DefaultParagraphFont"/>
    <w:link w:val="Header"/>
    <w:uiPriority w:val="99"/>
    <w:semiHidden/>
    <w:rsid w:val="00A01247"/>
    <w:rPr>
      <w:snapToGrid w:val="0"/>
      <w:sz w:val="24"/>
    </w:rPr>
  </w:style>
  <w:style w:type="character" w:customStyle="1" w:styleId="FooterChar">
    <w:name w:val="Footer Char"/>
    <w:basedOn w:val="DefaultParagraphFont"/>
    <w:link w:val="Footer"/>
    <w:uiPriority w:val="99"/>
    <w:rsid w:val="00A01247"/>
    <w:rPr>
      <w:snapToGrid w:val="0"/>
      <w:sz w:val="24"/>
    </w:rPr>
  </w:style>
  <w:style w:type="character" w:styleId="Hyperlink">
    <w:name w:val="Hyperlink"/>
    <w:basedOn w:val="DefaultParagraphFont"/>
    <w:unhideWhenUsed/>
    <w:rsid w:val="007719E4"/>
    <w:rPr>
      <w:color w:val="0000FF" w:themeColor="hyperlink"/>
      <w:u w:val="single"/>
    </w:rPr>
  </w:style>
  <w:style w:type="character" w:customStyle="1" w:styleId="FootnoteTextChar">
    <w:name w:val="Footnote Text Char"/>
    <w:aliases w:val="ft Char"/>
    <w:basedOn w:val="DefaultParagraphFont"/>
    <w:link w:val="FootnoteText"/>
    <w:semiHidden/>
    <w:rsid w:val="000C4EFE"/>
  </w:style>
</w:styles>
</file>

<file path=word/webSettings.xml><?xml version="1.0" encoding="utf-8"?>
<w:webSettings xmlns:r="http://schemas.openxmlformats.org/officeDocument/2006/relationships" xmlns:w="http://schemas.openxmlformats.org/wordprocessingml/2006/main">
  <w:divs>
    <w:div w:id="130365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soc/" TargetMode="External"/><Relationship Id="rId1" Type="http://schemas.openxmlformats.org/officeDocument/2006/relationships/hyperlink" Target="file:///\\drslx1\fr-misc\fr_documents\proposals\Legal\FR%204025%20(Reg%20R)\www.sba.gov\contractingopportunities\officials\size\tabl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6E8E5-12F5-46FE-B54A-F2587DB75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1339</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 for *** (FR ####; OMB No</vt:lpstr>
    </vt:vector>
  </TitlesOfParts>
  <Company>FRB</Company>
  <LinksUpToDate>false</LinksUpToDate>
  <CharactersWithSpaces>9232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 (FR ####; OMB No</dc:title>
  <dc:subject/>
  <dc:creator>m1mel00</dc:creator>
  <cp:keywords/>
  <dc:description/>
  <cp:lastModifiedBy>Cindy Ayouch</cp:lastModifiedBy>
  <cp:revision>2</cp:revision>
  <cp:lastPrinted>2009-09-22T12:57:00Z</cp:lastPrinted>
  <dcterms:created xsi:type="dcterms:W3CDTF">2010-07-29T14:37:00Z</dcterms:created>
  <dcterms:modified xsi:type="dcterms:W3CDTF">2010-07-29T14:37:00Z</dcterms:modified>
</cp:coreProperties>
</file>