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EF" w:rsidRDefault="007B77EF" w:rsidP="007B77EF">
      <w:pPr>
        <w:pStyle w:val="EndnoteText"/>
        <w:tabs>
          <w:tab w:val="left" w:pos="360"/>
          <w:tab w:val="left" w:pos="720"/>
          <w:tab w:val="left" w:pos="1080"/>
          <w:tab w:val="left" w:pos="4680"/>
          <w:tab w:val="left" w:pos="5940"/>
        </w:tabs>
        <w:rPr>
          <w:sz w:val="24"/>
          <w:szCs w:val="24"/>
        </w:rPr>
      </w:pPr>
    </w:p>
    <w:p w:rsidR="007B77EF" w:rsidRDefault="007B77EF" w:rsidP="007B77EF">
      <w:pPr>
        <w:pStyle w:val="EndnoteText"/>
        <w:tabs>
          <w:tab w:val="left" w:pos="360"/>
          <w:tab w:val="left" w:pos="720"/>
          <w:tab w:val="left" w:pos="1080"/>
          <w:tab w:val="left" w:pos="4680"/>
          <w:tab w:val="left" w:pos="5940"/>
        </w:tabs>
        <w:rPr>
          <w:sz w:val="24"/>
          <w:szCs w:val="24"/>
        </w:rPr>
      </w:pPr>
    </w:p>
    <w:p w:rsidR="007B77EF" w:rsidRPr="0043596B" w:rsidRDefault="007B77EF" w:rsidP="007B77EF">
      <w:pPr>
        <w:jc w:val="center"/>
        <w:rPr>
          <w:i/>
          <w:sz w:val="28"/>
          <w:szCs w:val="28"/>
        </w:rPr>
      </w:pPr>
    </w:p>
    <w:p w:rsidR="007B77EF" w:rsidRPr="00FC633E" w:rsidRDefault="007B77EF" w:rsidP="007B77EF">
      <w:pPr>
        <w:jc w:val="center"/>
        <w:rPr>
          <w:sz w:val="28"/>
          <w:szCs w:val="28"/>
        </w:rPr>
      </w:pPr>
    </w:p>
    <w:p w:rsidR="007B77EF" w:rsidRDefault="007B77EF" w:rsidP="007B77EF">
      <w:pPr>
        <w:jc w:val="center"/>
        <w:rPr>
          <w:b/>
          <w:sz w:val="28"/>
          <w:szCs w:val="28"/>
        </w:rPr>
      </w:pPr>
    </w:p>
    <w:p w:rsidR="007B77EF" w:rsidRDefault="007B77EF" w:rsidP="007B77EF">
      <w:pPr>
        <w:jc w:val="center"/>
        <w:rPr>
          <w:b/>
          <w:sz w:val="28"/>
          <w:szCs w:val="28"/>
        </w:rPr>
      </w:pPr>
    </w:p>
    <w:p w:rsidR="007B77EF" w:rsidRDefault="007B77EF" w:rsidP="007B77EF">
      <w:pPr>
        <w:jc w:val="center"/>
        <w:rPr>
          <w:b/>
          <w:sz w:val="28"/>
          <w:szCs w:val="28"/>
        </w:rPr>
      </w:pPr>
    </w:p>
    <w:p w:rsidR="007B77EF" w:rsidRDefault="007B77EF" w:rsidP="007B77EF">
      <w:pPr>
        <w:jc w:val="center"/>
        <w:rPr>
          <w:b/>
          <w:sz w:val="28"/>
          <w:szCs w:val="28"/>
        </w:rPr>
      </w:pPr>
      <w:r w:rsidRPr="00456179">
        <w:rPr>
          <w:b/>
          <w:sz w:val="28"/>
          <w:szCs w:val="28"/>
        </w:rPr>
        <w:t>SUPPORTING STATEMENT</w:t>
      </w:r>
    </w:p>
    <w:p w:rsidR="007B77EF" w:rsidRDefault="007B77EF" w:rsidP="007B77EF">
      <w:pPr>
        <w:jc w:val="center"/>
        <w:rPr>
          <w:b/>
          <w:sz w:val="28"/>
          <w:szCs w:val="28"/>
        </w:rPr>
      </w:pPr>
    </w:p>
    <w:p w:rsidR="007B77EF" w:rsidRDefault="007B77EF" w:rsidP="007B77EF">
      <w:pPr>
        <w:jc w:val="center"/>
        <w:rPr>
          <w:sz w:val="28"/>
          <w:szCs w:val="28"/>
        </w:rPr>
      </w:pPr>
      <w:r>
        <w:rPr>
          <w:b/>
          <w:sz w:val="28"/>
          <w:szCs w:val="28"/>
        </w:rPr>
        <w:t>Part B</w:t>
      </w: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Pr="00E41110" w:rsidRDefault="007B77EF" w:rsidP="007B77EF">
      <w:pPr>
        <w:jc w:val="center"/>
        <w:rPr>
          <w:sz w:val="28"/>
          <w:szCs w:val="28"/>
        </w:rPr>
      </w:pPr>
      <w:r w:rsidRPr="00E41110">
        <w:rPr>
          <w:sz w:val="28"/>
          <w:szCs w:val="28"/>
        </w:rPr>
        <w:t>Health IT Community Tracking Study 2009</w:t>
      </w:r>
    </w:p>
    <w:p w:rsidR="007B77EF" w:rsidRPr="00453771" w:rsidRDefault="007B77EF" w:rsidP="007B77EF">
      <w:pPr>
        <w:jc w:val="center"/>
        <w:rPr>
          <w:sz w:val="28"/>
          <w:szCs w:val="28"/>
        </w:rPr>
      </w:pPr>
      <w:r w:rsidRPr="00453771">
        <w:rPr>
          <w:sz w:val="28"/>
          <w:szCs w:val="28"/>
        </w:rPr>
        <w:t>AHRQ Project No.: 290-05-0007-03</w:t>
      </w:r>
    </w:p>
    <w:p w:rsidR="007B77EF" w:rsidRDefault="007B77EF" w:rsidP="007B77EF">
      <w:pPr>
        <w:jc w:val="center"/>
        <w:rPr>
          <w:sz w:val="28"/>
          <w:szCs w:val="28"/>
        </w:rPr>
      </w:pPr>
    </w:p>
    <w:p w:rsidR="007B77EF" w:rsidRDefault="007B77EF" w:rsidP="007B77EF">
      <w:pPr>
        <w:jc w:val="center"/>
        <w:rPr>
          <w:sz w:val="28"/>
          <w:szCs w:val="28"/>
        </w:rPr>
      </w:pPr>
    </w:p>
    <w:p w:rsidR="007B77EF" w:rsidRDefault="00672C78" w:rsidP="007B77EF">
      <w:pPr>
        <w:jc w:val="center"/>
        <w:rPr>
          <w:sz w:val="28"/>
          <w:szCs w:val="28"/>
        </w:rPr>
      </w:pPr>
      <w:r>
        <w:rPr>
          <w:sz w:val="28"/>
          <w:szCs w:val="28"/>
        </w:rPr>
        <w:t>Version:</w:t>
      </w:r>
      <w:r w:rsidR="000C0FC4" w:rsidRPr="000C0FC4">
        <w:rPr>
          <w:sz w:val="28"/>
          <w:szCs w:val="28"/>
        </w:rPr>
        <w:t xml:space="preserve"> </w:t>
      </w:r>
      <w:r w:rsidR="000C0FC4">
        <w:rPr>
          <w:sz w:val="28"/>
          <w:szCs w:val="28"/>
        </w:rPr>
        <w:t xml:space="preserve">June </w:t>
      </w:r>
      <w:r w:rsidR="00C2136D">
        <w:rPr>
          <w:sz w:val="28"/>
          <w:szCs w:val="28"/>
        </w:rPr>
        <w:t>19</w:t>
      </w:r>
      <w:r w:rsidR="000C0FC4" w:rsidRPr="00E0329D">
        <w:rPr>
          <w:sz w:val="28"/>
          <w:szCs w:val="28"/>
          <w:vertAlign w:val="superscript"/>
        </w:rPr>
        <w:t>th</w:t>
      </w:r>
      <w:r w:rsidR="007B77EF" w:rsidRPr="005B40AB">
        <w:rPr>
          <w:sz w:val="28"/>
          <w:szCs w:val="28"/>
        </w:rPr>
        <w:t>, 2009</w:t>
      </w:r>
      <w:r w:rsidR="00441039">
        <w:rPr>
          <w:sz w:val="28"/>
          <w:szCs w:val="28"/>
        </w:rPr>
        <w:t xml:space="preserve"> </w:t>
      </w: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r w:rsidRPr="00677A0B">
        <w:rPr>
          <w:sz w:val="28"/>
          <w:szCs w:val="28"/>
        </w:rPr>
        <w:t>Agency of Healthcare Research and Quality (AHRQ)</w:t>
      </w:r>
    </w:p>
    <w:p w:rsidR="007B77EF" w:rsidRDefault="007B77EF" w:rsidP="007B77EF">
      <w:pPr>
        <w:rPr>
          <w:sz w:val="28"/>
          <w:szCs w:val="28"/>
        </w:rPr>
      </w:pPr>
    </w:p>
    <w:p w:rsidR="007B77EF" w:rsidRDefault="007B77EF" w:rsidP="007B77EF">
      <w:pPr>
        <w:rPr>
          <w:sz w:val="28"/>
          <w:szCs w:val="28"/>
        </w:rPr>
      </w:pPr>
    </w:p>
    <w:p w:rsidR="007B77EF" w:rsidRDefault="007B77EF" w:rsidP="007B77EF">
      <w:pPr>
        <w:jc w:val="center"/>
      </w:pPr>
      <w:r>
        <w:br w:type="page"/>
      </w:r>
      <w:bookmarkStart w:id="0" w:name="_Toc151782198"/>
      <w:bookmarkStart w:id="1" w:name="_Toc158526234"/>
    </w:p>
    <w:p w:rsidR="007B77EF" w:rsidRDefault="007B77EF" w:rsidP="007B77EF">
      <w:pPr>
        <w:pStyle w:val="TOCHeading"/>
        <w:jc w:val="center"/>
        <w:rPr>
          <w:rFonts w:ascii="Times New Roman" w:hAnsi="Times New Roman"/>
          <w:color w:val="auto"/>
          <w:sz w:val="24"/>
          <w:szCs w:val="24"/>
        </w:rPr>
      </w:pPr>
      <w:r w:rsidRPr="00227821">
        <w:rPr>
          <w:rFonts w:ascii="Times New Roman" w:hAnsi="Times New Roman"/>
          <w:color w:val="auto"/>
          <w:sz w:val="24"/>
          <w:szCs w:val="24"/>
        </w:rPr>
        <w:lastRenderedPageBreak/>
        <w:t>Table of Contents</w:t>
      </w:r>
    </w:p>
    <w:p w:rsidR="007B77EF" w:rsidRPr="00227821" w:rsidRDefault="007B77EF" w:rsidP="007B77EF"/>
    <w:p w:rsidR="00A07FB3" w:rsidRDefault="007B77EF">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anchor="_Toc230760767" w:history="1">
        <w:r w:rsidR="00A07FB3" w:rsidRPr="00480854">
          <w:rPr>
            <w:rStyle w:val="Hyperlink"/>
            <w:noProof/>
          </w:rPr>
          <w:t>B. Collections of Information Employing Statistical Methods</w:t>
        </w:r>
        <w:r w:rsidR="00A07FB3">
          <w:rPr>
            <w:noProof/>
            <w:webHidden/>
          </w:rPr>
          <w:tab/>
        </w:r>
        <w:r w:rsidR="00A07FB3">
          <w:rPr>
            <w:noProof/>
            <w:webHidden/>
          </w:rPr>
          <w:fldChar w:fldCharType="begin"/>
        </w:r>
        <w:r w:rsidR="00A07FB3">
          <w:rPr>
            <w:noProof/>
            <w:webHidden/>
          </w:rPr>
          <w:instrText xml:space="preserve"> PAGEREF _Toc230760767 \h </w:instrText>
        </w:r>
        <w:r w:rsidR="00A07FB3">
          <w:rPr>
            <w:noProof/>
            <w:webHidden/>
          </w:rPr>
        </w:r>
        <w:r w:rsidR="00A07FB3">
          <w:rPr>
            <w:noProof/>
            <w:webHidden/>
          </w:rPr>
          <w:fldChar w:fldCharType="separate"/>
        </w:r>
        <w:r w:rsidR="00A07FB3">
          <w:rPr>
            <w:noProof/>
            <w:webHidden/>
          </w:rPr>
          <w:t>- 3 -</w:t>
        </w:r>
        <w:r w:rsidR="00A07FB3">
          <w:rPr>
            <w:noProof/>
            <w:webHidden/>
          </w:rPr>
          <w:fldChar w:fldCharType="end"/>
        </w:r>
      </w:hyperlink>
    </w:p>
    <w:p w:rsidR="00A07FB3" w:rsidRDefault="00A07FB3">
      <w:pPr>
        <w:pStyle w:val="TOC1"/>
        <w:tabs>
          <w:tab w:val="right" w:leader="dot" w:pos="8630"/>
        </w:tabs>
        <w:rPr>
          <w:rFonts w:ascii="Calibri" w:hAnsi="Calibri"/>
          <w:noProof/>
          <w:sz w:val="22"/>
          <w:szCs w:val="22"/>
        </w:rPr>
      </w:pPr>
      <w:hyperlink w:anchor="_Toc230760768" w:history="1">
        <w:r w:rsidRPr="004C3D7A">
          <w:rPr>
            <w:rStyle w:val="Hyperlink"/>
            <w:noProof/>
          </w:rPr>
          <w:t>1. Respondent Universe and Sampling Methods</w:t>
        </w:r>
        <w:r>
          <w:rPr>
            <w:noProof/>
            <w:webHidden/>
          </w:rPr>
          <w:tab/>
        </w:r>
        <w:r>
          <w:rPr>
            <w:noProof/>
            <w:webHidden/>
          </w:rPr>
          <w:fldChar w:fldCharType="begin"/>
        </w:r>
        <w:r>
          <w:rPr>
            <w:noProof/>
            <w:webHidden/>
          </w:rPr>
          <w:instrText xml:space="preserve"> PAGEREF _Toc230760768 \h </w:instrText>
        </w:r>
        <w:r>
          <w:rPr>
            <w:noProof/>
            <w:webHidden/>
          </w:rPr>
        </w:r>
        <w:r>
          <w:rPr>
            <w:noProof/>
            <w:webHidden/>
          </w:rPr>
          <w:fldChar w:fldCharType="separate"/>
        </w:r>
        <w:r>
          <w:rPr>
            <w:noProof/>
            <w:webHidden/>
          </w:rPr>
          <w:t>- 3 -</w:t>
        </w:r>
        <w:r>
          <w:rPr>
            <w:noProof/>
            <w:webHidden/>
          </w:rPr>
          <w:fldChar w:fldCharType="end"/>
        </w:r>
      </w:hyperlink>
    </w:p>
    <w:p w:rsidR="00A07FB3" w:rsidRDefault="00A07FB3">
      <w:pPr>
        <w:pStyle w:val="TOC1"/>
        <w:tabs>
          <w:tab w:val="right" w:leader="dot" w:pos="8630"/>
        </w:tabs>
        <w:rPr>
          <w:rFonts w:ascii="Calibri" w:hAnsi="Calibri"/>
          <w:noProof/>
          <w:sz w:val="22"/>
          <w:szCs w:val="22"/>
        </w:rPr>
      </w:pPr>
      <w:hyperlink w:anchor="_Toc230760769" w:history="1">
        <w:r w:rsidRPr="00480854">
          <w:rPr>
            <w:rStyle w:val="Hyperlink"/>
            <w:noProof/>
          </w:rPr>
          <w:t>2. Information Collection Procedures</w:t>
        </w:r>
        <w:r>
          <w:rPr>
            <w:noProof/>
            <w:webHidden/>
          </w:rPr>
          <w:tab/>
        </w:r>
        <w:r>
          <w:rPr>
            <w:noProof/>
            <w:webHidden/>
          </w:rPr>
          <w:fldChar w:fldCharType="begin"/>
        </w:r>
        <w:r>
          <w:rPr>
            <w:noProof/>
            <w:webHidden/>
          </w:rPr>
          <w:instrText xml:space="preserve"> PAGEREF _Toc230760769 \h </w:instrText>
        </w:r>
        <w:r>
          <w:rPr>
            <w:noProof/>
            <w:webHidden/>
          </w:rPr>
        </w:r>
        <w:r>
          <w:rPr>
            <w:noProof/>
            <w:webHidden/>
          </w:rPr>
          <w:fldChar w:fldCharType="separate"/>
        </w:r>
        <w:r>
          <w:rPr>
            <w:noProof/>
            <w:webHidden/>
          </w:rPr>
          <w:t>- 5 -</w:t>
        </w:r>
        <w:r>
          <w:rPr>
            <w:noProof/>
            <w:webHidden/>
          </w:rPr>
          <w:fldChar w:fldCharType="end"/>
        </w:r>
      </w:hyperlink>
    </w:p>
    <w:p w:rsidR="00A07FB3" w:rsidRDefault="00A07FB3">
      <w:pPr>
        <w:pStyle w:val="TOC1"/>
        <w:tabs>
          <w:tab w:val="right" w:leader="dot" w:pos="8630"/>
        </w:tabs>
        <w:rPr>
          <w:rFonts w:ascii="Calibri" w:hAnsi="Calibri"/>
          <w:noProof/>
          <w:sz w:val="22"/>
          <w:szCs w:val="22"/>
        </w:rPr>
      </w:pPr>
      <w:hyperlink w:anchor="_Toc230760770" w:history="1">
        <w:r w:rsidRPr="00480854">
          <w:rPr>
            <w:rStyle w:val="Hyperlink"/>
            <w:noProof/>
          </w:rPr>
          <w:t>3. Methods to Maximize Response Rates</w:t>
        </w:r>
        <w:r>
          <w:rPr>
            <w:noProof/>
            <w:webHidden/>
          </w:rPr>
          <w:tab/>
        </w:r>
        <w:r>
          <w:rPr>
            <w:noProof/>
            <w:webHidden/>
          </w:rPr>
          <w:fldChar w:fldCharType="begin"/>
        </w:r>
        <w:r>
          <w:rPr>
            <w:noProof/>
            <w:webHidden/>
          </w:rPr>
          <w:instrText xml:space="preserve"> PAGEREF _Toc230760770 \h </w:instrText>
        </w:r>
        <w:r>
          <w:rPr>
            <w:noProof/>
            <w:webHidden/>
          </w:rPr>
        </w:r>
        <w:r>
          <w:rPr>
            <w:noProof/>
            <w:webHidden/>
          </w:rPr>
          <w:fldChar w:fldCharType="separate"/>
        </w:r>
        <w:r>
          <w:rPr>
            <w:noProof/>
            <w:webHidden/>
          </w:rPr>
          <w:t>- 5 -</w:t>
        </w:r>
        <w:r>
          <w:rPr>
            <w:noProof/>
            <w:webHidden/>
          </w:rPr>
          <w:fldChar w:fldCharType="end"/>
        </w:r>
      </w:hyperlink>
    </w:p>
    <w:p w:rsidR="00A07FB3" w:rsidRDefault="00A07FB3" w:rsidP="00C2136D">
      <w:pPr>
        <w:pStyle w:val="TOC1"/>
        <w:tabs>
          <w:tab w:val="right" w:leader="dot" w:pos="8630"/>
        </w:tabs>
        <w:rPr>
          <w:rFonts w:ascii="Calibri" w:hAnsi="Calibri"/>
          <w:noProof/>
          <w:sz w:val="22"/>
          <w:szCs w:val="22"/>
        </w:rPr>
      </w:pPr>
      <w:hyperlink w:anchor="_Toc230760771" w:history="1">
        <w:r w:rsidRPr="00480854">
          <w:rPr>
            <w:rStyle w:val="Hyperlink"/>
            <w:noProof/>
          </w:rPr>
          <w:t>4. Tests of Procedures</w:t>
        </w:r>
        <w:r>
          <w:rPr>
            <w:noProof/>
            <w:webHidden/>
          </w:rPr>
          <w:tab/>
        </w:r>
        <w:r>
          <w:rPr>
            <w:noProof/>
            <w:webHidden/>
          </w:rPr>
          <w:fldChar w:fldCharType="begin"/>
        </w:r>
        <w:r>
          <w:rPr>
            <w:noProof/>
            <w:webHidden/>
          </w:rPr>
          <w:instrText xml:space="preserve"> PAGEREF _Toc230760771 \h </w:instrText>
        </w:r>
        <w:r>
          <w:rPr>
            <w:noProof/>
            <w:webHidden/>
          </w:rPr>
        </w:r>
        <w:r>
          <w:rPr>
            <w:noProof/>
            <w:webHidden/>
          </w:rPr>
          <w:fldChar w:fldCharType="separate"/>
        </w:r>
        <w:r>
          <w:rPr>
            <w:noProof/>
            <w:webHidden/>
          </w:rPr>
          <w:t xml:space="preserve">- </w:t>
        </w:r>
        <w:r w:rsidR="00C2136D">
          <w:rPr>
            <w:noProof/>
            <w:webHidden/>
          </w:rPr>
          <w:t xml:space="preserve">6 </w:t>
        </w:r>
        <w:r>
          <w:rPr>
            <w:noProof/>
            <w:webHidden/>
          </w:rPr>
          <w:t>-</w:t>
        </w:r>
        <w:r>
          <w:rPr>
            <w:noProof/>
            <w:webHidden/>
          </w:rPr>
          <w:fldChar w:fldCharType="end"/>
        </w:r>
      </w:hyperlink>
    </w:p>
    <w:p w:rsidR="00A07FB3" w:rsidRDefault="00A07FB3">
      <w:pPr>
        <w:pStyle w:val="TOC1"/>
        <w:tabs>
          <w:tab w:val="right" w:leader="dot" w:pos="8630"/>
        </w:tabs>
        <w:rPr>
          <w:rFonts w:ascii="Calibri" w:hAnsi="Calibri"/>
          <w:noProof/>
          <w:sz w:val="22"/>
          <w:szCs w:val="22"/>
        </w:rPr>
      </w:pPr>
      <w:hyperlink w:anchor="_Toc230760772" w:history="1">
        <w:r w:rsidRPr="00480854">
          <w:rPr>
            <w:rStyle w:val="Hyperlink"/>
            <w:noProof/>
          </w:rPr>
          <w:t>5. Statistical Consultants</w:t>
        </w:r>
        <w:r>
          <w:rPr>
            <w:noProof/>
            <w:webHidden/>
          </w:rPr>
          <w:tab/>
        </w:r>
        <w:r>
          <w:rPr>
            <w:noProof/>
            <w:webHidden/>
          </w:rPr>
          <w:fldChar w:fldCharType="begin"/>
        </w:r>
        <w:r>
          <w:rPr>
            <w:noProof/>
            <w:webHidden/>
          </w:rPr>
          <w:instrText xml:space="preserve"> PAGEREF _Toc230760772 \h </w:instrText>
        </w:r>
        <w:r>
          <w:rPr>
            <w:noProof/>
            <w:webHidden/>
          </w:rPr>
        </w:r>
        <w:r>
          <w:rPr>
            <w:noProof/>
            <w:webHidden/>
          </w:rPr>
          <w:fldChar w:fldCharType="separate"/>
        </w:r>
        <w:r>
          <w:rPr>
            <w:noProof/>
            <w:webHidden/>
          </w:rPr>
          <w:t>- 6 -</w:t>
        </w:r>
        <w:r>
          <w:rPr>
            <w:noProof/>
            <w:webHidden/>
          </w:rPr>
          <w:fldChar w:fldCharType="end"/>
        </w:r>
      </w:hyperlink>
    </w:p>
    <w:p w:rsidR="00A07FB3" w:rsidRDefault="00A07FB3">
      <w:pPr>
        <w:pStyle w:val="TOC1"/>
        <w:tabs>
          <w:tab w:val="right" w:leader="dot" w:pos="8630"/>
        </w:tabs>
        <w:rPr>
          <w:rFonts w:ascii="Calibri" w:hAnsi="Calibri"/>
          <w:noProof/>
          <w:sz w:val="22"/>
          <w:szCs w:val="22"/>
        </w:rPr>
      </w:pPr>
      <w:hyperlink w:anchor="_Toc230760773" w:history="1">
        <w:r w:rsidRPr="00480854">
          <w:rPr>
            <w:rStyle w:val="Hyperlink"/>
            <w:noProof/>
          </w:rPr>
          <w:t>6. Analysis Plan</w:t>
        </w:r>
        <w:r>
          <w:rPr>
            <w:noProof/>
            <w:webHidden/>
          </w:rPr>
          <w:tab/>
        </w:r>
        <w:r>
          <w:rPr>
            <w:noProof/>
            <w:webHidden/>
          </w:rPr>
          <w:fldChar w:fldCharType="begin"/>
        </w:r>
        <w:r>
          <w:rPr>
            <w:noProof/>
            <w:webHidden/>
          </w:rPr>
          <w:instrText xml:space="preserve"> PAGEREF _Toc230760773 \h </w:instrText>
        </w:r>
        <w:r>
          <w:rPr>
            <w:noProof/>
            <w:webHidden/>
          </w:rPr>
        </w:r>
        <w:r>
          <w:rPr>
            <w:noProof/>
            <w:webHidden/>
          </w:rPr>
          <w:fldChar w:fldCharType="separate"/>
        </w:r>
        <w:r>
          <w:rPr>
            <w:noProof/>
            <w:webHidden/>
          </w:rPr>
          <w:t>- 6 -</w:t>
        </w:r>
        <w:r>
          <w:rPr>
            <w:noProof/>
            <w:webHidden/>
          </w:rPr>
          <w:fldChar w:fldCharType="end"/>
        </w:r>
      </w:hyperlink>
    </w:p>
    <w:p w:rsidR="00A07FB3" w:rsidRDefault="00A07FB3">
      <w:pPr>
        <w:pStyle w:val="TOC1"/>
        <w:tabs>
          <w:tab w:val="right" w:leader="dot" w:pos="8630"/>
        </w:tabs>
        <w:rPr>
          <w:rFonts w:ascii="Calibri" w:hAnsi="Calibri"/>
          <w:noProof/>
          <w:sz w:val="22"/>
          <w:szCs w:val="22"/>
        </w:rPr>
      </w:pPr>
      <w:hyperlink w:anchor="_Toc230760774" w:history="1">
        <w:r w:rsidRPr="00480854">
          <w:rPr>
            <w:rStyle w:val="Hyperlink"/>
            <w:noProof/>
          </w:rPr>
          <w:t>REFERENCES</w:t>
        </w:r>
        <w:r>
          <w:rPr>
            <w:noProof/>
            <w:webHidden/>
          </w:rPr>
          <w:tab/>
        </w:r>
        <w:r>
          <w:rPr>
            <w:noProof/>
            <w:webHidden/>
          </w:rPr>
          <w:fldChar w:fldCharType="begin"/>
        </w:r>
        <w:r>
          <w:rPr>
            <w:noProof/>
            <w:webHidden/>
          </w:rPr>
          <w:instrText xml:space="preserve"> PAGEREF _Toc230760774 \h </w:instrText>
        </w:r>
        <w:r>
          <w:rPr>
            <w:noProof/>
            <w:webHidden/>
          </w:rPr>
        </w:r>
        <w:r>
          <w:rPr>
            <w:noProof/>
            <w:webHidden/>
          </w:rPr>
          <w:fldChar w:fldCharType="separate"/>
        </w:r>
        <w:r>
          <w:rPr>
            <w:noProof/>
            <w:webHidden/>
          </w:rPr>
          <w:t>- 6 -</w:t>
        </w:r>
        <w:r>
          <w:rPr>
            <w:noProof/>
            <w:webHidden/>
          </w:rPr>
          <w:fldChar w:fldCharType="end"/>
        </w:r>
      </w:hyperlink>
    </w:p>
    <w:p w:rsidR="007B77EF" w:rsidRDefault="007B77EF">
      <w:r>
        <w:fldChar w:fldCharType="end"/>
      </w:r>
    </w:p>
    <w:p w:rsidR="007B77EF" w:rsidRDefault="007B77EF" w:rsidP="007B77EF">
      <w:pPr>
        <w:jc w:val="center"/>
      </w:pPr>
    </w:p>
    <w:p w:rsidR="007B77EF" w:rsidRDefault="007B77EF" w:rsidP="007B77EF"/>
    <w:p w:rsidR="007B77EF" w:rsidRDefault="007B77EF" w:rsidP="007B77EF"/>
    <w:p w:rsidR="007B77EF" w:rsidRDefault="007B77EF" w:rsidP="007B77EF"/>
    <w:p w:rsidR="007B77EF" w:rsidRDefault="007B77EF" w:rsidP="007B77EF"/>
    <w:p w:rsidR="007B77EF" w:rsidRDefault="007B77EF" w:rsidP="007B77EF">
      <w:r>
        <w:br w:type="page"/>
      </w:r>
    </w:p>
    <w:p w:rsidR="002E7FDF" w:rsidRDefault="007B77EF" w:rsidP="002E7FDF">
      <w:pPr>
        <w:pStyle w:val="HeadingOMB1"/>
        <w:spacing w:after="0"/>
      </w:pPr>
      <w:bookmarkStart w:id="2" w:name="_Toc230760767"/>
      <w:r w:rsidRPr="007E69DA">
        <w:t>B. Collections of Information Employing Statistical Methods</w:t>
      </w:r>
      <w:bookmarkStart w:id="3" w:name="_Toc151782199"/>
      <w:bookmarkStart w:id="4" w:name="_Toc158526235"/>
      <w:bookmarkEnd w:id="0"/>
      <w:bookmarkEnd w:id="1"/>
      <w:bookmarkEnd w:id="2"/>
    </w:p>
    <w:p w:rsidR="007B77EF" w:rsidRPr="002E7FDF" w:rsidRDefault="007B77EF" w:rsidP="002E7FDF">
      <w:pPr>
        <w:pStyle w:val="HeadingOMB1"/>
        <w:spacing w:after="0"/>
        <w:rPr>
          <w:i/>
        </w:rPr>
      </w:pPr>
      <w:bookmarkStart w:id="5" w:name="_Toc230760768"/>
      <w:r w:rsidRPr="002E7FDF">
        <w:rPr>
          <w:i/>
        </w:rPr>
        <w:t xml:space="preserve">1. Respondent </w:t>
      </w:r>
      <w:r w:rsidR="003A0433" w:rsidRPr="002E7FDF">
        <w:rPr>
          <w:i/>
        </w:rPr>
        <w:t>U</w:t>
      </w:r>
      <w:r w:rsidRPr="002E7FDF">
        <w:rPr>
          <w:i/>
        </w:rPr>
        <w:t xml:space="preserve">niverse and </w:t>
      </w:r>
      <w:r w:rsidR="003A0433" w:rsidRPr="002E7FDF">
        <w:rPr>
          <w:i/>
        </w:rPr>
        <w:t>S</w:t>
      </w:r>
      <w:r w:rsidRPr="002E7FDF">
        <w:rPr>
          <w:i/>
        </w:rPr>
        <w:t xml:space="preserve">ampling </w:t>
      </w:r>
      <w:r w:rsidR="003A0433" w:rsidRPr="002E7FDF">
        <w:rPr>
          <w:i/>
        </w:rPr>
        <w:t>M</w:t>
      </w:r>
      <w:r w:rsidRPr="002E7FDF">
        <w:rPr>
          <w:i/>
        </w:rPr>
        <w:t>ethods</w:t>
      </w:r>
      <w:bookmarkEnd w:id="3"/>
      <w:bookmarkEnd w:id="4"/>
      <w:bookmarkEnd w:id="5"/>
    </w:p>
    <w:p w:rsidR="00AE2194" w:rsidRPr="00AE2194" w:rsidRDefault="00AE2194" w:rsidP="00AE2194">
      <w:r w:rsidRPr="00AE2194">
        <w:t>This proposed research will use a purposive sample, therefore study findings cannot be statistically generalized to the respondent universe.  However, the lessons learned from this qualitative research will inform strategies to promote the adoption and effective use of e-prescribing being developed by AHRQ and other Department of Health and Human Services agencies, including</w:t>
      </w:r>
      <w:r w:rsidR="00F9535F">
        <w:t xml:space="preserve"> the Centers for Medicare and Medicaid Services</w:t>
      </w:r>
      <w:r w:rsidRPr="00AE2194">
        <w:t xml:space="preserve"> </w:t>
      </w:r>
      <w:r w:rsidR="00F9535F">
        <w:t>(</w:t>
      </w:r>
      <w:r w:rsidRPr="00AE2194">
        <w:t>CMS</w:t>
      </w:r>
      <w:r w:rsidR="00F9535F">
        <w:t>)</w:t>
      </w:r>
      <w:r w:rsidRPr="00AE2194">
        <w:t xml:space="preserve"> and the Office of the National Coordinator for Health IT, as well as state and local governments and private health care organizations.</w:t>
      </w:r>
    </w:p>
    <w:p w:rsidR="007B77EF" w:rsidRDefault="007B77EF" w:rsidP="00F9535F"/>
    <w:p w:rsidR="007B77EF" w:rsidRPr="00A8496A" w:rsidRDefault="007B77EF" w:rsidP="007B77EF">
      <w:r w:rsidRPr="00FE3B07">
        <w:t>The</w:t>
      </w:r>
      <w:r>
        <w:t xml:space="preserve"> key units of observation for the proposed qualitative study are physician practices that </w:t>
      </w:r>
      <w:r w:rsidRPr="00B25480">
        <w:t xml:space="preserve">send prescriptions </w:t>
      </w:r>
      <w:r w:rsidRPr="00A8496A">
        <w:t>directly from their e-prescribing system to pharmacies electronically</w:t>
      </w:r>
      <w:r>
        <w:t xml:space="preserve"> and pharmacies that receive </w:t>
      </w:r>
      <w:r w:rsidRPr="00A8496A">
        <w:t>prescriptions electronically from physic</w:t>
      </w:r>
      <w:r>
        <w:t xml:space="preserve">ian practices into their computer systems, rather than by fax. Such electronic routing is </w:t>
      </w:r>
      <w:r w:rsidRPr="00A8496A">
        <w:t xml:space="preserve">often referred to as electronic data interchange. </w:t>
      </w:r>
      <w:r w:rsidR="0037460D">
        <w:t xml:space="preserve">AHRQ </w:t>
      </w:r>
      <w:r w:rsidR="0037460D" w:rsidRPr="0037460D">
        <w:rPr>
          <w:color w:val="000000"/>
        </w:rPr>
        <w:t xml:space="preserve">expects to invite approximately 138 organizations in order to identify 110 organizations willing to participate. These </w:t>
      </w:r>
      <w:r w:rsidR="00CE0D4B">
        <w:rPr>
          <w:color w:val="000000"/>
        </w:rPr>
        <w:t xml:space="preserve">110 participating </w:t>
      </w:r>
      <w:r w:rsidR="0037460D" w:rsidRPr="0037460D">
        <w:rPr>
          <w:color w:val="000000"/>
        </w:rPr>
        <w:t>organizations</w:t>
      </w:r>
      <w:r w:rsidR="00CE0D4B">
        <w:rPr>
          <w:color w:val="000000"/>
        </w:rPr>
        <w:t xml:space="preserve"> will</w:t>
      </w:r>
      <w:r w:rsidR="0037460D" w:rsidRPr="0037460D">
        <w:rPr>
          <w:color w:val="000000"/>
        </w:rPr>
        <w:t xml:space="preserve"> include 24 eligible physician practices and 56 eligible </w:t>
      </w:r>
      <w:r w:rsidR="000C0FC4">
        <w:rPr>
          <w:color w:val="000000"/>
        </w:rPr>
        <w:t xml:space="preserve">retail and mail order </w:t>
      </w:r>
      <w:r w:rsidR="0037460D" w:rsidRPr="0037460D">
        <w:rPr>
          <w:color w:val="000000"/>
        </w:rPr>
        <w:t xml:space="preserve">pharmacies </w:t>
      </w:r>
      <w:r w:rsidR="000C0FC4">
        <w:rPr>
          <w:color w:val="000000"/>
        </w:rPr>
        <w:t xml:space="preserve">and headquarters of pharmacy chains </w:t>
      </w:r>
      <w:r w:rsidR="0037460D" w:rsidRPr="0037460D">
        <w:rPr>
          <w:color w:val="000000"/>
        </w:rPr>
        <w:t>that use e-prescribing systems to send or receive prescriptions electronically as well as 30 other organizations including state pharmacy associations, vendors and e-prescribing experts.</w:t>
      </w:r>
    </w:p>
    <w:p w:rsidR="007B77EF" w:rsidRDefault="007B77EF" w:rsidP="007B77EF"/>
    <w:p w:rsidR="007B77EF" w:rsidRDefault="007B77EF" w:rsidP="007B77EF">
      <w:r>
        <w:t xml:space="preserve">Practices and pharmacies will be selected purposively from among eligible organizations located in the </w:t>
      </w:r>
      <w:r w:rsidR="005C4954">
        <w:t>12</w:t>
      </w:r>
      <w:r>
        <w:t xml:space="preserve"> Community Tracking Study (CTS) sites</w:t>
      </w:r>
      <w:r w:rsidRPr="00A8496A">
        <w:t xml:space="preserve"> </w:t>
      </w:r>
      <w:r>
        <w:t xml:space="preserve">selected to be nationally representative of communities with populations over 200,000:  </w:t>
      </w:r>
      <w:smartTag w:uri="urn:schemas-microsoft-com:office:smarttags" w:element="City">
        <w:r w:rsidRPr="00F80DD7">
          <w:t>Boston</w:t>
        </w:r>
      </w:smartTag>
      <w:r w:rsidRPr="00F80DD7">
        <w:t xml:space="preserve">; </w:t>
      </w:r>
      <w:smartTag w:uri="urn:schemas-microsoft-com:office:smarttags" w:element="City">
        <w:r w:rsidRPr="00F80DD7">
          <w:t>Cleveland</w:t>
        </w:r>
      </w:smartTag>
      <w:r w:rsidRPr="00F80DD7">
        <w:t xml:space="preserve">; </w:t>
      </w:r>
      <w:smartTag w:uri="urn:schemas-microsoft-com:office:smarttags" w:element="City">
        <w:r w:rsidRPr="00F80DD7">
          <w:t>Greenville</w:t>
        </w:r>
      </w:smartTag>
      <w:r w:rsidRPr="00F80DD7">
        <w:t xml:space="preserve">, </w:t>
      </w:r>
      <w:smartTag w:uri="urn:schemas-microsoft-com:office:smarttags" w:element="State">
        <w:r w:rsidRPr="00F80DD7">
          <w:t>S.C.</w:t>
        </w:r>
      </w:smartTag>
      <w:r w:rsidRPr="00F80DD7">
        <w:t xml:space="preserve">; </w:t>
      </w:r>
      <w:smartTag w:uri="urn:schemas-microsoft-com:office:smarttags" w:element="City">
        <w:r w:rsidRPr="00F80DD7">
          <w:t>Indianapolis</w:t>
        </w:r>
      </w:smartTag>
      <w:r w:rsidRPr="00F80DD7">
        <w:t xml:space="preserve">; </w:t>
      </w:r>
      <w:smartTag w:uri="urn:schemas-microsoft-com:office:smarttags" w:element="City">
        <w:r w:rsidRPr="00F80DD7">
          <w:t>Lansing</w:t>
        </w:r>
      </w:smartTag>
      <w:r w:rsidRPr="00F80DD7">
        <w:t xml:space="preserve">, </w:t>
      </w:r>
      <w:smartTag w:uri="urn:schemas-microsoft-com:office:smarttags" w:element="State">
        <w:r w:rsidRPr="00F80DD7">
          <w:t>Mich.</w:t>
        </w:r>
      </w:smartTag>
      <w:r w:rsidRPr="00F80DD7">
        <w:t xml:space="preserve">; </w:t>
      </w:r>
      <w:smartTag w:uri="urn:schemas-microsoft-com:office:smarttags" w:element="City">
        <w:r w:rsidRPr="00F80DD7">
          <w:t>Little Rock</w:t>
        </w:r>
      </w:smartTag>
      <w:r w:rsidRPr="00F80DD7">
        <w:t xml:space="preserve">, </w:t>
      </w:r>
      <w:smartTag w:uri="urn:schemas-microsoft-com:office:smarttags" w:element="State">
        <w:r w:rsidRPr="00F80DD7">
          <w:t>Ark.</w:t>
        </w:r>
      </w:smartTag>
      <w:r w:rsidRPr="00F80DD7">
        <w:t xml:space="preserve">; </w:t>
      </w:r>
      <w:smartTag w:uri="urn:schemas-microsoft-com:office:smarttags" w:element="City">
        <w:r w:rsidRPr="00F80DD7">
          <w:t>Miami</w:t>
        </w:r>
      </w:smartTag>
      <w:r w:rsidRPr="00F80DD7">
        <w:t xml:space="preserve">; northern </w:t>
      </w:r>
      <w:smartTag w:uri="urn:schemas-microsoft-com:office:smarttags" w:element="State">
        <w:r w:rsidRPr="00F80DD7">
          <w:t>New Jersey</w:t>
        </w:r>
      </w:smartTag>
      <w:r w:rsidRPr="00F80DD7">
        <w:t xml:space="preserve">; </w:t>
      </w:r>
      <w:smartTag w:uri="urn:schemas-microsoft-com:office:smarttags" w:element="City">
        <w:r w:rsidRPr="00F80DD7">
          <w:t>Orange County</w:t>
        </w:r>
      </w:smartTag>
      <w:r w:rsidRPr="00F80DD7">
        <w:t xml:space="preserve">, </w:t>
      </w:r>
      <w:smartTag w:uri="urn:schemas-microsoft-com:office:smarttags" w:element="State">
        <w:r w:rsidRPr="00F80DD7">
          <w:t>Calif.</w:t>
        </w:r>
      </w:smartTag>
      <w:r w:rsidRPr="00F80DD7">
        <w:t xml:space="preserve">; </w:t>
      </w:r>
      <w:smartTag w:uri="urn:schemas-microsoft-com:office:smarttags" w:element="City">
        <w:r w:rsidRPr="00F80DD7">
          <w:t>Phoe</w:t>
        </w:r>
        <w:r>
          <w:t>nix</w:t>
        </w:r>
      </w:smartTag>
      <w:r>
        <w:t xml:space="preserve">; </w:t>
      </w:r>
      <w:smartTag w:uri="urn:schemas-microsoft-com:office:smarttags" w:element="City">
        <w:r>
          <w:t>Seattle</w:t>
        </w:r>
      </w:smartTag>
      <w:r>
        <w:t xml:space="preserve">; and </w:t>
      </w:r>
      <w:smartTag w:uri="urn:schemas-microsoft-com:office:smarttags" w:element="place">
        <w:smartTag w:uri="urn:schemas-microsoft-com:office:smarttags" w:element="City">
          <w:r>
            <w:t>Syracuse</w:t>
          </w:r>
        </w:smartTag>
        <w:r>
          <w:t xml:space="preserve">, </w:t>
        </w:r>
        <w:smartTag w:uri="urn:schemas-microsoft-com:office:smarttags" w:element="State">
          <w:r>
            <w:t>N.Y.</w:t>
          </w:r>
        </w:smartTag>
      </w:smartTag>
      <w:r w:rsidRPr="00D941B8">
        <w:t xml:space="preserve"> </w:t>
      </w:r>
      <w:r>
        <w:t>(</w:t>
      </w:r>
      <w:r w:rsidRPr="002365C9">
        <w:t>Center for Studying Health System Change</w:t>
      </w:r>
      <w:r>
        <w:t xml:space="preserve"> 2007). State e-prescribing regulations vary across the </w:t>
      </w:r>
      <w:r w:rsidR="005C4954">
        <w:t xml:space="preserve">12 </w:t>
      </w:r>
      <w:r>
        <w:t xml:space="preserve">markets as does the relative market shares of different local, regional and national pharmacies. </w:t>
      </w:r>
    </w:p>
    <w:p w:rsidR="007B77EF" w:rsidRDefault="007B77EF" w:rsidP="007B77EF"/>
    <w:p w:rsidR="007B77EF" w:rsidRDefault="007B77EF" w:rsidP="007B77EF">
      <w:r>
        <w:t xml:space="preserve">Eligible physician practices in the CTS communities will be identified from three sources: (1) physician practices identified as having an electronic health record or e-prescribing system in earlier studies conducted by AHRQ’s contractor, the Center for Studying Health System Change (HSC) or by current CTS site visit contacts; (2) Surescripts, which has a </w:t>
      </w:r>
      <w:r w:rsidR="005C4954">
        <w:t>W</w:t>
      </w:r>
      <w:r>
        <w:t>eb</w:t>
      </w:r>
      <w:r w:rsidR="0025503A">
        <w:t xml:space="preserve"> </w:t>
      </w:r>
      <w:r>
        <w:t>site that identifies the names and addresses of physicians who transmit prescriptions electronically via the Surescripts electronic prescription routing network, which is the largest in the United States;</w:t>
      </w:r>
      <w:r w:rsidR="00EC7A8F">
        <w:t xml:space="preserve"> and,</w:t>
      </w:r>
      <w:r>
        <w:t xml:space="preserve"> (3) other physician practices, pharmacies or pharmacy organizations participating in the study. Physician practices will be selected for the study purposively from among eligible practices to vary in size and specialty. </w:t>
      </w:r>
    </w:p>
    <w:p w:rsidR="007B77EF" w:rsidRDefault="007B77EF" w:rsidP="007B77EF"/>
    <w:p w:rsidR="007B77EF" w:rsidRDefault="007B77EF" w:rsidP="007B77EF">
      <w:r>
        <w:t xml:space="preserve">Eligible pharmacies will be identified from three sources as well: (1) state pharmacy associations, which represent community pharmacists; (2) the Surescripts </w:t>
      </w:r>
      <w:r w:rsidR="005C4954">
        <w:t>W</w:t>
      </w:r>
      <w:r>
        <w:t>eb</w:t>
      </w:r>
      <w:r w:rsidR="0025503A">
        <w:t xml:space="preserve"> </w:t>
      </w:r>
      <w:r>
        <w:t xml:space="preserve">site, which also lists names and addresses of pharmacies participating in the Surescripts network; and (3) other pharmacies and physician practices participating in the study. Pharmacies will be selected for the study purposively from among eligible pharmacies to vary in size and affiliation with local, regional or national pharmacy companies. </w:t>
      </w:r>
    </w:p>
    <w:p w:rsidR="007B77EF" w:rsidRDefault="007B77EF" w:rsidP="007B77EF"/>
    <w:p w:rsidR="007B77EF" w:rsidRDefault="007B77EF" w:rsidP="007B77EF">
      <w:r>
        <w:t xml:space="preserve">Other pharmacy respondent organizations include mail-order pharmacies, which are typically regional or national; national pharmacy chain headquarters, to learn about company-wide e-prescribing initiatives; and state pharmacy associations, which will provide a market perspective on pharmacy experiences with e-prescribing as well as insights into relevant state regulatory issues. Interviews with representatives of vendor organizations will inform the study by providing a more technical understanding of the systems and databases being described by physician practices and pharmacies. Interviews with e-prescribing experts will provide overall expertise and contextual understanding of the study topics. </w:t>
      </w:r>
    </w:p>
    <w:p w:rsidR="0037460D" w:rsidRDefault="0037460D" w:rsidP="007B77EF"/>
    <w:p w:rsidR="007B77EF" w:rsidRDefault="006016BF" w:rsidP="007B77EF">
      <w:r w:rsidRPr="00CF2E24">
        <w:t>Exhibit 5</w:t>
      </w:r>
      <w:r w:rsidR="007B77EF" w:rsidRPr="00CF2E24">
        <w:t xml:space="preserve"> identifies</w:t>
      </w:r>
      <w:r w:rsidR="007B77EF">
        <w:t xml:space="preserve"> the individual respondent types within each type of organization and outlines the total number</w:t>
      </w:r>
      <w:r w:rsidR="00A22B6F">
        <w:t>s</w:t>
      </w:r>
      <w:r w:rsidR="007B77EF">
        <w:t xml:space="preserve"> of </w:t>
      </w:r>
      <w:r w:rsidR="00A22B6F">
        <w:t xml:space="preserve">individual </w:t>
      </w:r>
      <w:r w:rsidR="007B77EF">
        <w:t>respondent</w:t>
      </w:r>
      <w:r w:rsidR="00A22B6F">
        <w:t xml:space="preserve"> interviews</w:t>
      </w:r>
      <w:r w:rsidR="007B77EF">
        <w:t xml:space="preserve"> and respondent organizations in each category. </w:t>
      </w:r>
      <w:r w:rsidR="00A22B6F">
        <w:t>These two totals will not be equal because, w</w:t>
      </w:r>
      <w:r w:rsidR="007B77EF">
        <w:t xml:space="preserve">ithin each physician practice, </w:t>
      </w:r>
      <w:r w:rsidR="00A22B6F">
        <w:t xml:space="preserve">two </w:t>
      </w:r>
      <w:r w:rsidR="007B77EF">
        <w:t>interviews will be conducted</w:t>
      </w:r>
      <w:r w:rsidR="00A22B6F">
        <w:t>: one</w:t>
      </w:r>
      <w:r w:rsidR="007B77EF">
        <w:t xml:space="preserve"> with th</w:t>
      </w:r>
      <w:r w:rsidR="005C4954">
        <w:t>e medical director or physician-</w:t>
      </w:r>
      <w:r w:rsidR="007B77EF">
        <w:t xml:space="preserve">user best able to </w:t>
      </w:r>
      <w:r w:rsidR="005C4954">
        <w:t xml:space="preserve">describe </w:t>
      </w:r>
      <w:r w:rsidR="007B77EF">
        <w:t xml:space="preserve">practice processes </w:t>
      </w:r>
      <w:r w:rsidR="005C4954">
        <w:t xml:space="preserve">for </w:t>
      </w:r>
      <w:r w:rsidR="007B77EF">
        <w:t>e-prescribing</w:t>
      </w:r>
      <w:r w:rsidR="00A22B6F">
        <w:t xml:space="preserve">, who will </w:t>
      </w:r>
      <w:r w:rsidR="007B77EF">
        <w:t xml:space="preserve"> provide a clinical perspective, and </w:t>
      </w:r>
      <w:r w:rsidR="00A22B6F">
        <w:t xml:space="preserve">a second with </w:t>
      </w:r>
      <w:r w:rsidR="007B77EF">
        <w:t>an IT administrator or office manager, who can provide a technical and operational perspective. While there will be some overlap in terms of the broad open-ended questions asked of these two types of</w:t>
      </w:r>
      <w:r w:rsidR="005C4954">
        <w:t xml:space="preserve"> </w:t>
      </w:r>
      <w:r w:rsidR="007B77EF">
        <w:t>respondents, substantially different information wil</w:t>
      </w:r>
      <w:r w:rsidR="005C4954">
        <w:t>l be collected from each</w:t>
      </w:r>
      <w:r w:rsidR="007B77EF">
        <w:t xml:space="preserve">. </w:t>
      </w:r>
      <w:r w:rsidR="00492E2B">
        <w:t xml:space="preserve">In </w:t>
      </w:r>
      <w:r w:rsidR="0043529C">
        <w:t>each of the</w:t>
      </w:r>
      <w:r w:rsidR="00492E2B">
        <w:t xml:space="preserve"> other organizations, only one respondent will be interviewed. </w:t>
      </w:r>
      <w:r w:rsidR="007B77EF">
        <w:t>In retail and mail-order pharmacies, the pharmacist-in-charge, who may also be the owner</w:t>
      </w:r>
      <w:r w:rsidR="007B77EF" w:rsidRPr="0072083B">
        <w:t xml:space="preserve"> </w:t>
      </w:r>
      <w:r w:rsidR="007B77EF">
        <w:t>in small pharmacies</w:t>
      </w:r>
      <w:r w:rsidR="00492E2B">
        <w:t>, will be interviewed</w:t>
      </w:r>
      <w:r w:rsidR="007B77EF">
        <w:t>. In the other respondent organizations, the individua</w:t>
      </w:r>
      <w:r w:rsidR="005C4954">
        <w:t>l most familiar with e-</w:t>
      </w:r>
      <w:r w:rsidR="007B77EF">
        <w:t xml:space="preserve">prescribing will be interviewed. </w:t>
      </w:r>
    </w:p>
    <w:p w:rsidR="006016BF" w:rsidRDefault="006016BF" w:rsidP="007B77EF"/>
    <w:p w:rsidR="006016BF" w:rsidRPr="00052C7D" w:rsidRDefault="006016BF" w:rsidP="007B77EF">
      <w:pPr>
        <w:rPr>
          <w:b/>
        </w:rPr>
      </w:pPr>
      <w:r w:rsidRPr="00CF2E24">
        <w:rPr>
          <w:b/>
        </w:rPr>
        <w:t>Exhibit 5. Target Respondent Organizations and Individual Respondent Types</w:t>
      </w:r>
    </w:p>
    <w:tbl>
      <w:tblPr>
        <w:tblpPr w:leftFromText="180" w:rightFromText="180" w:vertAnchor="text" w:horzAnchor="margin" w:tblpXSpec="center" w:tblpY="158"/>
        <w:tblW w:w="8700" w:type="dxa"/>
        <w:tblLayout w:type="fixed"/>
        <w:tblCellMar>
          <w:left w:w="0" w:type="dxa"/>
          <w:right w:w="0" w:type="dxa"/>
        </w:tblCellMar>
        <w:tblLook w:val="0000"/>
      </w:tblPr>
      <w:tblGrid>
        <w:gridCol w:w="2880"/>
        <w:gridCol w:w="1725"/>
        <w:gridCol w:w="2865"/>
        <w:gridCol w:w="1230"/>
      </w:tblGrid>
      <w:tr w:rsidR="00AE2194" w:rsidTr="009078D0">
        <w:trPr>
          <w:trHeight w:val="51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F36DF9" w:rsidRDefault="00AE2194" w:rsidP="009078D0">
            <w:pPr>
              <w:spacing w:before="40"/>
              <w:jc w:val="center"/>
              <w:rPr>
                <w:b/>
                <w:bCs/>
                <w:sz w:val="20"/>
              </w:rPr>
            </w:pPr>
            <w:r>
              <w:rPr>
                <w:b/>
                <w:bCs/>
                <w:sz w:val="20"/>
              </w:rPr>
              <w:t>Organization Type</w:t>
            </w:r>
          </w:p>
        </w:tc>
        <w:tc>
          <w:tcPr>
            <w:tcW w:w="1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F36DF9" w:rsidRDefault="00AE2194" w:rsidP="009078D0">
            <w:pPr>
              <w:spacing w:before="40"/>
              <w:jc w:val="center"/>
              <w:rPr>
                <w:b/>
                <w:bCs/>
                <w:sz w:val="20"/>
              </w:rPr>
            </w:pPr>
            <w:r>
              <w:rPr>
                <w:b/>
                <w:bCs/>
                <w:sz w:val="20"/>
              </w:rPr>
              <w:t>Number of Organizations</w:t>
            </w:r>
          </w:p>
        </w:tc>
        <w:tc>
          <w:tcPr>
            <w:tcW w:w="2865" w:type="dxa"/>
            <w:tcBorders>
              <w:top w:val="single" w:sz="4" w:space="0" w:color="auto"/>
              <w:left w:val="single" w:sz="4" w:space="0" w:color="auto"/>
              <w:bottom w:val="single" w:sz="6" w:space="0" w:color="auto"/>
              <w:right w:val="single" w:sz="4" w:space="0" w:color="auto"/>
            </w:tcBorders>
            <w:vAlign w:val="center"/>
          </w:tcPr>
          <w:p w:rsidR="00AE2194" w:rsidRPr="0009198B" w:rsidRDefault="00AE2194" w:rsidP="009078D0">
            <w:pPr>
              <w:spacing w:before="40"/>
              <w:ind w:left="-105"/>
              <w:jc w:val="center"/>
              <w:rPr>
                <w:b/>
                <w:bCs/>
                <w:sz w:val="20"/>
              </w:rPr>
            </w:pPr>
            <w:r>
              <w:rPr>
                <w:b/>
                <w:bCs/>
                <w:sz w:val="20"/>
              </w:rPr>
              <w:t>Individual Respondent Types</w:t>
            </w:r>
          </w:p>
        </w:tc>
        <w:tc>
          <w:tcPr>
            <w:tcW w:w="1230" w:type="dxa"/>
            <w:tcBorders>
              <w:top w:val="single" w:sz="4" w:space="0" w:color="auto"/>
              <w:left w:val="single" w:sz="4" w:space="0" w:color="auto"/>
              <w:bottom w:val="single" w:sz="6" w:space="0" w:color="auto"/>
              <w:right w:val="single" w:sz="4" w:space="0" w:color="auto"/>
            </w:tcBorders>
            <w:tcMar>
              <w:top w:w="15" w:type="dxa"/>
              <w:left w:w="15" w:type="dxa"/>
              <w:bottom w:w="0" w:type="dxa"/>
              <w:right w:w="15" w:type="dxa"/>
            </w:tcMar>
            <w:vAlign w:val="center"/>
          </w:tcPr>
          <w:p w:rsidR="00AE2194" w:rsidRPr="0009198B" w:rsidRDefault="00AE2194" w:rsidP="009078D0">
            <w:pPr>
              <w:spacing w:before="40"/>
              <w:ind w:left="-105"/>
              <w:jc w:val="center"/>
              <w:rPr>
                <w:b/>
                <w:bCs/>
                <w:sz w:val="20"/>
              </w:rPr>
            </w:pPr>
            <w:r w:rsidRPr="0009198B">
              <w:rPr>
                <w:b/>
                <w:bCs/>
                <w:sz w:val="20"/>
              </w:rPr>
              <w:t xml:space="preserve">Number of </w:t>
            </w:r>
            <w:r>
              <w:rPr>
                <w:b/>
                <w:bCs/>
                <w:sz w:val="20"/>
              </w:rPr>
              <w:t>Respondent Interviews</w:t>
            </w:r>
          </w:p>
        </w:tc>
      </w:tr>
      <w:tr w:rsidR="00AE2194" w:rsidTr="009078D0">
        <w:trPr>
          <w:cantSplit/>
          <w:trHeight w:val="416"/>
        </w:trPr>
        <w:tc>
          <w:tcPr>
            <w:tcW w:w="288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AE2194" w:rsidRPr="00551AEF" w:rsidRDefault="00AE2194" w:rsidP="009078D0">
            <w:pPr>
              <w:spacing w:before="40"/>
              <w:ind w:left="30"/>
              <w:jc w:val="center"/>
              <w:rPr>
                <w:b/>
                <w:bCs/>
                <w:sz w:val="20"/>
                <w:highlight w:val="lightGray"/>
              </w:rPr>
            </w:pPr>
            <w:r w:rsidRPr="00551AEF">
              <w:rPr>
                <w:b/>
                <w:bCs/>
                <w:sz w:val="20"/>
              </w:rPr>
              <w:t>PHYSICIAN PRACTICES</w:t>
            </w:r>
          </w:p>
        </w:tc>
        <w:tc>
          <w:tcPr>
            <w:tcW w:w="1725" w:type="dxa"/>
            <w:tcBorders>
              <w:top w:val="single" w:sz="4" w:space="0" w:color="auto"/>
              <w:left w:val="single" w:sz="4" w:space="0" w:color="auto"/>
              <w:bottom w:val="single" w:sz="4" w:space="0" w:color="auto"/>
              <w:right w:val="single" w:sz="6" w:space="0" w:color="auto"/>
            </w:tcBorders>
            <w:shd w:val="clear" w:color="auto" w:fill="D9D9D9"/>
            <w:tcMar>
              <w:top w:w="15" w:type="dxa"/>
              <w:left w:w="15" w:type="dxa"/>
              <w:bottom w:w="0" w:type="dxa"/>
              <w:right w:w="15" w:type="dxa"/>
            </w:tcMar>
            <w:vAlign w:val="center"/>
          </w:tcPr>
          <w:p w:rsidR="00AE2194" w:rsidRPr="00551AEF" w:rsidRDefault="00217DA0" w:rsidP="009078D0">
            <w:pPr>
              <w:ind w:firstLine="16"/>
              <w:jc w:val="center"/>
              <w:rPr>
                <w:bCs/>
                <w:sz w:val="18"/>
                <w:szCs w:val="18"/>
                <w:highlight w:val="lightGray"/>
              </w:rPr>
            </w:pPr>
            <w:r>
              <w:rPr>
                <w:bCs/>
                <w:sz w:val="18"/>
                <w:szCs w:val="18"/>
                <w:highlight w:val="lightGray"/>
              </w:rPr>
              <w:t>24</w:t>
            </w:r>
          </w:p>
        </w:tc>
        <w:tc>
          <w:tcPr>
            <w:tcW w:w="2865" w:type="dxa"/>
            <w:tcBorders>
              <w:top w:val="single" w:sz="6" w:space="0" w:color="auto"/>
              <w:left w:val="single" w:sz="6" w:space="0" w:color="auto"/>
              <w:bottom w:val="single" w:sz="6" w:space="0" w:color="auto"/>
              <w:right w:val="single" w:sz="6" w:space="0" w:color="auto"/>
            </w:tcBorders>
            <w:shd w:val="clear" w:color="auto" w:fill="D9D9D9"/>
            <w:vAlign w:val="center"/>
          </w:tcPr>
          <w:p w:rsidR="00AE2194" w:rsidRPr="00F36DF9" w:rsidRDefault="00AE2194" w:rsidP="009078D0">
            <w:pPr>
              <w:spacing w:before="40"/>
              <w:jc w:val="center"/>
              <w:rPr>
                <w:b/>
                <w:sz w:val="20"/>
              </w:rPr>
            </w:pPr>
          </w:p>
        </w:tc>
        <w:tc>
          <w:tcPr>
            <w:tcW w:w="1230" w:type="dxa"/>
            <w:tcBorders>
              <w:top w:val="single" w:sz="6" w:space="0" w:color="auto"/>
              <w:left w:val="single" w:sz="6" w:space="0" w:color="auto"/>
              <w:bottom w:val="single" w:sz="6" w:space="0" w:color="auto"/>
              <w:right w:val="single" w:sz="6" w:space="0" w:color="auto"/>
            </w:tcBorders>
            <w:shd w:val="clear" w:color="auto" w:fill="D9D9D9"/>
            <w:tcMar>
              <w:top w:w="15" w:type="dxa"/>
              <w:left w:w="15" w:type="dxa"/>
              <w:bottom w:w="0" w:type="dxa"/>
              <w:right w:w="15" w:type="dxa"/>
            </w:tcMar>
            <w:vAlign w:val="center"/>
          </w:tcPr>
          <w:p w:rsidR="00AE2194" w:rsidRPr="00F36DF9" w:rsidRDefault="00AE2194" w:rsidP="009078D0">
            <w:pPr>
              <w:spacing w:before="40"/>
              <w:jc w:val="center"/>
              <w:rPr>
                <w:b/>
                <w:sz w:val="20"/>
                <w:highlight w:val="lightGray"/>
              </w:rPr>
            </w:pPr>
            <w:r w:rsidRPr="00F36DF9">
              <w:rPr>
                <w:b/>
                <w:sz w:val="20"/>
              </w:rPr>
              <w:t>48</w:t>
            </w:r>
          </w:p>
        </w:tc>
      </w:tr>
      <w:tr w:rsidR="00AE2194" w:rsidTr="009078D0">
        <w:trPr>
          <w:cantSplit/>
          <w:trHeight w:val="326"/>
        </w:trPr>
        <w:tc>
          <w:tcPr>
            <w:tcW w:w="2880"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AE2194" w:rsidRPr="00551AEF" w:rsidRDefault="00AE2194" w:rsidP="009078D0">
            <w:pPr>
              <w:spacing w:before="40"/>
              <w:ind w:left="30"/>
              <w:rPr>
                <w:b/>
                <w:bCs/>
                <w:sz w:val="20"/>
              </w:rPr>
            </w:pPr>
            <w:r w:rsidRPr="00551AEF">
              <w:rPr>
                <w:b/>
                <w:bCs/>
                <w:sz w:val="20"/>
              </w:rPr>
              <w:t xml:space="preserve">Physician practices </w:t>
            </w:r>
          </w:p>
        </w:tc>
        <w:tc>
          <w:tcPr>
            <w:tcW w:w="1725" w:type="dxa"/>
            <w:vMerge w:val="restart"/>
            <w:tcBorders>
              <w:top w:val="single" w:sz="4" w:space="0" w:color="auto"/>
              <w:left w:val="single" w:sz="4" w:space="0" w:color="auto"/>
              <w:right w:val="single" w:sz="6" w:space="0" w:color="auto"/>
            </w:tcBorders>
            <w:tcMar>
              <w:top w:w="15" w:type="dxa"/>
              <w:left w:w="15" w:type="dxa"/>
              <w:bottom w:w="0" w:type="dxa"/>
              <w:right w:w="15" w:type="dxa"/>
            </w:tcMar>
            <w:vAlign w:val="center"/>
          </w:tcPr>
          <w:p w:rsidR="00AE2194" w:rsidRPr="008970BE" w:rsidRDefault="00AE2194" w:rsidP="009078D0">
            <w:pPr>
              <w:jc w:val="center"/>
              <w:rPr>
                <w:bCs/>
                <w:sz w:val="18"/>
                <w:szCs w:val="18"/>
              </w:rPr>
            </w:pPr>
            <w:r w:rsidRPr="008970BE" w:rsidDel="00F01785">
              <w:rPr>
                <w:bCs/>
                <w:sz w:val="18"/>
                <w:szCs w:val="18"/>
              </w:rPr>
              <w:t>24 (2 per CTS site)</w:t>
            </w:r>
          </w:p>
        </w:tc>
        <w:tc>
          <w:tcPr>
            <w:tcW w:w="2865" w:type="dxa"/>
            <w:tcBorders>
              <w:top w:val="single" w:sz="6" w:space="0" w:color="auto"/>
              <w:left w:val="single" w:sz="6" w:space="0" w:color="auto"/>
              <w:bottom w:val="single" w:sz="4" w:space="0" w:color="auto"/>
              <w:right w:val="single" w:sz="6" w:space="0" w:color="auto"/>
            </w:tcBorders>
            <w:vAlign w:val="center"/>
          </w:tcPr>
          <w:p w:rsidR="00AE2194" w:rsidRPr="008970BE" w:rsidRDefault="00AE2194" w:rsidP="009078D0">
            <w:pPr>
              <w:spacing w:before="40"/>
              <w:rPr>
                <w:sz w:val="18"/>
                <w:szCs w:val="18"/>
              </w:rPr>
            </w:pPr>
            <w:r>
              <w:rPr>
                <w:sz w:val="18"/>
                <w:szCs w:val="18"/>
              </w:rPr>
              <w:t>IT Administrator or Office</w:t>
            </w:r>
            <w:r w:rsidRPr="008970BE">
              <w:rPr>
                <w:sz w:val="18"/>
                <w:szCs w:val="18"/>
              </w:rPr>
              <w:t xml:space="preserve"> </w:t>
            </w:r>
            <w:r>
              <w:rPr>
                <w:sz w:val="18"/>
                <w:szCs w:val="18"/>
              </w:rPr>
              <w:t>Manager</w:t>
            </w:r>
          </w:p>
        </w:tc>
        <w:tc>
          <w:tcPr>
            <w:tcW w:w="123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tcPr>
          <w:p w:rsidR="00AE2194" w:rsidRPr="008970BE" w:rsidRDefault="00AE2194" w:rsidP="009078D0">
            <w:pPr>
              <w:spacing w:before="40"/>
              <w:jc w:val="center"/>
              <w:rPr>
                <w:sz w:val="18"/>
                <w:szCs w:val="18"/>
              </w:rPr>
            </w:pPr>
            <w:r w:rsidRPr="008970BE">
              <w:rPr>
                <w:sz w:val="18"/>
                <w:szCs w:val="18"/>
              </w:rPr>
              <w:t>24</w:t>
            </w:r>
          </w:p>
        </w:tc>
      </w:tr>
      <w:tr w:rsidR="00AE2194" w:rsidTr="009078D0">
        <w:trPr>
          <w:cantSplit/>
          <w:trHeight w:val="159"/>
        </w:trPr>
        <w:tc>
          <w:tcPr>
            <w:tcW w:w="2880" w:type="dxa"/>
            <w:vMerge/>
            <w:tcBorders>
              <w:left w:val="single" w:sz="4" w:space="0" w:color="auto"/>
              <w:bottom w:val="single" w:sz="4" w:space="0" w:color="auto"/>
              <w:right w:val="single" w:sz="4" w:space="0" w:color="auto"/>
            </w:tcBorders>
            <w:vAlign w:val="center"/>
          </w:tcPr>
          <w:p w:rsidR="00AE2194" w:rsidRPr="00551AEF" w:rsidRDefault="00AE2194" w:rsidP="009078D0">
            <w:pPr>
              <w:jc w:val="center"/>
              <w:rPr>
                <w:rFonts w:eastAsia="Arial Unicode MS"/>
                <w:b/>
                <w:bCs/>
                <w:sz w:val="20"/>
              </w:rPr>
            </w:pPr>
          </w:p>
        </w:tc>
        <w:tc>
          <w:tcPr>
            <w:tcW w:w="1725" w:type="dxa"/>
            <w:vMerge/>
            <w:tcBorders>
              <w:top w:val="single" w:sz="4" w:space="0" w:color="auto"/>
              <w:left w:val="single" w:sz="4" w:space="0" w:color="auto"/>
              <w:bottom w:val="single" w:sz="4" w:space="0" w:color="000000"/>
              <w:right w:val="single" w:sz="4" w:space="0" w:color="auto"/>
            </w:tcBorders>
            <w:vAlign w:val="center"/>
          </w:tcPr>
          <w:p w:rsidR="00AE2194" w:rsidRPr="00F72E46" w:rsidRDefault="00AE2194" w:rsidP="009078D0">
            <w:pPr>
              <w:jc w:val="center"/>
              <w:rPr>
                <w:rFonts w:eastAsia="Arial Unicode MS"/>
              </w:rPr>
            </w:pPr>
          </w:p>
        </w:tc>
        <w:tc>
          <w:tcPr>
            <w:tcW w:w="2865" w:type="dxa"/>
            <w:tcBorders>
              <w:top w:val="single" w:sz="4" w:space="0" w:color="auto"/>
              <w:left w:val="nil"/>
              <w:bottom w:val="single" w:sz="4" w:space="0" w:color="auto"/>
              <w:right w:val="single" w:sz="4" w:space="0" w:color="auto"/>
            </w:tcBorders>
            <w:vAlign w:val="center"/>
          </w:tcPr>
          <w:p w:rsidR="00AE2194" w:rsidRPr="002E42F4" w:rsidRDefault="00AE2194" w:rsidP="009078D0">
            <w:pPr>
              <w:spacing w:before="40"/>
              <w:rPr>
                <w:sz w:val="18"/>
                <w:szCs w:val="18"/>
              </w:rPr>
            </w:pPr>
            <w:r w:rsidRPr="00BA4409">
              <w:rPr>
                <w:sz w:val="18"/>
                <w:szCs w:val="18"/>
              </w:rPr>
              <w:t xml:space="preserve">Medical </w:t>
            </w:r>
            <w:r>
              <w:rPr>
                <w:sz w:val="18"/>
                <w:szCs w:val="18"/>
              </w:rPr>
              <w:t>D</w:t>
            </w:r>
            <w:r w:rsidRPr="00BA4409">
              <w:rPr>
                <w:sz w:val="18"/>
                <w:szCs w:val="18"/>
              </w:rPr>
              <w:t xml:space="preserve">irector or </w:t>
            </w:r>
            <w:r>
              <w:rPr>
                <w:sz w:val="18"/>
                <w:szCs w:val="18"/>
              </w:rPr>
              <w:t>P</w:t>
            </w:r>
            <w:r w:rsidRPr="00BA4409">
              <w:rPr>
                <w:sz w:val="18"/>
                <w:szCs w:val="18"/>
              </w:rPr>
              <w:t xml:space="preserve">hysician </w:t>
            </w:r>
            <w:r>
              <w:rPr>
                <w:sz w:val="18"/>
                <w:szCs w:val="18"/>
              </w:rPr>
              <w:t>U</w:t>
            </w:r>
            <w:r w:rsidRPr="00BA4409">
              <w:rPr>
                <w:sz w:val="18"/>
                <w:szCs w:val="18"/>
              </w:rPr>
              <w:t>ser</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2E42F4" w:rsidRDefault="00AE2194" w:rsidP="009078D0">
            <w:pPr>
              <w:spacing w:before="40"/>
              <w:jc w:val="center"/>
              <w:rPr>
                <w:sz w:val="18"/>
                <w:szCs w:val="18"/>
              </w:rPr>
            </w:pPr>
            <w:r w:rsidRPr="002E42F4">
              <w:rPr>
                <w:sz w:val="18"/>
                <w:szCs w:val="18"/>
              </w:rPr>
              <w:t>24</w:t>
            </w:r>
          </w:p>
        </w:tc>
      </w:tr>
      <w:tr w:rsidR="00AE2194" w:rsidRPr="00551AEF" w:rsidTr="009078D0">
        <w:trPr>
          <w:trHeight w:val="417"/>
        </w:trPr>
        <w:tc>
          <w:tcPr>
            <w:tcW w:w="2880"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AE2194" w:rsidRPr="00551AEF" w:rsidRDefault="00AE2194" w:rsidP="009078D0">
            <w:pPr>
              <w:spacing w:before="40"/>
              <w:ind w:left="30"/>
              <w:jc w:val="center"/>
              <w:rPr>
                <w:b/>
                <w:bCs/>
                <w:sz w:val="20"/>
              </w:rPr>
            </w:pPr>
            <w:r w:rsidRPr="00551AEF">
              <w:rPr>
                <w:b/>
                <w:bCs/>
                <w:sz w:val="20"/>
              </w:rPr>
              <w:t>PHARMACY RESPONDENTS</w:t>
            </w:r>
          </w:p>
        </w:tc>
        <w:tc>
          <w:tcPr>
            <w:tcW w:w="1725" w:type="dxa"/>
            <w:tcBorders>
              <w:top w:val="nil"/>
              <w:left w:val="nil"/>
              <w:bottom w:val="single" w:sz="4" w:space="0" w:color="auto"/>
              <w:right w:val="single" w:sz="4" w:space="0" w:color="auto"/>
            </w:tcBorders>
            <w:shd w:val="clear" w:color="auto" w:fill="D9D9D9"/>
            <w:tcMar>
              <w:top w:w="15" w:type="dxa"/>
              <w:left w:w="15" w:type="dxa"/>
              <w:bottom w:w="0" w:type="dxa"/>
              <w:right w:w="15" w:type="dxa"/>
            </w:tcMar>
            <w:vAlign w:val="center"/>
          </w:tcPr>
          <w:p w:rsidR="00AE2194" w:rsidRPr="00551AEF" w:rsidRDefault="00AE2194" w:rsidP="009078D0">
            <w:pPr>
              <w:spacing w:before="40"/>
              <w:ind w:left="30"/>
              <w:jc w:val="center"/>
              <w:rPr>
                <w:b/>
                <w:bCs/>
                <w:sz w:val="20"/>
              </w:rPr>
            </w:pPr>
            <w:r>
              <w:rPr>
                <w:b/>
                <w:bCs/>
                <w:sz w:val="20"/>
              </w:rPr>
              <w:t>68</w:t>
            </w:r>
          </w:p>
        </w:tc>
        <w:tc>
          <w:tcPr>
            <w:tcW w:w="2865" w:type="dxa"/>
            <w:tcBorders>
              <w:top w:val="single" w:sz="4" w:space="0" w:color="auto"/>
              <w:left w:val="nil"/>
              <w:bottom w:val="single" w:sz="4" w:space="0" w:color="auto"/>
              <w:right w:val="single" w:sz="4" w:space="0" w:color="auto"/>
            </w:tcBorders>
            <w:shd w:val="clear" w:color="auto" w:fill="D9D9D9"/>
            <w:vAlign w:val="center"/>
          </w:tcPr>
          <w:p w:rsidR="00AE2194" w:rsidRPr="00F36DF9" w:rsidRDefault="00AE2194" w:rsidP="009078D0">
            <w:pPr>
              <w:spacing w:before="40"/>
              <w:ind w:left="30"/>
              <w:rPr>
                <w:b/>
                <w:bCs/>
                <w:sz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AE2194" w:rsidRPr="00F36DF9" w:rsidRDefault="00AE2194" w:rsidP="009078D0">
            <w:pPr>
              <w:spacing w:before="40"/>
              <w:ind w:left="30"/>
              <w:jc w:val="center"/>
              <w:rPr>
                <w:b/>
                <w:bCs/>
                <w:sz w:val="20"/>
              </w:rPr>
            </w:pPr>
            <w:r w:rsidRPr="00F36DF9">
              <w:rPr>
                <w:b/>
                <w:bCs/>
                <w:sz w:val="20"/>
              </w:rPr>
              <w:t>68</w:t>
            </w:r>
          </w:p>
        </w:tc>
      </w:tr>
      <w:tr w:rsidR="00AE2194" w:rsidTr="009078D0">
        <w:trPr>
          <w:trHeight w:val="417"/>
        </w:trPr>
        <w:tc>
          <w:tcPr>
            <w:tcW w:w="28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8970BE" w:rsidRDefault="00AE2194" w:rsidP="009078D0">
            <w:pPr>
              <w:spacing w:before="40"/>
              <w:ind w:left="30"/>
              <w:rPr>
                <w:b/>
                <w:bCs/>
                <w:sz w:val="20"/>
              </w:rPr>
            </w:pPr>
            <w:r w:rsidRPr="008970BE">
              <w:rPr>
                <w:b/>
                <w:bCs/>
                <w:sz w:val="20"/>
              </w:rPr>
              <w:t>Retail pharmacies</w:t>
            </w:r>
            <w:r>
              <w:rPr>
                <w:b/>
                <w:bCs/>
                <w:sz w:val="20"/>
              </w:rPr>
              <w:t xml:space="preserve"> </w:t>
            </w:r>
          </w:p>
        </w:tc>
        <w:tc>
          <w:tcPr>
            <w:tcW w:w="1725" w:type="dxa"/>
            <w:tcBorders>
              <w:top w:val="nil"/>
              <w:left w:val="nil"/>
              <w:bottom w:val="single" w:sz="4" w:space="0" w:color="auto"/>
              <w:right w:val="single" w:sz="4" w:space="0" w:color="auto"/>
            </w:tcBorders>
            <w:tcMar>
              <w:top w:w="15" w:type="dxa"/>
              <w:left w:w="15" w:type="dxa"/>
              <w:bottom w:w="0" w:type="dxa"/>
              <w:right w:w="15" w:type="dxa"/>
            </w:tcMar>
            <w:vAlign w:val="center"/>
          </w:tcPr>
          <w:p w:rsidR="00AE2194" w:rsidRDefault="00AE2194" w:rsidP="009078D0">
            <w:pPr>
              <w:spacing w:before="40"/>
              <w:ind w:firstLine="16"/>
              <w:jc w:val="center"/>
              <w:rPr>
                <w:sz w:val="18"/>
                <w:szCs w:val="18"/>
              </w:rPr>
            </w:pPr>
            <w:r w:rsidRPr="00BA4409">
              <w:rPr>
                <w:sz w:val="18"/>
                <w:szCs w:val="18"/>
              </w:rPr>
              <w:t xml:space="preserve">48  </w:t>
            </w:r>
          </w:p>
          <w:p w:rsidR="00AE2194" w:rsidRPr="00BA4409" w:rsidRDefault="00AE2194" w:rsidP="009078D0">
            <w:pPr>
              <w:spacing w:before="40"/>
              <w:ind w:firstLine="16"/>
              <w:jc w:val="center"/>
              <w:rPr>
                <w:bCs/>
                <w:sz w:val="18"/>
                <w:szCs w:val="18"/>
              </w:rPr>
            </w:pPr>
            <w:r w:rsidRPr="00BA4409">
              <w:rPr>
                <w:sz w:val="18"/>
                <w:szCs w:val="18"/>
              </w:rPr>
              <w:t>(4 per CTS site)</w:t>
            </w:r>
          </w:p>
        </w:tc>
        <w:tc>
          <w:tcPr>
            <w:tcW w:w="2865" w:type="dxa"/>
            <w:tcBorders>
              <w:top w:val="single" w:sz="4" w:space="0" w:color="auto"/>
              <w:left w:val="nil"/>
              <w:bottom w:val="single" w:sz="4" w:space="0" w:color="auto"/>
              <w:right w:val="single" w:sz="4" w:space="0" w:color="auto"/>
            </w:tcBorders>
            <w:vAlign w:val="center"/>
          </w:tcPr>
          <w:p w:rsidR="00AE2194" w:rsidRPr="00BA4409" w:rsidRDefault="00AE2194" w:rsidP="009078D0">
            <w:pPr>
              <w:spacing w:before="40"/>
              <w:ind w:firstLine="16"/>
              <w:rPr>
                <w:sz w:val="18"/>
                <w:szCs w:val="18"/>
              </w:rPr>
            </w:pPr>
            <w:r w:rsidRPr="00BA4409">
              <w:rPr>
                <w:rFonts w:eastAsia="Arial Unicode MS"/>
                <w:sz w:val="18"/>
                <w:szCs w:val="18"/>
              </w:rPr>
              <w:t>Pharmacist</w:t>
            </w:r>
            <w:r>
              <w:rPr>
                <w:rFonts w:eastAsia="Arial Unicode MS"/>
                <w:sz w:val="18"/>
                <w:szCs w:val="18"/>
              </w:rPr>
              <w:t xml:space="preserve">-In-Charge  </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BA4409" w:rsidRDefault="00AE2194" w:rsidP="009078D0">
            <w:pPr>
              <w:spacing w:before="40"/>
              <w:ind w:firstLine="16"/>
              <w:jc w:val="center"/>
              <w:rPr>
                <w:bCs/>
                <w:sz w:val="18"/>
                <w:szCs w:val="18"/>
              </w:rPr>
            </w:pPr>
            <w:r w:rsidRPr="00BA4409">
              <w:rPr>
                <w:sz w:val="18"/>
                <w:szCs w:val="18"/>
              </w:rPr>
              <w:t>48</w:t>
            </w:r>
          </w:p>
        </w:tc>
      </w:tr>
      <w:tr w:rsidR="00AE2194" w:rsidTr="009078D0">
        <w:trPr>
          <w:trHeight w:val="453"/>
        </w:trPr>
        <w:tc>
          <w:tcPr>
            <w:tcW w:w="28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Default="00AE2194" w:rsidP="009078D0">
            <w:pPr>
              <w:spacing w:before="40"/>
              <w:ind w:left="30"/>
              <w:rPr>
                <w:b/>
                <w:bCs/>
                <w:sz w:val="20"/>
              </w:rPr>
            </w:pPr>
            <w:r>
              <w:rPr>
                <w:b/>
                <w:bCs/>
                <w:sz w:val="20"/>
              </w:rPr>
              <w:t>M</w:t>
            </w:r>
            <w:r w:rsidRPr="008970BE">
              <w:rPr>
                <w:b/>
                <w:bCs/>
                <w:sz w:val="20"/>
              </w:rPr>
              <w:t>a</w:t>
            </w:r>
            <w:r>
              <w:rPr>
                <w:b/>
                <w:bCs/>
                <w:sz w:val="20"/>
              </w:rPr>
              <w:t xml:space="preserve">il order pharmacies and </w:t>
            </w:r>
            <w:r w:rsidRPr="008970BE">
              <w:rPr>
                <w:b/>
                <w:bCs/>
                <w:sz w:val="20"/>
              </w:rPr>
              <w:t xml:space="preserve"> </w:t>
            </w:r>
            <w:r>
              <w:rPr>
                <w:b/>
                <w:bCs/>
                <w:sz w:val="20"/>
              </w:rPr>
              <w:t>p</w:t>
            </w:r>
            <w:r w:rsidRPr="008970BE">
              <w:rPr>
                <w:b/>
                <w:bCs/>
                <w:sz w:val="20"/>
              </w:rPr>
              <w:t>harmacy chain</w:t>
            </w:r>
            <w:r>
              <w:rPr>
                <w:b/>
                <w:bCs/>
                <w:sz w:val="20"/>
              </w:rPr>
              <w:t xml:space="preserve"> headquarters</w:t>
            </w:r>
          </w:p>
        </w:tc>
        <w:tc>
          <w:tcPr>
            <w:tcW w:w="1725" w:type="dxa"/>
            <w:tcBorders>
              <w:top w:val="nil"/>
              <w:left w:val="nil"/>
              <w:bottom w:val="single" w:sz="4" w:space="0" w:color="auto"/>
              <w:right w:val="single" w:sz="4" w:space="0" w:color="auto"/>
            </w:tcBorders>
            <w:tcMar>
              <w:top w:w="15" w:type="dxa"/>
              <w:left w:w="15" w:type="dxa"/>
              <w:bottom w:w="0" w:type="dxa"/>
              <w:right w:w="15" w:type="dxa"/>
            </w:tcMar>
            <w:vAlign w:val="center"/>
          </w:tcPr>
          <w:p w:rsidR="00AE2194" w:rsidRDefault="00AE2194" w:rsidP="009078D0">
            <w:pPr>
              <w:spacing w:before="40"/>
              <w:jc w:val="center"/>
              <w:rPr>
                <w:bCs/>
                <w:sz w:val="18"/>
                <w:szCs w:val="18"/>
              </w:rPr>
            </w:pPr>
            <w:r>
              <w:rPr>
                <w:bCs/>
                <w:sz w:val="18"/>
                <w:szCs w:val="18"/>
              </w:rPr>
              <w:t xml:space="preserve">8 </w:t>
            </w:r>
          </w:p>
          <w:p w:rsidR="00AE2194" w:rsidRPr="00BA4409" w:rsidRDefault="00AE2194" w:rsidP="009078D0">
            <w:pPr>
              <w:spacing w:before="40"/>
              <w:jc w:val="center"/>
              <w:rPr>
                <w:bCs/>
                <w:sz w:val="18"/>
                <w:szCs w:val="18"/>
              </w:rPr>
            </w:pPr>
            <w:r>
              <w:rPr>
                <w:bCs/>
                <w:sz w:val="18"/>
                <w:szCs w:val="18"/>
              </w:rPr>
              <w:t>(</w:t>
            </w:r>
            <w:r w:rsidRPr="00BA4409">
              <w:rPr>
                <w:bCs/>
                <w:sz w:val="18"/>
                <w:szCs w:val="18"/>
              </w:rPr>
              <w:t>National/regional</w:t>
            </w:r>
            <w:r>
              <w:rPr>
                <w:bCs/>
                <w:sz w:val="18"/>
                <w:szCs w:val="18"/>
              </w:rPr>
              <w:t>)</w:t>
            </w:r>
          </w:p>
        </w:tc>
        <w:tc>
          <w:tcPr>
            <w:tcW w:w="2865" w:type="dxa"/>
            <w:tcBorders>
              <w:top w:val="single" w:sz="4" w:space="0" w:color="auto"/>
              <w:left w:val="nil"/>
              <w:bottom w:val="single" w:sz="4" w:space="0" w:color="auto"/>
              <w:right w:val="single" w:sz="4" w:space="0" w:color="auto"/>
            </w:tcBorders>
            <w:vAlign w:val="center"/>
          </w:tcPr>
          <w:p w:rsidR="00AE2194" w:rsidRDefault="00AE2194" w:rsidP="009078D0">
            <w:pPr>
              <w:spacing w:before="40"/>
              <w:rPr>
                <w:bCs/>
                <w:sz w:val="18"/>
                <w:szCs w:val="18"/>
              </w:rPr>
            </w:pPr>
            <w:r w:rsidRPr="00BA4409">
              <w:rPr>
                <w:rFonts w:eastAsia="Arial Unicode MS"/>
                <w:sz w:val="18"/>
                <w:szCs w:val="18"/>
              </w:rPr>
              <w:t>Pharmacist</w:t>
            </w:r>
            <w:r>
              <w:rPr>
                <w:rFonts w:eastAsia="Arial Unicode MS"/>
                <w:sz w:val="18"/>
                <w:szCs w:val="18"/>
              </w:rPr>
              <w:t>-In-Charge</w:t>
            </w:r>
            <w:r>
              <w:rPr>
                <w:bCs/>
                <w:sz w:val="18"/>
                <w:szCs w:val="18"/>
              </w:rPr>
              <w:t xml:space="preserve"> or representative most knowledgeable about e-prescribing</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BA4409" w:rsidRDefault="00AE2194" w:rsidP="009078D0">
            <w:pPr>
              <w:spacing w:before="40"/>
              <w:jc w:val="center"/>
              <w:rPr>
                <w:bCs/>
                <w:sz w:val="18"/>
                <w:szCs w:val="18"/>
              </w:rPr>
            </w:pPr>
            <w:r>
              <w:rPr>
                <w:bCs/>
                <w:sz w:val="18"/>
                <w:szCs w:val="18"/>
              </w:rPr>
              <w:t>8</w:t>
            </w:r>
          </w:p>
        </w:tc>
      </w:tr>
      <w:tr w:rsidR="00AE2194" w:rsidTr="009078D0">
        <w:trPr>
          <w:trHeight w:val="453"/>
        </w:trPr>
        <w:tc>
          <w:tcPr>
            <w:tcW w:w="28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8970BE" w:rsidRDefault="00AE2194" w:rsidP="009078D0">
            <w:pPr>
              <w:spacing w:before="40"/>
              <w:ind w:left="30"/>
              <w:rPr>
                <w:b/>
                <w:bCs/>
                <w:sz w:val="20"/>
              </w:rPr>
            </w:pPr>
            <w:r>
              <w:rPr>
                <w:b/>
                <w:bCs/>
                <w:sz w:val="20"/>
              </w:rPr>
              <w:t>S</w:t>
            </w:r>
            <w:r w:rsidRPr="008970BE">
              <w:rPr>
                <w:b/>
                <w:bCs/>
                <w:sz w:val="20"/>
              </w:rPr>
              <w:t>tate</w:t>
            </w:r>
            <w:r>
              <w:rPr>
                <w:b/>
                <w:bCs/>
                <w:sz w:val="20"/>
              </w:rPr>
              <w:t xml:space="preserve"> </w:t>
            </w:r>
            <w:r w:rsidRPr="008970BE">
              <w:rPr>
                <w:b/>
                <w:bCs/>
                <w:sz w:val="20"/>
              </w:rPr>
              <w:t>pharma</w:t>
            </w:r>
            <w:r>
              <w:rPr>
                <w:b/>
                <w:bCs/>
                <w:sz w:val="20"/>
              </w:rPr>
              <w:t>cy</w:t>
            </w:r>
            <w:r w:rsidRPr="008970BE">
              <w:rPr>
                <w:b/>
                <w:bCs/>
                <w:sz w:val="20"/>
              </w:rPr>
              <w:t xml:space="preserve"> </w:t>
            </w:r>
            <w:r>
              <w:rPr>
                <w:b/>
                <w:bCs/>
                <w:sz w:val="20"/>
              </w:rPr>
              <w:t>a</w:t>
            </w:r>
            <w:r w:rsidRPr="008970BE">
              <w:rPr>
                <w:b/>
                <w:bCs/>
                <w:sz w:val="20"/>
              </w:rPr>
              <w:t>ssociation</w:t>
            </w:r>
            <w:r>
              <w:rPr>
                <w:b/>
                <w:bCs/>
                <w:sz w:val="20"/>
              </w:rPr>
              <w:t>s</w:t>
            </w:r>
          </w:p>
        </w:tc>
        <w:tc>
          <w:tcPr>
            <w:tcW w:w="1725" w:type="dxa"/>
            <w:tcBorders>
              <w:top w:val="nil"/>
              <w:left w:val="nil"/>
              <w:bottom w:val="single" w:sz="4" w:space="0" w:color="auto"/>
              <w:right w:val="single" w:sz="4" w:space="0" w:color="auto"/>
            </w:tcBorders>
            <w:tcMar>
              <w:top w:w="15" w:type="dxa"/>
              <w:left w:w="15" w:type="dxa"/>
              <w:bottom w:w="0" w:type="dxa"/>
              <w:right w:w="15" w:type="dxa"/>
            </w:tcMar>
            <w:vAlign w:val="center"/>
          </w:tcPr>
          <w:p w:rsidR="00AE2194" w:rsidRDefault="00AE2194" w:rsidP="009078D0">
            <w:pPr>
              <w:spacing w:before="40"/>
              <w:jc w:val="center"/>
              <w:rPr>
                <w:bCs/>
                <w:sz w:val="18"/>
                <w:szCs w:val="18"/>
              </w:rPr>
            </w:pPr>
            <w:r>
              <w:rPr>
                <w:bCs/>
                <w:sz w:val="18"/>
                <w:szCs w:val="18"/>
              </w:rPr>
              <w:t xml:space="preserve">12 </w:t>
            </w:r>
          </w:p>
          <w:p w:rsidR="00AE2194" w:rsidRPr="00BA4409" w:rsidRDefault="00AE2194" w:rsidP="009078D0">
            <w:pPr>
              <w:spacing w:before="40"/>
              <w:jc w:val="center"/>
              <w:rPr>
                <w:bCs/>
                <w:sz w:val="18"/>
                <w:szCs w:val="18"/>
              </w:rPr>
            </w:pPr>
            <w:r>
              <w:rPr>
                <w:bCs/>
                <w:sz w:val="18"/>
                <w:szCs w:val="18"/>
              </w:rPr>
              <w:t>(</w:t>
            </w:r>
            <w:r w:rsidRPr="00BA4409">
              <w:rPr>
                <w:bCs/>
                <w:sz w:val="18"/>
                <w:szCs w:val="18"/>
              </w:rPr>
              <w:t>1 per CTS site</w:t>
            </w:r>
            <w:r>
              <w:rPr>
                <w:bCs/>
                <w:sz w:val="18"/>
                <w:szCs w:val="18"/>
              </w:rPr>
              <w:t>)</w:t>
            </w:r>
          </w:p>
        </w:tc>
        <w:tc>
          <w:tcPr>
            <w:tcW w:w="2865" w:type="dxa"/>
            <w:tcBorders>
              <w:top w:val="single" w:sz="4" w:space="0" w:color="auto"/>
              <w:left w:val="nil"/>
              <w:bottom w:val="single" w:sz="4" w:space="0" w:color="auto"/>
              <w:right w:val="single" w:sz="4" w:space="0" w:color="auto"/>
            </w:tcBorders>
            <w:vAlign w:val="center"/>
          </w:tcPr>
          <w:p w:rsidR="00AE2194" w:rsidRPr="00BA4409" w:rsidRDefault="00AE2194" w:rsidP="009078D0">
            <w:pPr>
              <w:spacing w:before="40"/>
              <w:rPr>
                <w:bCs/>
                <w:sz w:val="18"/>
                <w:szCs w:val="18"/>
              </w:rPr>
            </w:pPr>
            <w:r>
              <w:rPr>
                <w:bCs/>
                <w:sz w:val="18"/>
                <w:szCs w:val="18"/>
              </w:rPr>
              <w:t>Representative most knowledgeable about e-prescribing</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BA4409" w:rsidRDefault="00AE2194" w:rsidP="009078D0">
            <w:pPr>
              <w:spacing w:before="40"/>
              <w:jc w:val="center"/>
              <w:rPr>
                <w:bCs/>
                <w:sz w:val="18"/>
                <w:szCs w:val="18"/>
              </w:rPr>
            </w:pPr>
            <w:r w:rsidRPr="00BA4409">
              <w:rPr>
                <w:bCs/>
                <w:sz w:val="18"/>
                <w:szCs w:val="18"/>
              </w:rPr>
              <w:t>12</w:t>
            </w:r>
          </w:p>
        </w:tc>
      </w:tr>
      <w:tr w:rsidR="00AE2194" w:rsidTr="009078D0">
        <w:trPr>
          <w:trHeight w:val="297"/>
        </w:trPr>
        <w:tc>
          <w:tcPr>
            <w:tcW w:w="2880"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AE2194" w:rsidRPr="00D53566" w:rsidRDefault="00AE2194" w:rsidP="009078D0">
            <w:pPr>
              <w:spacing w:before="40"/>
              <w:ind w:left="30"/>
              <w:jc w:val="center"/>
              <w:rPr>
                <w:b/>
                <w:bCs/>
                <w:sz w:val="20"/>
                <w:highlight w:val="lightGray"/>
              </w:rPr>
            </w:pPr>
            <w:r w:rsidRPr="00551AEF">
              <w:rPr>
                <w:b/>
                <w:bCs/>
                <w:sz w:val="20"/>
              </w:rPr>
              <w:t xml:space="preserve">VENDORS </w:t>
            </w:r>
          </w:p>
        </w:tc>
        <w:tc>
          <w:tcPr>
            <w:tcW w:w="1725" w:type="dxa"/>
            <w:tcBorders>
              <w:top w:val="nil"/>
              <w:left w:val="nil"/>
              <w:bottom w:val="single" w:sz="4" w:space="0" w:color="auto"/>
              <w:right w:val="single" w:sz="4" w:space="0" w:color="auto"/>
            </w:tcBorders>
            <w:shd w:val="clear" w:color="auto" w:fill="D9D9D9"/>
            <w:tcMar>
              <w:top w:w="15" w:type="dxa"/>
              <w:left w:w="15" w:type="dxa"/>
              <w:bottom w:w="0" w:type="dxa"/>
              <w:right w:w="15" w:type="dxa"/>
            </w:tcMar>
            <w:vAlign w:val="center"/>
          </w:tcPr>
          <w:p w:rsidR="00AE2194" w:rsidRPr="00D43090" w:rsidRDefault="00AE2194" w:rsidP="009078D0">
            <w:pPr>
              <w:spacing w:before="40"/>
              <w:jc w:val="center"/>
              <w:rPr>
                <w:bCs/>
                <w:sz w:val="18"/>
                <w:szCs w:val="18"/>
              </w:rPr>
            </w:pPr>
            <w:r>
              <w:rPr>
                <w:bCs/>
                <w:sz w:val="18"/>
                <w:szCs w:val="18"/>
              </w:rPr>
              <w:t>14</w:t>
            </w:r>
          </w:p>
        </w:tc>
        <w:tc>
          <w:tcPr>
            <w:tcW w:w="2865" w:type="dxa"/>
            <w:tcBorders>
              <w:top w:val="single" w:sz="4" w:space="0" w:color="auto"/>
              <w:left w:val="nil"/>
              <w:bottom w:val="single" w:sz="4" w:space="0" w:color="auto"/>
              <w:right w:val="single" w:sz="4" w:space="0" w:color="auto"/>
            </w:tcBorders>
            <w:shd w:val="clear" w:color="auto" w:fill="D9D9D9"/>
            <w:vAlign w:val="center"/>
          </w:tcPr>
          <w:p w:rsidR="00AE2194" w:rsidRPr="00F36DF9" w:rsidRDefault="00AE2194" w:rsidP="009078D0">
            <w:pPr>
              <w:spacing w:before="40"/>
              <w:rPr>
                <w:b/>
                <w:bCs/>
                <w:sz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AE2194" w:rsidRPr="00F36DF9" w:rsidRDefault="00AE2194" w:rsidP="009078D0">
            <w:pPr>
              <w:spacing w:before="40"/>
              <w:jc w:val="center"/>
              <w:rPr>
                <w:b/>
                <w:bCs/>
                <w:sz w:val="20"/>
              </w:rPr>
            </w:pPr>
            <w:r w:rsidRPr="00F36DF9">
              <w:rPr>
                <w:b/>
                <w:bCs/>
                <w:sz w:val="20"/>
              </w:rPr>
              <w:t>1</w:t>
            </w:r>
            <w:r>
              <w:rPr>
                <w:b/>
                <w:bCs/>
                <w:sz w:val="20"/>
              </w:rPr>
              <w:t>4</w:t>
            </w:r>
          </w:p>
        </w:tc>
      </w:tr>
      <w:tr w:rsidR="00AE2194" w:rsidTr="009078D0">
        <w:trPr>
          <w:trHeight w:val="443"/>
        </w:trPr>
        <w:tc>
          <w:tcPr>
            <w:tcW w:w="28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8970BE" w:rsidRDefault="00AE2194" w:rsidP="009078D0">
            <w:pPr>
              <w:spacing w:before="40"/>
              <w:ind w:left="30"/>
              <w:rPr>
                <w:b/>
                <w:bCs/>
                <w:sz w:val="20"/>
              </w:rPr>
            </w:pPr>
            <w:r w:rsidRPr="008970BE">
              <w:rPr>
                <w:b/>
                <w:bCs/>
                <w:sz w:val="20"/>
              </w:rPr>
              <w:t>Pharmacy IT vendors</w:t>
            </w:r>
          </w:p>
        </w:tc>
        <w:tc>
          <w:tcPr>
            <w:tcW w:w="1725" w:type="dxa"/>
            <w:tcBorders>
              <w:top w:val="nil"/>
              <w:left w:val="nil"/>
              <w:bottom w:val="single" w:sz="4" w:space="0" w:color="auto"/>
              <w:right w:val="single" w:sz="4" w:space="0" w:color="auto"/>
            </w:tcBorders>
            <w:tcMar>
              <w:top w:w="15" w:type="dxa"/>
              <w:left w:w="15" w:type="dxa"/>
              <w:bottom w:w="0" w:type="dxa"/>
              <w:right w:w="15" w:type="dxa"/>
            </w:tcMar>
            <w:vAlign w:val="center"/>
          </w:tcPr>
          <w:p w:rsidR="00AE2194" w:rsidRDefault="00AE2194" w:rsidP="009078D0">
            <w:pPr>
              <w:spacing w:before="40"/>
              <w:jc w:val="center"/>
              <w:rPr>
                <w:bCs/>
                <w:sz w:val="18"/>
                <w:szCs w:val="18"/>
              </w:rPr>
            </w:pPr>
            <w:r>
              <w:rPr>
                <w:bCs/>
                <w:sz w:val="18"/>
                <w:szCs w:val="18"/>
              </w:rPr>
              <w:t>2</w:t>
            </w:r>
          </w:p>
          <w:p w:rsidR="00AE2194" w:rsidRPr="00D43090" w:rsidRDefault="00AE2194" w:rsidP="009078D0">
            <w:pPr>
              <w:spacing w:before="40"/>
              <w:jc w:val="center"/>
              <w:rPr>
                <w:bCs/>
                <w:sz w:val="18"/>
                <w:szCs w:val="18"/>
              </w:rPr>
            </w:pPr>
            <w:r>
              <w:rPr>
                <w:bCs/>
                <w:sz w:val="18"/>
                <w:szCs w:val="18"/>
              </w:rPr>
              <w:t>(</w:t>
            </w:r>
            <w:r w:rsidRPr="00D43090">
              <w:rPr>
                <w:bCs/>
                <w:sz w:val="18"/>
                <w:szCs w:val="18"/>
              </w:rPr>
              <w:t>National</w:t>
            </w:r>
            <w:r>
              <w:rPr>
                <w:bCs/>
                <w:sz w:val="18"/>
                <w:szCs w:val="18"/>
              </w:rPr>
              <w:t>)</w:t>
            </w:r>
          </w:p>
        </w:tc>
        <w:tc>
          <w:tcPr>
            <w:tcW w:w="2865" w:type="dxa"/>
            <w:tcBorders>
              <w:top w:val="single" w:sz="4" w:space="0" w:color="auto"/>
              <w:left w:val="nil"/>
              <w:bottom w:val="single" w:sz="4" w:space="0" w:color="auto"/>
              <w:right w:val="single" w:sz="4" w:space="0" w:color="auto"/>
            </w:tcBorders>
            <w:vAlign w:val="center"/>
          </w:tcPr>
          <w:p w:rsidR="00AE2194" w:rsidRPr="00D43090" w:rsidRDefault="00AE2194" w:rsidP="009078D0">
            <w:pPr>
              <w:spacing w:before="40"/>
              <w:rPr>
                <w:bCs/>
                <w:sz w:val="18"/>
                <w:szCs w:val="18"/>
              </w:rPr>
            </w:pPr>
            <w:r>
              <w:rPr>
                <w:bCs/>
                <w:sz w:val="18"/>
                <w:szCs w:val="18"/>
              </w:rPr>
              <w:t>Representative most knowledgeable about e-prescribing</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D43090" w:rsidRDefault="00AE2194" w:rsidP="009078D0">
            <w:pPr>
              <w:spacing w:before="40"/>
              <w:jc w:val="center"/>
              <w:rPr>
                <w:bCs/>
                <w:sz w:val="18"/>
                <w:szCs w:val="18"/>
              </w:rPr>
            </w:pPr>
            <w:r w:rsidRPr="00D43090">
              <w:rPr>
                <w:bCs/>
                <w:sz w:val="18"/>
                <w:szCs w:val="18"/>
              </w:rPr>
              <w:t>2</w:t>
            </w:r>
          </w:p>
        </w:tc>
      </w:tr>
      <w:tr w:rsidR="00AE2194" w:rsidTr="009078D0">
        <w:trPr>
          <w:trHeight w:val="363"/>
        </w:trPr>
        <w:tc>
          <w:tcPr>
            <w:tcW w:w="28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8970BE" w:rsidRDefault="00AE2194" w:rsidP="009078D0">
            <w:pPr>
              <w:spacing w:before="40"/>
              <w:ind w:left="30"/>
              <w:rPr>
                <w:b/>
                <w:bCs/>
                <w:sz w:val="20"/>
              </w:rPr>
            </w:pPr>
            <w:r w:rsidRPr="008970BE">
              <w:rPr>
                <w:b/>
                <w:bCs/>
                <w:sz w:val="20"/>
              </w:rPr>
              <w:t xml:space="preserve">Physician e-prescribing </w:t>
            </w:r>
            <w:r>
              <w:rPr>
                <w:b/>
                <w:bCs/>
                <w:sz w:val="20"/>
              </w:rPr>
              <w:t xml:space="preserve">system </w:t>
            </w:r>
            <w:r w:rsidRPr="008970BE">
              <w:rPr>
                <w:b/>
                <w:bCs/>
                <w:sz w:val="20"/>
              </w:rPr>
              <w:t>vendors</w:t>
            </w:r>
          </w:p>
        </w:tc>
        <w:tc>
          <w:tcPr>
            <w:tcW w:w="1725" w:type="dxa"/>
            <w:tcBorders>
              <w:top w:val="nil"/>
              <w:left w:val="nil"/>
              <w:bottom w:val="single" w:sz="4" w:space="0" w:color="auto"/>
              <w:right w:val="single" w:sz="4" w:space="0" w:color="auto"/>
            </w:tcBorders>
            <w:tcMar>
              <w:top w:w="15" w:type="dxa"/>
              <w:left w:w="15" w:type="dxa"/>
              <w:bottom w:w="0" w:type="dxa"/>
              <w:right w:w="15" w:type="dxa"/>
            </w:tcMar>
            <w:vAlign w:val="center"/>
          </w:tcPr>
          <w:p w:rsidR="00AE2194" w:rsidRPr="00D43090" w:rsidRDefault="00AE2194" w:rsidP="009078D0">
            <w:pPr>
              <w:spacing w:before="40"/>
              <w:jc w:val="center"/>
              <w:rPr>
                <w:bCs/>
                <w:sz w:val="18"/>
                <w:szCs w:val="18"/>
              </w:rPr>
            </w:pPr>
            <w:r>
              <w:rPr>
                <w:bCs/>
                <w:sz w:val="18"/>
                <w:szCs w:val="18"/>
              </w:rPr>
              <w:t>6</w:t>
            </w:r>
            <w:r w:rsidR="0043529C">
              <w:rPr>
                <w:bCs/>
                <w:sz w:val="18"/>
                <w:szCs w:val="18"/>
              </w:rPr>
              <w:t xml:space="preserve"> </w:t>
            </w:r>
            <w:r>
              <w:rPr>
                <w:bCs/>
                <w:sz w:val="18"/>
                <w:szCs w:val="18"/>
              </w:rPr>
              <w:t>(</w:t>
            </w:r>
            <w:r w:rsidRPr="00D43090">
              <w:rPr>
                <w:bCs/>
                <w:sz w:val="18"/>
                <w:szCs w:val="18"/>
              </w:rPr>
              <w:t>National</w:t>
            </w:r>
            <w:r>
              <w:rPr>
                <w:bCs/>
                <w:sz w:val="18"/>
                <w:szCs w:val="18"/>
              </w:rPr>
              <w:t>)</w:t>
            </w:r>
          </w:p>
        </w:tc>
        <w:tc>
          <w:tcPr>
            <w:tcW w:w="2865" w:type="dxa"/>
            <w:tcBorders>
              <w:top w:val="single" w:sz="4" w:space="0" w:color="auto"/>
              <w:left w:val="nil"/>
              <w:bottom w:val="single" w:sz="4" w:space="0" w:color="auto"/>
              <w:right w:val="single" w:sz="4" w:space="0" w:color="auto"/>
            </w:tcBorders>
            <w:vAlign w:val="center"/>
          </w:tcPr>
          <w:p w:rsidR="00AE2194" w:rsidRDefault="00AE2194" w:rsidP="009078D0">
            <w:pPr>
              <w:spacing w:before="40"/>
              <w:rPr>
                <w:bCs/>
                <w:sz w:val="18"/>
                <w:szCs w:val="18"/>
              </w:rPr>
            </w:pPr>
            <w:r>
              <w:rPr>
                <w:bCs/>
                <w:sz w:val="18"/>
                <w:szCs w:val="18"/>
              </w:rPr>
              <w:t>Representative most knowledgeable about e-prescribing</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D43090" w:rsidRDefault="00AE2194" w:rsidP="009078D0">
            <w:pPr>
              <w:spacing w:before="40"/>
              <w:jc w:val="center"/>
              <w:rPr>
                <w:bCs/>
                <w:sz w:val="18"/>
                <w:szCs w:val="18"/>
              </w:rPr>
            </w:pPr>
            <w:r>
              <w:rPr>
                <w:bCs/>
                <w:sz w:val="18"/>
                <w:szCs w:val="18"/>
              </w:rPr>
              <w:t>6</w:t>
            </w:r>
          </w:p>
        </w:tc>
      </w:tr>
      <w:tr w:rsidR="00AE2194" w:rsidTr="009078D0">
        <w:trPr>
          <w:trHeight w:val="516"/>
        </w:trPr>
        <w:tc>
          <w:tcPr>
            <w:tcW w:w="28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8970BE" w:rsidRDefault="00AE2194" w:rsidP="009078D0">
            <w:pPr>
              <w:spacing w:before="40"/>
              <w:ind w:left="30"/>
              <w:rPr>
                <w:b/>
                <w:bCs/>
                <w:sz w:val="20"/>
              </w:rPr>
            </w:pPr>
            <w:r w:rsidRPr="008970BE">
              <w:rPr>
                <w:b/>
                <w:bCs/>
                <w:sz w:val="20"/>
              </w:rPr>
              <w:t xml:space="preserve">E-prescribing connectivity </w:t>
            </w:r>
            <w:r>
              <w:rPr>
                <w:b/>
                <w:bCs/>
                <w:sz w:val="20"/>
              </w:rPr>
              <w:t xml:space="preserve">and content </w:t>
            </w:r>
            <w:r w:rsidRPr="008970BE">
              <w:rPr>
                <w:b/>
                <w:bCs/>
                <w:sz w:val="20"/>
              </w:rPr>
              <w:t xml:space="preserve">vendors </w:t>
            </w:r>
          </w:p>
        </w:tc>
        <w:tc>
          <w:tcPr>
            <w:tcW w:w="1725" w:type="dxa"/>
            <w:tcBorders>
              <w:top w:val="nil"/>
              <w:left w:val="nil"/>
              <w:bottom w:val="single" w:sz="4" w:space="0" w:color="auto"/>
              <w:right w:val="single" w:sz="4" w:space="0" w:color="auto"/>
            </w:tcBorders>
            <w:tcMar>
              <w:top w:w="15" w:type="dxa"/>
              <w:left w:w="15" w:type="dxa"/>
              <w:bottom w:w="0" w:type="dxa"/>
              <w:right w:w="15" w:type="dxa"/>
            </w:tcMar>
            <w:vAlign w:val="center"/>
          </w:tcPr>
          <w:p w:rsidR="00AE2194" w:rsidRPr="00D43090" w:rsidRDefault="00AE2194" w:rsidP="009078D0">
            <w:pPr>
              <w:spacing w:before="40"/>
              <w:jc w:val="center"/>
              <w:rPr>
                <w:bCs/>
                <w:sz w:val="18"/>
                <w:szCs w:val="18"/>
              </w:rPr>
            </w:pPr>
            <w:r>
              <w:rPr>
                <w:bCs/>
                <w:sz w:val="18"/>
                <w:szCs w:val="18"/>
              </w:rPr>
              <w:t>6</w:t>
            </w:r>
            <w:r w:rsidR="0043529C">
              <w:rPr>
                <w:bCs/>
                <w:sz w:val="18"/>
                <w:szCs w:val="18"/>
              </w:rPr>
              <w:t xml:space="preserve"> </w:t>
            </w:r>
            <w:r>
              <w:rPr>
                <w:bCs/>
                <w:sz w:val="18"/>
                <w:szCs w:val="18"/>
              </w:rPr>
              <w:t>(</w:t>
            </w:r>
            <w:r w:rsidRPr="00D43090">
              <w:rPr>
                <w:bCs/>
                <w:sz w:val="18"/>
                <w:szCs w:val="18"/>
              </w:rPr>
              <w:t>National</w:t>
            </w:r>
            <w:r>
              <w:rPr>
                <w:bCs/>
                <w:sz w:val="18"/>
                <w:szCs w:val="18"/>
              </w:rPr>
              <w:t>)</w:t>
            </w:r>
          </w:p>
        </w:tc>
        <w:tc>
          <w:tcPr>
            <w:tcW w:w="2865" w:type="dxa"/>
            <w:tcBorders>
              <w:top w:val="single" w:sz="4" w:space="0" w:color="auto"/>
              <w:left w:val="nil"/>
              <w:bottom w:val="single" w:sz="4" w:space="0" w:color="auto"/>
              <w:right w:val="single" w:sz="4" w:space="0" w:color="auto"/>
            </w:tcBorders>
            <w:vAlign w:val="center"/>
          </w:tcPr>
          <w:p w:rsidR="00AE2194" w:rsidRDefault="00AE2194" w:rsidP="009078D0">
            <w:pPr>
              <w:spacing w:before="40"/>
              <w:rPr>
                <w:bCs/>
                <w:sz w:val="18"/>
                <w:szCs w:val="18"/>
              </w:rPr>
            </w:pPr>
            <w:r>
              <w:rPr>
                <w:bCs/>
                <w:sz w:val="18"/>
                <w:szCs w:val="18"/>
              </w:rPr>
              <w:t>Representative most knowledgeable about e-prescribing</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D43090" w:rsidRDefault="00AE2194" w:rsidP="009078D0">
            <w:pPr>
              <w:spacing w:before="40"/>
              <w:jc w:val="center"/>
              <w:rPr>
                <w:bCs/>
                <w:sz w:val="18"/>
                <w:szCs w:val="18"/>
              </w:rPr>
            </w:pPr>
            <w:r>
              <w:rPr>
                <w:bCs/>
                <w:sz w:val="18"/>
                <w:szCs w:val="18"/>
              </w:rPr>
              <w:t>6</w:t>
            </w:r>
          </w:p>
        </w:tc>
      </w:tr>
      <w:tr w:rsidR="00AE2194" w:rsidTr="009078D0">
        <w:trPr>
          <w:trHeight w:val="331"/>
        </w:trPr>
        <w:tc>
          <w:tcPr>
            <w:tcW w:w="288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0" w:type="dxa"/>
              <w:right w:w="15" w:type="dxa"/>
            </w:tcMar>
            <w:vAlign w:val="center"/>
          </w:tcPr>
          <w:p w:rsidR="00AE2194" w:rsidRPr="00F36DF9" w:rsidRDefault="00AE2194" w:rsidP="009078D0">
            <w:pPr>
              <w:spacing w:before="40"/>
              <w:ind w:left="30"/>
              <w:jc w:val="center"/>
              <w:rPr>
                <w:b/>
                <w:bCs/>
                <w:sz w:val="20"/>
              </w:rPr>
            </w:pPr>
            <w:r w:rsidRPr="00F36DF9">
              <w:rPr>
                <w:b/>
                <w:bCs/>
                <w:sz w:val="20"/>
              </w:rPr>
              <w:t>E-PRESCRIBING EXPERTS</w:t>
            </w:r>
          </w:p>
        </w:tc>
        <w:tc>
          <w:tcPr>
            <w:tcW w:w="1725" w:type="dxa"/>
            <w:tcBorders>
              <w:top w:val="single" w:sz="4" w:space="0" w:color="auto"/>
              <w:left w:val="nil"/>
              <w:bottom w:val="single" w:sz="4" w:space="0" w:color="auto"/>
              <w:right w:val="single" w:sz="4" w:space="0" w:color="auto"/>
            </w:tcBorders>
            <w:shd w:val="clear" w:color="auto" w:fill="CCCCCC"/>
            <w:tcMar>
              <w:top w:w="15" w:type="dxa"/>
              <w:left w:w="15" w:type="dxa"/>
              <w:bottom w:w="0" w:type="dxa"/>
              <w:right w:w="15" w:type="dxa"/>
            </w:tcMar>
            <w:vAlign w:val="center"/>
          </w:tcPr>
          <w:p w:rsidR="00AE2194" w:rsidRPr="00F36DF9" w:rsidRDefault="00AE2194" w:rsidP="009078D0">
            <w:pPr>
              <w:spacing w:before="40"/>
              <w:jc w:val="center"/>
              <w:rPr>
                <w:b/>
                <w:bCs/>
                <w:sz w:val="20"/>
              </w:rPr>
            </w:pPr>
            <w:r>
              <w:rPr>
                <w:b/>
                <w:bCs/>
                <w:sz w:val="20"/>
              </w:rPr>
              <w:t>4</w:t>
            </w:r>
          </w:p>
        </w:tc>
        <w:tc>
          <w:tcPr>
            <w:tcW w:w="2865" w:type="dxa"/>
            <w:tcBorders>
              <w:top w:val="single" w:sz="4" w:space="0" w:color="auto"/>
              <w:left w:val="nil"/>
              <w:bottom w:val="single" w:sz="4" w:space="0" w:color="auto"/>
              <w:right w:val="single" w:sz="4" w:space="0" w:color="auto"/>
            </w:tcBorders>
            <w:shd w:val="clear" w:color="auto" w:fill="CCCCCC"/>
            <w:vAlign w:val="center"/>
          </w:tcPr>
          <w:p w:rsidR="00AE2194" w:rsidRPr="00F36DF9" w:rsidRDefault="00AE2194" w:rsidP="009078D0">
            <w:pPr>
              <w:spacing w:before="40"/>
              <w:jc w:val="center"/>
              <w:rPr>
                <w:b/>
                <w:bCs/>
                <w:sz w:val="20"/>
              </w:rPr>
            </w:pPr>
          </w:p>
        </w:tc>
        <w:tc>
          <w:tcPr>
            <w:tcW w:w="123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0" w:type="dxa"/>
              <w:right w:w="15" w:type="dxa"/>
            </w:tcMar>
            <w:vAlign w:val="center"/>
          </w:tcPr>
          <w:p w:rsidR="00AE2194" w:rsidRPr="00F36DF9" w:rsidRDefault="00AE2194" w:rsidP="009078D0">
            <w:pPr>
              <w:spacing w:before="40"/>
              <w:jc w:val="center"/>
              <w:rPr>
                <w:b/>
                <w:bCs/>
                <w:sz w:val="20"/>
              </w:rPr>
            </w:pPr>
            <w:r w:rsidRPr="00F36DF9">
              <w:rPr>
                <w:b/>
                <w:bCs/>
                <w:sz w:val="20"/>
              </w:rPr>
              <w:t>4</w:t>
            </w:r>
          </w:p>
        </w:tc>
      </w:tr>
      <w:tr w:rsidR="00AE2194" w:rsidTr="009078D0">
        <w:trPr>
          <w:trHeight w:val="256"/>
        </w:trPr>
        <w:tc>
          <w:tcPr>
            <w:tcW w:w="28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0E2174" w:rsidRDefault="00AE2194" w:rsidP="009078D0">
            <w:pPr>
              <w:spacing w:before="40"/>
              <w:ind w:left="30"/>
              <w:rPr>
                <w:b/>
                <w:bCs/>
                <w:sz w:val="20"/>
                <w:highlight w:val="lightGray"/>
              </w:rPr>
            </w:pPr>
            <w:r w:rsidRPr="00F36DF9">
              <w:rPr>
                <w:b/>
                <w:bCs/>
                <w:sz w:val="20"/>
              </w:rPr>
              <w:t>Other</w:t>
            </w:r>
          </w:p>
        </w:tc>
        <w:tc>
          <w:tcPr>
            <w:tcW w:w="1725" w:type="dxa"/>
            <w:tcBorders>
              <w:top w:val="nil"/>
              <w:left w:val="nil"/>
              <w:bottom w:val="single" w:sz="4" w:space="0" w:color="auto"/>
              <w:right w:val="single" w:sz="4" w:space="0" w:color="auto"/>
            </w:tcBorders>
            <w:tcMar>
              <w:top w:w="15" w:type="dxa"/>
              <w:left w:w="15" w:type="dxa"/>
              <w:bottom w:w="0" w:type="dxa"/>
              <w:right w:w="15" w:type="dxa"/>
            </w:tcMar>
            <w:vAlign w:val="center"/>
          </w:tcPr>
          <w:p w:rsidR="00AE2194" w:rsidRPr="000E2174" w:rsidRDefault="00AE2194" w:rsidP="009078D0">
            <w:pPr>
              <w:spacing w:before="40"/>
              <w:jc w:val="center"/>
              <w:rPr>
                <w:bCs/>
                <w:sz w:val="18"/>
                <w:szCs w:val="18"/>
                <w:highlight w:val="lightGray"/>
              </w:rPr>
            </w:pPr>
            <w:r>
              <w:rPr>
                <w:bCs/>
                <w:sz w:val="18"/>
                <w:szCs w:val="18"/>
              </w:rPr>
              <w:t>4</w:t>
            </w:r>
            <w:r w:rsidR="0043529C">
              <w:rPr>
                <w:bCs/>
                <w:sz w:val="18"/>
                <w:szCs w:val="18"/>
              </w:rPr>
              <w:t xml:space="preserve"> </w:t>
            </w:r>
            <w:r>
              <w:rPr>
                <w:bCs/>
                <w:sz w:val="18"/>
                <w:szCs w:val="18"/>
              </w:rPr>
              <w:t>(</w:t>
            </w:r>
            <w:r w:rsidRPr="00F36DF9">
              <w:rPr>
                <w:bCs/>
                <w:sz w:val="18"/>
                <w:szCs w:val="18"/>
              </w:rPr>
              <w:t>National/regional</w:t>
            </w:r>
            <w:r>
              <w:rPr>
                <w:bCs/>
                <w:sz w:val="18"/>
                <w:szCs w:val="18"/>
              </w:rPr>
              <w:t>)</w:t>
            </w:r>
          </w:p>
        </w:tc>
        <w:tc>
          <w:tcPr>
            <w:tcW w:w="2865" w:type="dxa"/>
            <w:tcBorders>
              <w:top w:val="single" w:sz="4" w:space="0" w:color="auto"/>
              <w:left w:val="nil"/>
              <w:bottom w:val="single" w:sz="4" w:space="0" w:color="auto"/>
              <w:right w:val="single" w:sz="4" w:space="0" w:color="auto"/>
            </w:tcBorders>
            <w:vAlign w:val="center"/>
          </w:tcPr>
          <w:p w:rsidR="00AE2194" w:rsidRPr="00F36DF9" w:rsidRDefault="00AE2194" w:rsidP="009078D0">
            <w:pPr>
              <w:spacing w:before="40"/>
              <w:rPr>
                <w:bCs/>
                <w:sz w:val="18"/>
                <w:szCs w:val="18"/>
              </w:rPr>
            </w:pPr>
            <w:r>
              <w:rPr>
                <w:bCs/>
                <w:sz w:val="18"/>
                <w:szCs w:val="18"/>
              </w:rPr>
              <w:t>M</w:t>
            </w:r>
            <w:r w:rsidRPr="00F36DF9">
              <w:rPr>
                <w:bCs/>
                <w:sz w:val="18"/>
                <w:szCs w:val="18"/>
              </w:rPr>
              <w:t>edical informaticist</w:t>
            </w:r>
            <w:r>
              <w:rPr>
                <w:bCs/>
                <w:sz w:val="18"/>
                <w:szCs w:val="18"/>
              </w:rPr>
              <w:t>, director of health plan e-prescribing initiative or other</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2194" w:rsidRPr="000E2174" w:rsidRDefault="00AE2194" w:rsidP="009078D0">
            <w:pPr>
              <w:spacing w:before="40"/>
              <w:jc w:val="center"/>
              <w:rPr>
                <w:bCs/>
                <w:sz w:val="18"/>
                <w:szCs w:val="18"/>
                <w:highlight w:val="lightGray"/>
              </w:rPr>
            </w:pPr>
            <w:r w:rsidRPr="00F36DF9">
              <w:rPr>
                <w:bCs/>
                <w:sz w:val="18"/>
                <w:szCs w:val="18"/>
              </w:rPr>
              <w:t>4</w:t>
            </w:r>
          </w:p>
        </w:tc>
      </w:tr>
      <w:tr w:rsidR="00AE2194" w:rsidTr="009078D0">
        <w:trPr>
          <w:trHeight w:val="336"/>
        </w:trPr>
        <w:tc>
          <w:tcPr>
            <w:tcW w:w="2880"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tcPr>
          <w:p w:rsidR="00AE2194" w:rsidRPr="008970BE" w:rsidRDefault="00AE2194" w:rsidP="009078D0">
            <w:pPr>
              <w:spacing w:before="40"/>
              <w:jc w:val="center"/>
              <w:rPr>
                <w:rFonts w:eastAsia="Arial Unicode MS"/>
                <w:b/>
                <w:bCs/>
                <w:sz w:val="20"/>
              </w:rPr>
            </w:pPr>
            <w:r w:rsidRPr="008970BE">
              <w:rPr>
                <w:b/>
                <w:bCs/>
                <w:sz w:val="20"/>
              </w:rPr>
              <w:t>PROJECT TOTAL</w:t>
            </w:r>
          </w:p>
        </w:tc>
        <w:tc>
          <w:tcPr>
            <w:tcW w:w="1725" w:type="dxa"/>
            <w:tcBorders>
              <w:top w:val="nil"/>
              <w:left w:val="nil"/>
              <w:bottom w:val="single" w:sz="4" w:space="0" w:color="auto"/>
              <w:right w:val="single" w:sz="4" w:space="0" w:color="auto"/>
            </w:tcBorders>
            <w:shd w:val="clear" w:color="auto" w:fill="D9D9D9"/>
            <w:tcMar>
              <w:top w:w="15" w:type="dxa"/>
              <w:left w:w="15" w:type="dxa"/>
              <w:bottom w:w="0" w:type="dxa"/>
              <w:right w:w="15" w:type="dxa"/>
            </w:tcMar>
          </w:tcPr>
          <w:p w:rsidR="00AE2194" w:rsidRDefault="00AE2194" w:rsidP="009078D0">
            <w:pPr>
              <w:spacing w:before="40"/>
              <w:jc w:val="center"/>
              <w:rPr>
                <w:rFonts w:eastAsia="Arial Unicode MS"/>
                <w:b/>
                <w:bCs/>
              </w:rPr>
            </w:pPr>
            <w:r>
              <w:rPr>
                <w:rFonts w:eastAsia="Arial Unicode MS"/>
                <w:b/>
                <w:bCs/>
              </w:rPr>
              <w:t>110</w:t>
            </w:r>
          </w:p>
        </w:tc>
        <w:tc>
          <w:tcPr>
            <w:tcW w:w="2865" w:type="dxa"/>
            <w:tcBorders>
              <w:top w:val="single" w:sz="4" w:space="0" w:color="auto"/>
              <w:left w:val="nil"/>
              <w:bottom w:val="single" w:sz="4" w:space="0" w:color="auto"/>
              <w:right w:val="single" w:sz="4" w:space="0" w:color="auto"/>
            </w:tcBorders>
            <w:shd w:val="clear" w:color="auto" w:fill="D9D9D9"/>
          </w:tcPr>
          <w:p w:rsidR="00AE2194" w:rsidRPr="00F36DF9" w:rsidRDefault="00AE2194" w:rsidP="009078D0">
            <w:pPr>
              <w:spacing w:before="40"/>
              <w:jc w:val="center"/>
              <w:rPr>
                <w:rFonts w:eastAsia="Arial Unicode MS"/>
                <w:b/>
                <w:bCs/>
                <w:sz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tcPr>
          <w:p w:rsidR="00AE2194" w:rsidRPr="00F36DF9" w:rsidRDefault="00AE2194" w:rsidP="009078D0">
            <w:pPr>
              <w:spacing w:before="40"/>
              <w:jc w:val="center"/>
              <w:rPr>
                <w:rFonts w:eastAsia="Arial Unicode MS"/>
                <w:b/>
                <w:bCs/>
                <w:sz w:val="20"/>
              </w:rPr>
            </w:pPr>
            <w:r w:rsidRPr="00F36DF9">
              <w:rPr>
                <w:rFonts w:eastAsia="Arial Unicode MS"/>
                <w:b/>
                <w:bCs/>
                <w:sz w:val="20"/>
              </w:rPr>
              <w:t>134</w:t>
            </w:r>
          </w:p>
        </w:tc>
      </w:tr>
    </w:tbl>
    <w:p w:rsidR="006016BF" w:rsidRDefault="006016BF" w:rsidP="007B77EF"/>
    <w:p w:rsidR="007B77EF" w:rsidRPr="007E69DA" w:rsidRDefault="007B77EF" w:rsidP="007B77EF">
      <w:pPr>
        <w:pStyle w:val="HeadingOMB2"/>
      </w:pPr>
      <w:bookmarkStart w:id="6" w:name="_Toc151782200"/>
      <w:bookmarkStart w:id="7" w:name="_Toc158526236"/>
      <w:bookmarkStart w:id="8" w:name="_Toc230760769"/>
      <w:r w:rsidRPr="007E69DA">
        <w:t>2. Information Collection Procedures</w:t>
      </w:r>
      <w:bookmarkEnd w:id="6"/>
      <w:bookmarkEnd w:id="7"/>
      <w:bookmarkEnd w:id="8"/>
    </w:p>
    <w:p w:rsidR="007B77EF" w:rsidRDefault="007B77EF" w:rsidP="007B77EF">
      <w:r w:rsidRPr="00CE3EBB">
        <w:rPr>
          <w:b/>
        </w:rPr>
        <w:t>Participant Recruitment.</w:t>
      </w:r>
      <w:r>
        <w:t xml:space="preserve"> Participants will be recruited either by phone, e</w:t>
      </w:r>
      <w:r w:rsidR="0025503A">
        <w:t>-</w:t>
      </w:r>
      <w:r>
        <w:t>mail, or fax depending on availability of the participant’s contact information</w:t>
      </w:r>
      <w:r w:rsidRPr="00CF2E24">
        <w:t xml:space="preserve">.  Attachments </w:t>
      </w:r>
      <w:r w:rsidR="00044497" w:rsidRPr="00CF2E24">
        <w:t>C</w:t>
      </w:r>
      <w:r w:rsidR="00ED462B" w:rsidRPr="00CF2E24">
        <w:t>,</w:t>
      </w:r>
      <w:r w:rsidRPr="00CF2E24">
        <w:t xml:space="preserve"> </w:t>
      </w:r>
      <w:r w:rsidR="00044497" w:rsidRPr="00CF2E24">
        <w:t>D</w:t>
      </w:r>
      <w:r w:rsidRPr="00CF2E24">
        <w:t xml:space="preserve"> </w:t>
      </w:r>
      <w:r w:rsidR="00044497" w:rsidRPr="00CF2E24">
        <w:t>and E</w:t>
      </w:r>
      <w:r w:rsidR="00ED462B" w:rsidRPr="00CF2E24">
        <w:t xml:space="preserve"> </w:t>
      </w:r>
      <w:r w:rsidRPr="00CF2E24">
        <w:t xml:space="preserve">are sample </w:t>
      </w:r>
      <w:r w:rsidR="00A8188D" w:rsidRPr="00CF2E24">
        <w:t>invitation letters</w:t>
      </w:r>
      <w:r w:rsidRPr="00CF2E24">
        <w:t xml:space="preserve"> for physician practices</w:t>
      </w:r>
      <w:r w:rsidR="00ED462B" w:rsidRPr="00CF2E24">
        <w:t>,</w:t>
      </w:r>
      <w:r w:rsidRPr="00CF2E24">
        <w:t xml:space="preserve"> pharmacies</w:t>
      </w:r>
      <w:r w:rsidR="00ED462B" w:rsidRPr="00CF2E24">
        <w:t xml:space="preserve"> and </w:t>
      </w:r>
      <w:r w:rsidR="00265D8E">
        <w:t xml:space="preserve">all </w:t>
      </w:r>
      <w:r w:rsidR="00ED462B" w:rsidRPr="00CF2E24">
        <w:t xml:space="preserve">other </w:t>
      </w:r>
      <w:r w:rsidR="00265D8E">
        <w:t xml:space="preserve">organization </w:t>
      </w:r>
      <w:r w:rsidR="00ED462B" w:rsidRPr="00CF2E24">
        <w:t>types</w:t>
      </w:r>
      <w:r w:rsidR="00265D8E">
        <w:t>, respectively</w:t>
      </w:r>
      <w:r w:rsidRPr="00CF2E24">
        <w:t>. The purpose of the communication is to explain the study, confirm that the organization is eligible to participate in the case of physician practices and pharma</w:t>
      </w:r>
      <w:r>
        <w:t>cies, gain respondents’ agreement to participate and sc</w:t>
      </w:r>
      <w:r w:rsidR="0025503A">
        <w:t>hedule the interviews</w:t>
      </w:r>
      <w:r>
        <w:t>. Each respondent who agrees to participate in the study will receive a written confirmation of the interview date and time by e</w:t>
      </w:r>
      <w:r w:rsidR="0025503A">
        <w:t>-</w:t>
      </w:r>
      <w:r>
        <w:t xml:space="preserve">mail or fax (see </w:t>
      </w:r>
      <w:r w:rsidRPr="00971546">
        <w:t xml:space="preserve">Attachment </w:t>
      </w:r>
      <w:r w:rsidR="00971546">
        <w:t>F</w:t>
      </w:r>
      <w:r>
        <w:t xml:space="preserve">). </w:t>
      </w:r>
    </w:p>
    <w:p w:rsidR="007B77EF" w:rsidRDefault="007B77EF" w:rsidP="007B77EF">
      <w:pPr>
        <w:tabs>
          <w:tab w:val="left" w:pos="360"/>
        </w:tabs>
      </w:pPr>
    </w:p>
    <w:p w:rsidR="007B77EF" w:rsidRDefault="007B77EF" w:rsidP="007B77EF">
      <w:pPr>
        <w:tabs>
          <w:tab w:val="left" w:pos="360"/>
        </w:tabs>
      </w:pPr>
      <w:r w:rsidRPr="00342DB9">
        <w:rPr>
          <w:b/>
        </w:rPr>
        <w:t>Interviews.</w:t>
      </w:r>
      <w:r>
        <w:t xml:space="preserve"> In-depth interviews will be conducted by two-person</w:t>
      </w:r>
      <w:r w:rsidR="0025503A">
        <w:t xml:space="preserve"> </w:t>
      </w:r>
      <w:r>
        <w:t>teams, which will be comprised of a lead interviewer and a note taker. Respondents will be reminded of the focus of the study</w:t>
      </w:r>
      <w:r w:rsidR="00CA654A">
        <w:t xml:space="preserve"> and</w:t>
      </w:r>
      <w:r w:rsidR="000E3CB8" w:rsidRPr="000E3CB8">
        <w:t xml:space="preserve"> </w:t>
      </w:r>
      <w:r w:rsidR="000E3CB8">
        <w:t>the way their information will be used</w:t>
      </w:r>
      <w:r w:rsidR="00CA654A" w:rsidRPr="00B95E9A">
        <w:t>.</w:t>
      </w:r>
      <w:r>
        <w:t xml:space="preserve"> The interviews will follow semi-structured protocols. </w:t>
      </w:r>
      <w:r w:rsidR="00EC7A8F">
        <w:t>Eight</w:t>
      </w:r>
      <w:r>
        <w:t xml:space="preserve"> protocols tailored to different respondent types have been developed</w:t>
      </w:r>
      <w:r w:rsidR="00CA654A">
        <w:t xml:space="preserve"> </w:t>
      </w:r>
      <w:r w:rsidR="00CA654A" w:rsidRPr="00CF2E24">
        <w:t>(see Attachments B1- B8)</w:t>
      </w:r>
      <w:r w:rsidRPr="00CF2E24">
        <w:t>.</w:t>
      </w:r>
      <w:r>
        <w:t xml:space="preserve"> These protocols cover the following topics:  background information on the organization; background information on relevant IT systems (physician, pharmacy and vendor interviews); implementation and use of selected e-prescribing features; </w:t>
      </w:r>
      <w:r w:rsidR="00EC7A8F">
        <w:t xml:space="preserve">the </w:t>
      </w:r>
      <w:r>
        <w:t>impact of e-prescribing on physician prescribing behavior and practice a</w:t>
      </w:r>
      <w:r w:rsidR="00EC7A8F">
        <w:t xml:space="preserve">nd pharmacy operations; and the </w:t>
      </w:r>
      <w:r>
        <w:t xml:space="preserve">impact of policy initiatives on e-prescribing implementation and use.  </w:t>
      </w:r>
    </w:p>
    <w:p w:rsidR="007B77EF" w:rsidRDefault="007B77EF" w:rsidP="007B77EF"/>
    <w:p w:rsidR="007B77EF" w:rsidRDefault="007B77EF" w:rsidP="007B77EF">
      <w:r>
        <w:t xml:space="preserve">Interview notes will be typed and assigned initial codes by the note taker and reviewed for accuracy by the lead interviewer. Interview notes will be then be stored and coded using Atlas.ti (version 5.0) qualitative data analysis software. </w:t>
      </w:r>
    </w:p>
    <w:p w:rsidR="007B77EF" w:rsidRDefault="007B77EF" w:rsidP="007B77EF"/>
    <w:p w:rsidR="007B77EF" w:rsidRDefault="007B77EF" w:rsidP="007B77EF">
      <w:r>
        <w:t xml:space="preserve">Thank-you letters are routinely sent by mail (see </w:t>
      </w:r>
      <w:r w:rsidRPr="00971546">
        <w:t>Attachment G</w:t>
      </w:r>
      <w:r>
        <w:t>).</w:t>
      </w:r>
    </w:p>
    <w:p w:rsidR="007B77EF" w:rsidRPr="007E69DA" w:rsidRDefault="007B77EF" w:rsidP="007B77EF">
      <w:pPr>
        <w:pStyle w:val="HeadingOMB2"/>
      </w:pPr>
      <w:bookmarkStart w:id="9" w:name="_Toc151782201"/>
      <w:bookmarkStart w:id="10" w:name="_Toc158526237"/>
      <w:bookmarkStart w:id="11" w:name="_Toc230760770"/>
      <w:r w:rsidRPr="007E69DA">
        <w:t>3. Methods to Maximize Response Rates</w:t>
      </w:r>
      <w:bookmarkEnd w:id="9"/>
      <w:bookmarkEnd w:id="10"/>
      <w:bookmarkEnd w:id="11"/>
    </w:p>
    <w:p w:rsidR="007B77EF" w:rsidRDefault="007B77EF" w:rsidP="007B77EF">
      <w:pPr>
        <w:pStyle w:val="LefttoRight"/>
        <w:jc w:val="left"/>
      </w:pPr>
      <w:r>
        <w:t xml:space="preserve">Respondent organizations are not being selected via probability-based sampling methods. A “response rate” has no clear meaning in the context of a qualitative study. </w:t>
      </w:r>
    </w:p>
    <w:p w:rsidR="007B77EF" w:rsidRDefault="007B77EF" w:rsidP="007B77EF">
      <w:pPr>
        <w:pStyle w:val="LefttoRight"/>
        <w:jc w:val="left"/>
      </w:pPr>
    </w:p>
    <w:p w:rsidR="007B77EF" w:rsidRDefault="007B77EF" w:rsidP="007B77EF">
      <w:pPr>
        <w:pStyle w:val="LefttoRight"/>
        <w:jc w:val="left"/>
      </w:pPr>
      <w:r>
        <w:t>Based on outside consultations, recruiting is likely to be more difficult for retail pharmacists employed in chain stores. The strategy for identifying eligible pharmacies includes contacting the state pharmacy associations and local pharmacy schools to identify respondents who are interested in participating in the study. Every effort will be made to schedule interviews with these respondents at times most convenient for them.</w:t>
      </w:r>
    </w:p>
    <w:p w:rsidR="007B77EF" w:rsidRPr="007E69DA" w:rsidRDefault="007B77EF" w:rsidP="007B77EF">
      <w:pPr>
        <w:pStyle w:val="HeadingOMB2"/>
      </w:pPr>
      <w:bookmarkStart w:id="12" w:name="_Toc151782202"/>
      <w:bookmarkStart w:id="13" w:name="_Toc158526238"/>
      <w:bookmarkStart w:id="14" w:name="_Toc230760771"/>
      <w:r w:rsidRPr="007E69DA">
        <w:t>4. Tests of Procedures</w:t>
      </w:r>
      <w:bookmarkStart w:id="15" w:name="_Toc151782203"/>
      <w:bookmarkStart w:id="16" w:name="_Toc158526239"/>
      <w:bookmarkEnd w:id="12"/>
      <w:bookmarkEnd w:id="13"/>
      <w:bookmarkEnd w:id="14"/>
    </w:p>
    <w:p w:rsidR="007B77EF" w:rsidRDefault="007B77EF" w:rsidP="007B77EF">
      <w:r>
        <w:t xml:space="preserve">The interview protocols were reviewed by the project’s consultant, Terri L. Warholak, Ph.D., R.Ph., Clinical Assistant Professor, </w:t>
      </w:r>
      <w:smartTag w:uri="urn:schemas-microsoft-com:office:smarttags" w:element="PlaceType">
        <w:r>
          <w:t>College</w:t>
        </w:r>
      </w:smartTag>
      <w:r>
        <w:t xml:space="preserve"> of </w:t>
      </w:r>
      <w:smartTag w:uri="urn:schemas-microsoft-com:office:smarttags" w:element="PlaceName">
        <w:r>
          <w:t>Pharmacy</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Arizona</w:t>
          </w:r>
        </w:smartTag>
      </w:smartTag>
      <w:r>
        <w:t>. Dr. Warholak, a pharmacist, has substantial experience developing and fielding interview protocols, focus group discussion guides</w:t>
      </w:r>
      <w:r w:rsidR="00F5059E">
        <w:t>,</w:t>
      </w:r>
      <w:r>
        <w:t xml:space="preserve"> and surveys for pharmacists and physicians on e-prescribing and other topics. </w:t>
      </w:r>
    </w:p>
    <w:p w:rsidR="007B77EF" w:rsidRDefault="007B77EF" w:rsidP="007B77EF"/>
    <w:p w:rsidR="007B77EF" w:rsidRDefault="007B77EF" w:rsidP="007B77EF">
      <w:r>
        <w:t xml:space="preserve">Interview protocols for physician practices and other respondent types were drawn from questions developed for </w:t>
      </w:r>
      <w:r w:rsidR="00E0329D">
        <w:t xml:space="preserve">previous </w:t>
      </w:r>
      <w:r>
        <w:t xml:space="preserve">studies on e-prescribing and ambulatory electronic health records and modified to reflect this study’s focus on particular e-prescribing features that have previously not been explored in depth. Because AHRQ has not identified any qualitative studies on pharmacies’ experiences with e-prescribing, the pharmacy protocol was cognitively tested with </w:t>
      </w:r>
      <w:r w:rsidR="001E4669">
        <w:t>two</w:t>
      </w:r>
      <w:r>
        <w:t xml:space="preserve"> individuals, including  </w:t>
      </w:r>
      <w:r w:rsidR="001E4669">
        <w:t xml:space="preserve">a </w:t>
      </w:r>
      <w:r>
        <w:t xml:space="preserve">pharmacist and </w:t>
      </w:r>
      <w:r w:rsidR="001E4669">
        <w:t xml:space="preserve">a </w:t>
      </w:r>
      <w:r>
        <w:t xml:space="preserve">pharmacy school student with retail pharmacy experience with e-prescribing. </w:t>
      </w:r>
    </w:p>
    <w:p w:rsidR="007B77EF" w:rsidRPr="007E69DA" w:rsidRDefault="007B77EF" w:rsidP="007B77EF">
      <w:pPr>
        <w:pStyle w:val="HeadingOMB2"/>
      </w:pPr>
      <w:bookmarkStart w:id="17" w:name="_Toc230760772"/>
      <w:r w:rsidRPr="007E69DA">
        <w:t>5. Statistical Consultants</w:t>
      </w:r>
      <w:bookmarkEnd w:id="15"/>
      <w:bookmarkEnd w:id="16"/>
      <w:bookmarkEnd w:id="17"/>
    </w:p>
    <w:p w:rsidR="007B77EF" w:rsidRDefault="007B77EF" w:rsidP="007B77EF">
      <w:r>
        <w:t>Because this study is qualitative, no statistical consultants were contacted.</w:t>
      </w:r>
    </w:p>
    <w:p w:rsidR="007B77EF" w:rsidRDefault="007B77EF" w:rsidP="007B77EF"/>
    <w:p w:rsidR="007B77EF" w:rsidRPr="00F34C93" w:rsidRDefault="007B77EF" w:rsidP="007B77EF">
      <w:r>
        <w:t xml:space="preserve">AHRQ’s contractor, HSC, will be responsible for overseeing the recruitment of participants, conducting all of the interviews, and analyzing and reporting the findings. The principal investigator and project director is Joy M. Grossman, Ph.D. She can be reached by phone at 202-484-3298 or by email at </w:t>
      </w:r>
      <w:hyperlink r:id="rId7" w:history="1">
        <w:r w:rsidRPr="008B2F3D">
          <w:rPr>
            <w:rStyle w:val="Hyperlink"/>
          </w:rPr>
          <w:t>jgrossman@hschange.org</w:t>
        </w:r>
      </w:hyperlink>
      <w:r>
        <w:t xml:space="preserve">. </w:t>
      </w:r>
    </w:p>
    <w:p w:rsidR="007B77EF" w:rsidRPr="007E69DA" w:rsidRDefault="007B77EF" w:rsidP="007B77EF">
      <w:pPr>
        <w:pStyle w:val="HeadingOMB2"/>
      </w:pPr>
      <w:bookmarkStart w:id="18" w:name="_Toc230760773"/>
      <w:r w:rsidRPr="007E69DA">
        <w:t>6. Analysis Plan</w:t>
      </w:r>
      <w:bookmarkEnd w:id="18"/>
    </w:p>
    <w:p w:rsidR="007B77EF" w:rsidRDefault="007B77EF" w:rsidP="007B77EF">
      <w:r>
        <w:t>On a rolling basis over the course of the project, the project team will review interview notes and meet regularly to discuss the study’s key findings. Using an iterative process, the team will identify new themes as they emerge, explore and shape already identified themes in greater depth, and ensure that saturation in the data collection is reached. The interview data will be coded using the “integrated” approach described by Bradley et al. (2007). This approach combines the inductive development of codes from the data—the “grounded theory” approach (Glaser and Strauss 1967)—with a preliminary deductive “start list” of codes, which provides an initial organizing framework based on the existing literature (Miles and Huberman 1994). Atlas.ti software (V</w:t>
      </w:r>
      <w:r w:rsidRPr="005613C9">
        <w:t xml:space="preserve">ersion </w:t>
      </w:r>
      <w:r>
        <w:t>5.0)</w:t>
      </w:r>
      <w:r w:rsidRPr="005613C9">
        <w:t xml:space="preserve"> </w:t>
      </w:r>
      <w:r>
        <w:t>will be used to store, code and search the interview data for analysis. Data reduction will be achieved by summarizing coded interview data from Atlas.ti in data tables, which will then be analyzed to refine themes, weight the evidence supporting each finding, and identify respondent disagreements and disconfirming evidence.</w:t>
      </w:r>
    </w:p>
    <w:p w:rsidR="007B77EF" w:rsidRDefault="007B77EF" w:rsidP="00A04531">
      <w:pPr>
        <w:pStyle w:val="HeadingOMB1"/>
        <w:spacing w:after="0"/>
      </w:pPr>
      <w:bookmarkStart w:id="19" w:name="_Toc230760774"/>
      <w:r>
        <w:t>REFERENCES</w:t>
      </w:r>
      <w:bookmarkEnd w:id="19"/>
    </w:p>
    <w:p w:rsidR="0001130B" w:rsidRDefault="0001130B" w:rsidP="00A04531">
      <w:r w:rsidRPr="002C0DD1">
        <w:t>Bradley</w:t>
      </w:r>
      <w:r>
        <w:t>,</w:t>
      </w:r>
      <w:r w:rsidRPr="002C0DD1">
        <w:t xml:space="preserve"> E</w:t>
      </w:r>
      <w:r>
        <w:t xml:space="preserve">lizabeth </w:t>
      </w:r>
      <w:r w:rsidRPr="002C0DD1">
        <w:t>H</w:t>
      </w:r>
      <w:r>
        <w:t>.</w:t>
      </w:r>
      <w:r w:rsidRPr="002C0DD1">
        <w:t xml:space="preserve">, </w:t>
      </w:r>
      <w:r>
        <w:t xml:space="preserve">Leslie A. </w:t>
      </w:r>
      <w:r w:rsidRPr="002C0DD1">
        <w:t xml:space="preserve">Curry and </w:t>
      </w:r>
      <w:r>
        <w:t xml:space="preserve">Kelly J. </w:t>
      </w:r>
      <w:r w:rsidRPr="002C0DD1">
        <w:t>Devers</w:t>
      </w:r>
      <w:r>
        <w:t>,</w:t>
      </w:r>
      <w:r w:rsidRPr="002C0DD1">
        <w:t xml:space="preserve"> </w:t>
      </w:r>
      <w:r>
        <w:t>“</w:t>
      </w:r>
      <w:r w:rsidRPr="00DE0F1F">
        <w:t xml:space="preserve">Qualitative </w:t>
      </w:r>
      <w:r>
        <w:t>D</w:t>
      </w:r>
      <w:r w:rsidRPr="00DE0F1F">
        <w:t xml:space="preserve">ata </w:t>
      </w:r>
      <w:r>
        <w:t>A</w:t>
      </w:r>
      <w:r w:rsidRPr="00DE0F1F">
        <w:t xml:space="preserve">nalysis for </w:t>
      </w:r>
      <w:r>
        <w:t>H</w:t>
      </w:r>
      <w:r w:rsidRPr="00DE0F1F">
        <w:t xml:space="preserve">ealth </w:t>
      </w:r>
      <w:r>
        <w:t>S</w:t>
      </w:r>
      <w:r w:rsidRPr="00DE0F1F">
        <w:t xml:space="preserve">ervices </w:t>
      </w:r>
      <w:r>
        <w:t>R</w:t>
      </w:r>
      <w:r w:rsidRPr="00DE0F1F">
        <w:t xml:space="preserve">esearch: Developing </w:t>
      </w:r>
      <w:r>
        <w:t>T</w:t>
      </w:r>
      <w:r w:rsidRPr="00DE0F1F">
        <w:t xml:space="preserve">axonomy, </w:t>
      </w:r>
      <w:r>
        <w:t>T</w:t>
      </w:r>
      <w:r w:rsidRPr="00DE0F1F">
        <w:t xml:space="preserve">hemes, and </w:t>
      </w:r>
      <w:r>
        <w:t>T</w:t>
      </w:r>
      <w:r w:rsidRPr="00DE0F1F">
        <w:t>heory</w:t>
      </w:r>
      <w:r>
        <w:t>,”</w:t>
      </w:r>
      <w:r w:rsidRPr="002C0DD1">
        <w:t xml:space="preserve"> </w:t>
      </w:r>
      <w:r w:rsidRPr="00DE0F1F">
        <w:rPr>
          <w:i/>
        </w:rPr>
        <w:t>Health Services Research</w:t>
      </w:r>
      <w:r>
        <w:rPr>
          <w:i/>
        </w:rPr>
        <w:t>,</w:t>
      </w:r>
      <w:r>
        <w:t xml:space="preserve"> Vol. 42, No.4 (Jan. </w:t>
      </w:r>
      <w:r w:rsidRPr="002C0DD1">
        <w:t>2007</w:t>
      </w:r>
      <w:r>
        <w:t>)</w:t>
      </w:r>
      <w:r w:rsidRPr="002C0DD1">
        <w:t>.</w:t>
      </w:r>
    </w:p>
    <w:p w:rsidR="00A04531" w:rsidRDefault="00A04531" w:rsidP="00A04531"/>
    <w:p w:rsidR="0001130B" w:rsidRPr="00A2677B" w:rsidRDefault="0001130B" w:rsidP="00A04531">
      <w:r w:rsidRPr="002365C9">
        <w:t xml:space="preserve">Center for Studying Health System Change, </w:t>
      </w:r>
      <w:r w:rsidRPr="000B482C">
        <w:rPr>
          <w:i/>
        </w:rPr>
        <w:t>Design and Methods for the Community Tracking Study</w:t>
      </w:r>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rsidRPr="002365C9">
        <w:t xml:space="preserve"> </w:t>
      </w:r>
      <w:r>
        <w:t>(</w:t>
      </w:r>
      <w:r w:rsidRPr="002365C9">
        <w:t xml:space="preserve">March </w:t>
      </w:r>
      <w:r>
        <w:t xml:space="preserve">2, </w:t>
      </w:r>
      <w:r w:rsidRPr="002365C9">
        <w:t>2007</w:t>
      </w:r>
      <w:hyperlink w:history="1"/>
      <w:r>
        <w:t xml:space="preserve">), </w:t>
      </w:r>
      <w:r w:rsidRPr="000B482C">
        <w:t>http://www.hschange.org/index.cgi?data=01</w:t>
      </w:r>
      <w:r w:rsidRPr="002365C9">
        <w:t xml:space="preserve">. </w:t>
      </w:r>
    </w:p>
    <w:p w:rsidR="0001130B" w:rsidRDefault="0001130B" w:rsidP="0088021F">
      <w:pPr>
        <w:spacing w:before="100" w:beforeAutospacing="1"/>
      </w:pPr>
      <w:r w:rsidRPr="006E6A62">
        <w:t xml:space="preserve">Glaser, Barney G., and Anselm Strauss, </w:t>
      </w:r>
      <w:r w:rsidRPr="006E6A62">
        <w:rPr>
          <w:i/>
        </w:rPr>
        <w:t>The Discovery of Grounded Theory: Strategies for Qualitative Research</w:t>
      </w:r>
      <w:r w:rsidRPr="006E6A62">
        <w:t xml:space="preserve">, Aldine de Gruyter, </w:t>
      </w:r>
      <w:smartTag w:uri="urn:schemas-microsoft-com:office:smarttags" w:element="place">
        <w:smartTag w:uri="urn:schemas-microsoft-com:office:smarttags" w:element="City">
          <w:r w:rsidRPr="006E6A62">
            <w:t>Hawthorne</w:t>
          </w:r>
        </w:smartTag>
        <w:r w:rsidRPr="006E6A62">
          <w:t xml:space="preserve">, </w:t>
        </w:r>
        <w:smartTag w:uri="urn:schemas-microsoft-com:office:smarttags" w:element="State">
          <w:r w:rsidRPr="006E6A62">
            <w:t>NY</w:t>
          </w:r>
        </w:smartTag>
      </w:smartTag>
      <w:r>
        <w:t>. (1967).</w:t>
      </w:r>
    </w:p>
    <w:p w:rsidR="0025503A" w:rsidRDefault="0025503A" w:rsidP="007B77EF"/>
    <w:p w:rsidR="007B77EF" w:rsidRDefault="0001130B" w:rsidP="00CF2E24">
      <w:pPr>
        <w:tabs>
          <w:tab w:val="left" w:pos="-1440"/>
          <w:tab w:val="left" w:pos="-727"/>
          <w:tab w:val="left" w:pos="0"/>
          <w:tab w:val="left" w:pos="724"/>
          <w:tab w:val="left" w:pos="1440"/>
          <w:tab w:val="left" w:pos="2160"/>
          <w:tab w:val="left" w:pos="2880"/>
          <w:tab w:val="left" w:pos="3600"/>
          <w:tab w:val="left" w:pos="4320"/>
          <w:tab w:val="left" w:pos="4658"/>
          <w:tab w:val="left" w:pos="5040"/>
          <w:tab w:val="left" w:pos="5760"/>
          <w:tab w:val="left" w:pos="6480"/>
          <w:tab w:val="left" w:pos="7200"/>
          <w:tab w:val="left" w:pos="7920"/>
          <w:tab w:val="left" w:pos="8640"/>
          <w:tab w:val="left" w:pos="9360"/>
        </w:tabs>
      </w:pPr>
      <w:r>
        <w:t xml:space="preserve">Miles, Matthew B., and A. Michael Huberman, </w:t>
      </w:r>
      <w:r>
        <w:rPr>
          <w:i/>
        </w:rPr>
        <w:t xml:space="preserve">Qualitative Data Analysis, </w:t>
      </w:r>
      <w:r w:rsidRPr="00845195">
        <w:t>Sage</w:t>
      </w:r>
      <w:r>
        <w:rPr>
          <w:i/>
        </w:rPr>
        <w:t xml:space="preserve"> </w:t>
      </w:r>
      <w:r>
        <w:t xml:space="preserve">Publications, </w:t>
      </w:r>
      <w:smartTag w:uri="urn:schemas-microsoft-com:office:smarttags" w:element="place">
        <w:smartTag w:uri="urn:schemas-microsoft-com:office:smarttags" w:element="City">
          <w:r>
            <w:t>Thousand Oaks</w:t>
          </w:r>
        </w:smartTag>
      </w:smartTag>
      <w:r>
        <w:t>, Ca. (1994).</w:t>
      </w:r>
    </w:p>
    <w:sectPr w:rsidR="007B77EF" w:rsidSect="007B77EF">
      <w:footerReference w:type="even" r:id="rId8"/>
      <w:footerReference w:type="default" r:id="rId9"/>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E3F" w:rsidRDefault="00572E3F">
      <w:r>
        <w:separator/>
      </w:r>
    </w:p>
  </w:endnote>
  <w:endnote w:type="continuationSeparator" w:id="0">
    <w:p w:rsidR="00572E3F" w:rsidRDefault="00572E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E2B" w:rsidRDefault="00492E2B" w:rsidP="007B7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2E2B" w:rsidRDefault="00492E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E2B" w:rsidRDefault="00492E2B" w:rsidP="007B7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1CAF">
      <w:rPr>
        <w:rStyle w:val="PageNumber"/>
        <w:noProof/>
      </w:rPr>
      <w:t>- 7 -</w:t>
    </w:r>
    <w:r>
      <w:rPr>
        <w:rStyle w:val="PageNumber"/>
      </w:rPr>
      <w:fldChar w:fldCharType="end"/>
    </w:r>
  </w:p>
  <w:p w:rsidR="00492E2B" w:rsidRDefault="00492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E3F" w:rsidRDefault="00572E3F">
      <w:r>
        <w:separator/>
      </w:r>
    </w:p>
  </w:footnote>
  <w:footnote w:type="continuationSeparator" w:id="0">
    <w:p w:rsidR="00572E3F" w:rsidRDefault="00572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BCE956"/>
    <w:lvl w:ilvl="0">
      <w:start w:val="1"/>
      <w:numFmt w:val="bullet"/>
      <w:lvlText w:val=""/>
      <w:lvlJc w:val="left"/>
      <w:pPr>
        <w:tabs>
          <w:tab w:val="num" w:pos="360"/>
        </w:tabs>
        <w:ind w:left="360" w:hanging="360"/>
      </w:pPr>
      <w:rPr>
        <w:rFonts w:ascii="Symbol" w:hAnsi="Symbol" w:hint="default"/>
      </w:rPr>
    </w:lvl>
  </w:abstractNum>
  <w:abstractNum w:abstractNumId="1">
    <w:nsid w:val="01C05978"/>
    <w:multiLevelType w:val="hybridMultilevel"/>
    <w:tmpl w:val="11B492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156EA"/>
    <w:multiLevelType w:val="hybridMultilevel"/>
    <w:tmpl w:val="09C6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007FD"/>
    <w:multiLevelType w:val="hybridMultilevel"/>
    <w:tmpl w:val="4E4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412AE1"/>
    <w:multiLevelType w:val="hybridMultilevel"/>
    <w:tmpl w:val="22D24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Wingding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Wingdings"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Wingdings"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529B8"/>
    <w:multiLevelType w:val="hybridMultilevel"/>
    <w:tmpl w:val="4882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313908"/>
    <w:multiLevelType w:val="hybridMultilevel"/>
    <w:tmpl w:val="4384A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64077"/>
    <w:multiLevelType w:val="hybridMultilevel"/>
    <w:tmpl w:val="FC8637EA"/>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DC72B2"/>
    <w:multiLevelType w:val="hybridMultilevel"/>
    <w:tmpl w:val="E53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3">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B51724"/>
    <w:multiLevelType w:val="hybridMultilevel"/>
    <w:tmpl w:val="100872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29">
    <w:nsid w:val="7DE100B2"/>
    <w:multiLevelType w:val="hybridMultilevel"/>
    <w:tmpl w:val="CFD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14"/>
  </w:num>
  <w:num w:numId="4">
    <w:abstractNumId w:val="20"/>
  </w:num>
  <w:num w:numId="5">
    <w:abstractNumId w:val="16"/>
  </w:num>
  <w:num w:numId="6">
    <w:abstractNumId w:val="24"/>
  </w:num>
  <w:num w:numId="7">
    <w:abstractNumId w:val="10"/>
  </w:num>
  <w:num w:numId="8">
    <w:abstractNumId w:val="3"/>
  </w:num>
  <w:num w:numId="9">
    <w:abstractNumId w:val="19"/>
  </w:num>
  <w:num w:numId="10">
    <w:abstractNumId w:val="4"/>
  </w:num>
  <w:num w:numId="11">
    <w:abstractNumId w:val="6"/>
  </w:num>
  <w:num w:numId="12">
    <w:abstractNumId w:val="17"/>
  </w:num>
  <w:num w:numId="13">
    <w:abstractNumId w:val="26"/>
  </w:num>
  <w:num w:numId="14">
    <w:abstractNumId w:val="1"/>
  </w:num>
  <w:num w:numId="15">
    <w:abstractNumId w:val="27"/>
  </w:num>
  <w:num w:numId="16">
    <w:abstractNumId w:val="12"/>
  </w:num>
  <w:num w:numId="17">
    <w:abstractNumId w:val="8"/>
  </w:num>
  <w:num w:numId="18">
    <w:abstractNumId w:val="2"/>
  </w:num>
  <w:num w:numId="19">
    <w:abstractNumId w:val="7"/>
  </w:num>
  <w:num w:numId="20">
    <w:abstractNumId w:val="11"/>
  </w:num>
  <w:num w:numId="21">
    <w:abstractNumId w:val="23"/>
  </w:num>
  <w:num w:numId="22">
    <w:abstractNumId w:val="18"/>
  </w:num>
  <w:num w:numId="23">
    <w:abstractNumId w:val="13"/>
  </w:num>
  <w:num w:numId="24">
    <w:abstractNumId w:val="25"/>
  </w:num>
  <w:num w:numId="25">
    <w:abstractNumId w:val="5"/>
  </w:num>
  <w:num w:numId="26">
    <w:abstractNumId w:val="0"/>
  </w:num>
  <w:num w:numId="27">
    <w:abstractNumId w:val="21"/>
  </w:num>
  <w:num w:numId="28">
    <w:abstractNumId w:val="9"/>
  </w:num>
  <w:num w:numId="29">
    <w:abstractNumId w:val="29"/>
  </w:num>
  <w:num w:numId="30">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trackRevisions/>
  <w:defaultTabStop w:val="720"/>
  <w:drawingGridHorizontalSpacing w:val="120"/>
  <w:displayHorizontalDrawingGridEvery w:val="2"/>
  <w:noPunctuationKerning/>
  <w:characterSpacingControl w:val="doNotCompress"/>
  <w:savePreviewPicture/>
  <w:hdrShapeDefaults>
    <o:shapedefaults v:ext="edit" spidmax="3074"/>
  </w:hdrShapeDefault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E88"/>
    <w:rsid w:val="0001130B"/>
    <w:rsid w:val="00044497"/>
    <w:rsid w:val="00052C7D"/>
    <w:rsid w:val="00080A02"/>
    <w:rsid w:val="00086A24"/>
    <w:rsid w:val="00090269"/>
    <w:rsid w:val="000A3871"/>
    <w:rsid w:val="000C0FC4"/>
    <w:rsid w:val="000C799C"/>
    <w:rsid w:val="000E3CB8"/>
    <w:rsid w:val="000F1CAF"/>
    <w:rsid w:val="001111D6"/>
    <w:rsid w:val="00151972"/>
    <w:rsid w:val="00171A00"/>
    <w:rsid w:val="001C4AB2"/>
    <w:rsid w:val="001E4669"/>
    <w:rsid w:val="00217DA0"/>
    <w:rsid w:val="0025503A"/>
    <w:rsid w:val="00265D8E"/>
    <w:rsid w:val="00271AAA"/>
    <w:rsid w:val="002E42F4"/>
    <w:rsid w:val="002E5880"/>
    <w:rsid w:val="002E7FDF"/>
    <w:rsid w:val="003004CD"/>
    <w:rsid w:val="0037460D"/>
    <w:rsid w:val="003A0433"/>
    <w:rsid w:val="003B3B40"/>
    <w:rsid w:val="003E1A83"/>
    <w:rsid w:val="00401E64"/>
    <w:rsid w:val="0043529C"/>
    <w:rsid w:val="00441039"/>
    <w:rsid w:val="00492E2B"/>
    <w:rsid w:val="004B7477"/>
    <w:rsid w:val="004C3D7A"/>
    <w:rsid w:val="004D77B6"/>
    <w:rsid w:val="00572E3F"/>
    <w:rsid w:val="0058491E"/>
    <w:rsid w:val="00597DB4"/>
    <w:rsid w:val="005A59ED"/>
    <w:rsid w:val="005B28E5"/>
    <w:rsid w:val="005C4954"/>
    <w:rsid w:val="005D2535"/>
    <w:rsid w:val="005F7DBC"/>
    <w:rsid w:val="006016BF"/>
    <w:rsid w:val="00610D57"/>
    <w:rsid w:val="0062565F"/>
    <w:rsid w:val="00672C78"/>
    <w:rsid w:val="006A72C6"/>
    <w:rsid w:val="00716AA1"/>
    <w:rsid w:val="00734DB7"/>
    <w:rsid w:val="00782DEA"/>
    <w:rsid w:val="007B77EF"/>
    <w:rsid w:val="007D4116"/>
    <w:rsid w:val="00835F92"/>
    <w:rsid w:val="0088021F"/>
    <w:rsid w:val="0088146A"/>
    <w:rsid w:val="008B5DE0"/>
    <w:rsid w:val="009078D0"/>
    <w:rsid w:val="00913E49"/>
    <w:rsid w:val="00971546"/>
    <w:rsid w:val="0099203F"/>
    <w:rsid w:val="00996188"/>
    <w:rsid w:val="009C35E2"/>
    <w:rsid w:val="009D07B9"/>
    <w:rsid w:val="00A04531"/>
    <w:rsid w:val="00A07FB3"/>
    <w:rsid w:val="00A22B6F"/>
    <w:rsid w:val="00A32FAB"/>
    <w:rsid w:val="00A66D74"/>
    <w:rsid w:val="00A8188D"/>
    <w:rsid w:val="00A85775"/>
    <w:rsid w:val="00A915C9"/>
    <w:rsid w:val="00A9736B"/>
    <w:rsid w:val="00A97E46"/>
    <w:rsid w:val="00AE2194"/>
    <w:rsid w:val="00B7203B"/>
    <w:rsid w:val="00BD53B3"/>
    <w:rsid w:val="00BF25C9"/>
    <w:rsid w:val="00C1155C"/>
    <w:rsid w:val="00C15B30"/>
    <w:rsid w:val="00C2003D"/>
    <w:rsid w:val="00C20CEA"/>
    <w:rsid w:val="00C2136D"/>
    <w:rsid w:val="00C85486"/>
    <w:rsid w:val="00CA654A"/>
    <w:rsid w:val="00CB0AF8"/>
    <w:rsid w:val="00CC01E6"/>
    <w:rsid w:val="00CE03B6"/>
    <w:rsid w:val="00CE0D4B"/>
    <w:rsid w:val="00CF2E24"/>
    <w:rsid w:val="00D14BC4"/>
    <w:rsid w:val="00D55358"/>
    <w:rsid w:val="00DC191B"/>
    <w:rsid w:val="00DD7C72"/>
    <w:rsid w:val="00DE6A12"/>
    <w:rsid w:val="00E0329D"/>
    <w:rsid w:val="00E534DA"/>
    <w:rsid w:val="00EC4088"/>
    <w:rsid w:val="00EC7A8F"/>
    <w:rsid w:val="00ED462B"/>
    <w:rsid w:val="00EE7641"/>
    <w:rsid w:val="00F200D1"/>
    <w:rsid w:val="00F5059E"/>
    <w:rsid w:val="00F95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basedOn w:val="Normal"/>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F5451F"/>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HeadingOMB1">
    <w:name w:val="Heading OMB1"/>
    <w:basedOn w:val="Heading1"/>
    <w:qFormat/>
    <w:rsid w:val="00227821"/>
    <w:rPr>
      <w:rFonts w:cs="Times New Roman"/>
      <w:sz w:val="24"/>
      <w:szCs w:val="24"/>
    </w:rPr>
  </w:style>
  <w:style w:type="paragraph" w:customStyle="1" w:styleId="HeadingOMB2">
    <w:name w:val="Heading OMB2"/>
    <w:basedOn w:val="Heading1"/>
    <w:qFormat/>
    <w:rsid w:val="00227821"/>
    <w:rPr>
      <w:rFonts w:cs="Times New Roman"/>
      <w:i/>
      <w:sz w:val="24"/>
      <w:szCs w:val="24"/>
    </w:rPr>
  </w:style>
  <w:style w:type="paragraph" w:styleId="TOCHeading">
    <w:name w:val="TOC Heading"/>
    <w:basedOn w:val="Heading1"/>
    <w:next w:val="Normal"/>
    <w:uiPriority w:val="39"/>
    <w:qFormat/>
    <w:rsid w:val="00227821"/>
    <w:pPr>
      <w:keepLines/>
      <w:spacing w:before="480" w:after="0" w:line="276" w:lineRule="auto"/>
      <w:outlineLvl w:val="9"/>
    </w:pPr>
    <w:rPr>
      <w:rFonts w:ascii="Cambria" w:hAnsi="Cambria" w:cs="Times New Roman"/>
      <w:color w:val="365F91"/>
      <w:kern w:val="0"/>
      <w:sz w:val="28"/>
      <w:szCs w:val="28"/>
    </w:rPr>
  </w:style>
  <w:style w:type="paragraph" w:styleId="DocumentMap">
    <w:name w:val="Document Map"/>
    <w:basedOn w:val="Normal"/>
    <w:semiHidden/>
    <w:rsid w:val="00F9535F"/>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2572369">
      <w:bodyDiv w:val="1"/>
      <w:marLeft w:val="0"/>
      <w:marRight w:val="0"/>
      <w:marTop w:val="0"/>
      <w:marBottom w:val="0"/>
      <w:divBdr>
        <w:top w:val="none" w:sz="0" w:space="0" w:color="auto"/>
        <w:left w:val="none" w:sz="0" w:space="0" w:color="auto"/>
        <w:bottom w:val="none" w:sz="0" w:space="0" w:color="auto"/>
        <w:right w:val="none" w:sz="0" w:space="0" w:color="auto"/>
      </w:divBdr>
    </w:div>
    <w:div w:id="231474752">
      <w:bodyDiv w:val="1"/>
      <w:marLeft w:val="0"/>
      <w:marRight w:val="0"/>
      <w:marTop w:val="0"/>
      <w:marBottom w:val="0"/>
      <w:divBdr>
        <w:top w:val="none" w:sz="0" w:space="0" w:color="auto"/>
        <w:left w:val="none" w:sz="0" w:space="0" w:color="auto"/>
        <w:bottom w:val="none" w:sz="0" w:space="0" w:color="auto"/>
        <w:right w:val="none" w:sz="0" w:space="0" w:color="auto"/>
      </w:divBdr>
      <w:divsChild>
        <w:div w:id="852188417">
          <w:marLeft w:val="0"/>
          <w:marRight w:val="0"/>
          <w:marTop w:val="0"/>
          <w:marBottom w:val="0"/>
          <w:divBdr>
            <w:top w:val="none" w:sz="0" w:space="0" w:color="auto"/>
            <w:left w:val="none" w:sz="0" w:space="0" w:color="auto"/>
            <w:bottom w:val="none" w:sz="0" w:space="0" w:color="auto"/>
            <w:right w:val="none" w:sz="0" w:space="0" w:color="auto"/>
          </w:divBdr>
          <w:divsChild>
            <w:div w:id="315425386">
              <w:marLeft w:val="0"/>
              <w:marRight w:val="0"/>
              <w:marTop w:val="0"/>
              <w:marBottom w:val="1340"/>
              <w:divBdr>
                <w:top w:val="none" w:sz="0" w:space="0" w:color="auto"/>
                <w:left w:val="none" w:sz="0" w:space="0" w:color="auto"/>
                <w:bottom w:val="none" w:sz="0" w:space="0" w:color="auto"/>
                <w:right w:val="none" w:sz="0" w:space="0" w:color="auto"/>
              </w:divBdr>
              <w:divsChild>
                <w:div w:id="639456439">
                  <w:marLeft w:val="0"/>
                  <w:marRight w:val="0"/>
                  <w:marTop w:val="0"/>
                  <w:marBottom w:val="0"/>
                  <w:divBdr>
                    <w:top w:val="none" w:sz="0" w:space="0" w:color="auto"/>
                    <w:left w:val="none" w:sz="0" w:space="0" w:color="auto"/>
                    <w:bottom w:val="none" w:sz="0" w:space="0" w:color="auto"/>
                    <w:right w:val="none" w:sz="0" w:space="0" w:color="auto"/>
                  </w:divBdr>
                  <w:divsChild>
                    <w:div w:id="29341496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385496046">
      <w:bodyDiv w:val="1"/>
      <w:marLeft w:val="0"/>
      <w:marRight w:val="0"/>
      <w:marTop w:val="0"/>
      <w:marBottom w:val="0"/>
      <w:divBdr>
        <w:top w:val="none" w:sz="0" w:space="0" w:color="auto"/>
        <w:left w:val="none" w:sz="0" w:space="0" w:color="auto"/>
        <w:bottom w:val="none" w:sz="0" w:space="0" w:color="auto"/>
        <w:right w:val="none" w:sz="0" w:space="0" w:color="auto"/>
      </w:divBdr>
    </w:div>
    <w:div w:id="400913470">
      <w:bodyDiv w:val="1"/>
      <w:marLeft w:val="0"/>
      <w:marRight w:val="0"/>
      <w:marTop w:val="0"/>
      <w:marBottom w:val="0"/>
      <w:divBdr>
        <w:top w:val="none" w:sz="0" w:space="0" w:color="auto"/>
        <w:left w:val="none" w:sz="0" w:space="0" w:color="auto"/>
        <w:bottom w:val="none" w:sz="0" w:space="0" w:color="auto"/>
        <w:right w:val="none" w:sz="0" w:space="0" w:color="auto"/>
      </w:divBdr>
    </w:div>
    <w:div w:id="433015953">
      <w:bodyDiv w:val="1"/>
      <w:marLeft w:val="0"/>
      <w:marRight w:val="0"/>
      <w:marTop w:val="0"/>
      <w:marBottom w:val="0"/>
      <w:divBdr>
        <w:top w:val="none" w:sz="0" w:space="0" w:color="auto"/>
        <w:left w:val="none" w:sz="0" w:space="0" w:color="auto"/>
        <w:bottom w:val="none" w:sz="0" w:space="0" w:color="auto"/>
        <w:right w:val="none" w:sz="0" w:space="0" w:color="auto"/>
      </w:divBdr>
    </w:div>
    <w:div w:id="58899910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139306">
      <w:bodyDiv w:val="1"/>
      <w:marLeft w:val="0"/>
      <w:marRight w:val="0"/>
      <w:marTop w:val="0"/>
      <w:marBottom w:val="0"/>
      <w:divBdr>
        <w:top w:val="none" w:sz="0" w:space="0" w:color="auto"/>
        <w:left w:val="none" w:sz="0" w:space="0" w:color="auto"/>
        <w:bottom w:val="none" w:sz="0" w:space="0" w:color="auto"/>
        <w:right w:val="none" w:sz="0" w:space="0" w:color="auto"/>
      </w:divBdr>
    </w:div>
    <w:div w:id="654452536">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86968061">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69178158">
      <w:bodyDiv w:val="1"/>
      <w:marLeft w:val="0"/>
      <w:marRight w:val="0"/>
      <w:marTop w:val="0"/>
      <w:marBottom w:val="0"/>
      <w:divBdr>
        <w:top w:val="none" w:sz="0" w:space="0" w:color="auto"/>
        <w:left w:val="none" w:sz="0" w:space="0" w:color="auto"/>
        <w:bottom w:val="none" w:sz="0" w:space="0" w:color="auto"/>
        <w:right w:val="none" w:sz="0" w:space="0" w:color="auto"/>
      </w:divBdr>
    </w:div>
    <w:div w:id="122868808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13239477">
      <w:bodyDiv w:val="1"/>
      <w:marLeft w:val="0"/>
      <w:marRight w:val="0"/>
      <w:marTop w:val="0"/>
      <w:marBottom w:val="0"/>
      <w:divBdr>
        <w:top w:val="none" w:sz="0" w:space="0" w:color="auto"/>
        <w:left w:val="none" w:sz="0" w:space="0" w:color="auto"/>
        <w:bottom w:val="none" w:sz="0" w:space="0" w:color="auto"/>
        <w:right w:val="none" w:sz="0" w:space="0" w:color="auto"/>
      </w:divBdr>
      <w:divsChild>
        <w:div w:id="667908697">
          <w:marLeft w:val="0"/>
          <w:marRight w:val="0"/>
          <w:marTop w:val="0"/>
          <w:marBottom w:val="0"/>
          <w:divBdr>
            <w:top w:val="none" w:sz="0" w:space="0" w:color="auto"/>
            <w:left w:val="none" w:sz="0" w:space="0" w:color="auto"/>
            <w:bottom w:val="none" w:sz="0" w:space="0" w:color="auto"/>
            <w:right w:val="none" w:sz="0" w:space="0" w:color="auto"/>
          </w:divBdr>
          <w:divsChild>
            <w:div w:id="479273777">
              <w:marLeft w:val="0"/>
              <w:marRight w:val="0"/>
              <w:marTop w:val="0"/>
              <w:marBottom w:val="1340"/>
              <w:divBdr>
                <w:top w:val="none" w:sz="0" w:space="0" w:color="auto"/>
                <w:left w:val="none" w:sz="0" w:space="0" w:color="auto"/>
                <w:bottom w:val="none" w:sz="0" w:space="0" w:color="auto"/>
                <w:right w:val="none" w:sz="0" w:space="0" w:color="auto"/>
              </w:divBdr>
              <w:divsChild>
                <w:div w:id="1380595663">
                  <w:marLeft w:val="0"/>
                  <w:marRight w:val="0"/>
                  <w:marTop w:val="0"/>
                  <w:marBottom w:val="0"/>
                  <w:divBdr>
                    <w:top w:val="none" w:sz="0" w:space="0" w:color="auto"/>
                    <w:left w:val="none" w:sz="0" w:space="0" w:color="auto"/>
                    <w:bottom w:val="none" w:sz="0" w:space="0" w:color="auto"/>
                    <w:right w:val="none" w:sz="0" w:space="0" w:color="auto"/>
                  </w:divBdr>
                  <w:divsChild>
                    <w:div w:id="30855864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51962307">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2152399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grossman@hschan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1978</Words>
  <Characters>11276</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OMB Clearance Application</vt:lpstr>
      <vt:lpstr>B. Collections of Information Employing Statistical Methods</vt:lpstr>
      <vt:lpstr>1. Respondent Universe and Sampling Methods</vt:lpstr>
      <vt:lpstr>2. Information Collection Procedures</vt:lpstr>
      <vt:lpstr>3. Methods to Maximize Response Rates</vt:lpstr>
      <vt:lpstr>4. Tests of Procedures</vt:lpstr>
      <vt:lpstr>5. Statistical Consultants</vt:lpstr>
      <vt:lpstr>6. Analysis Plan</vt:lpstr>
      <vt:lpstr>REFERENCES</vt:lpstr>
    </vt:vector>
  </TitlesOfParts>
  <Company>N.O.R.C.</Company>
  <LinksUpToDate>false</LinksUpToDate>
  <CharactersWithSpaces>13228</CharactersWithSpaces>
  <SharedDoc>false</SharedDoc>
  <HLinks>
    <vt:vector size="54" baseType="variant">
      <vt:variant>
        <vt:i4>5963887</vt:i4>
      </vt:variant>
      <vt:variant>
        <vt:i4>51</vt:i4>
      </vt:variant>
      <vt:variant>
        <vt:i4>0</vt:i4>
      </vt:variant>
      <vt:variant>
        <vt:i4>5</vt:i4>
      </vt:variant>
      <vt:variant>
        <vt:lpwstr>mailto:jgrossman@hschange.org</vt:lpwstr>
      </vt:variant>
      <vt:variant>
        <vt:lpwstr/>
      </vt:variant>
      <vt:variant>
        <vt:i4>1310771</vt:i4>
      </vt:variant>
      <vt:variant>
        <vt:i4>44</vt:i4>
      </vt:variant>
      <vt:variant>
        <vt:i4>0</vt:i4>
      </vt:variant>
      <vt:variant>
        <vt:i4>5</vt:i4>
      </vt:variant>
      <vt:variant>
        <vt:lpwstr/>
      </vt:variant>
      <vt:variant>
        <vt:lpwstr>_Toc230760774</vt:lpwstr>
      </vt:variant>
      <vt:variant>
        <vt:i4>1310771</vt:i4>
      </vt:variant>
      <vt:variant>
        <vt:i4>38</vt:i4>
      </vt:variant>
      <vt:variant>
        <vt:i4>0</vt:i4>
      </vt:variant>
      <vt:variant>
        <vt:i4>5</vt:i4>
      </vt:variant>
      <vt:variant>
        <vt:lpwstr/>
      </vt:variant>
      <vt:variant>
        <vt:lpwstr>_Toc230760773</vt:lpwstr>
      </vt:variant>
      <vt:variant>
        <vt:i4>1310771</vt:i4>
      </vt:variant>
      <vt:variant>
        <vt:i4>32</vt:i4>
      </vt:variant>
      <vt:variant>
        <vt:i4>0</vt:i4>
      </vt:variant>
      <vt:variant>
        <vt:i4>5</vt:i4>
      </vt:variant>
      <vt:variant>
        <vt:lpwstr/>
      </vt:variant>
      <vt:variant>
        <vt:lpwstr>_Toc230760772</vt:lpwstr>
      </vt:variant>
      <vt:variant>
        <vt:i4>1310771</vt:i4>
      </vt:variant>
      <vt:variant>
        <vt:i4>26</vt:i4>
      </vt:variant>
      <vt:variant>
        <vt:i4>0</vt:i4>
      </vt:variant>
      <vt:variant>
        <vt:i4>5</vt:i4>
      </vt:variant>
      <vt:variant>
        <vt:lpwstr/>
      </vt:variant>
      <vt:variant>
        <vt:lpwstr>_Toc230760771</vt:lpwstr>
      </vt:variant>
      <vt:variant>
        <vt:i4>1310771</vt:i4>
      </vt:variant>
      <vt:variant>
        <vt:i4>20</vt:i4>
      </vt:variant>
      <vt:variant>
        <vt:i4>0</vt:i4>
      </vt:variant>
      <vt:variant>
        <vt:i4>5</vt:i4>
      </vt:variant>
      <vt:variant>
        <vt:lpwstr/>
      </vt:variant>
      <vt:variant>
        <vt:lpwstr>_Toc230760770</vt:lpwstr>
      </vt:variant>
      <vt:variant>
        <vt:i4>1376307</vt:i4>
      </vt:variant>
      <vt:variant>
        <vt:i4>14</vt:i4>
      </vt:variant>
      <vt:variant>
        <vt:i4>0</vt:i4>
      </vt:variant>
      <vt:variant>
        <vt:i4>5</vt:i4>
      </vt:variant>
      <vt:variant>
        <vt:lpwstr/>
      </vt:variant>
      <vt:variant>
        <vt:lpwstr>_Toc230760769</vt:lpwstr>
      </vt:variant>
      <vt:variant>
        <vt:i4>1376307</vt:i4>
      </vt:variant>
      <vt:variant>
        <vt:i4>8</vt:i4>
      </vt:variant>
      <vt:variant>
        <vt:i4>0</vt:i4>
      </vt:variant>
      <vt:variant>
        <vt:i4>5</vt:i4>
      </vt:variant>
      <vt:variant>
        <vt:lpwstr/>
      </vt:variant>
      <vt:variant>
        <vt:lpwstr>_Toc230760768</vt:lpwstr>
      </vt:variant>
      <vt:variant>
        <vt:i4>1376307</vt:i4>
      </vt:variant>
      <vt:variant>
        <vt:i4>2</vt:i4>
      </vt:variant>
      <vt:variant>
        <vt:i4>0</vt:i4>
      </vt:variant>
      <vt:variant>
        <vt:i4>5</vt:i4>
      </vt:variant>
      <vt:variant>
        <vt:lpwstr/>
      </vt:variant>
      <vt:variant>
        <vt:lpwstr>_Toc230760767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Genna Cohen</cp:lastModifiedBy>
  <cp:revision>2</cp:revision>
  <cp:lastPrinted>2009-06-09T15:23:00Z</cp:lastPrinted>
  <dcterms:created xsi:type="dcterms:W3CDTF">2010-01-14T16:17:00Z</dcterms:created>
  <dcterms:modified xsi:type="dcterms:W3CDTF">2010-01-14T16:17:00Z</dcterms:modified>
</cp:coreProperties>
</file>