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B4" w:rsidRDefault="004707B4" w:rsidP="004707B4">
      <w:pPr>
        <w:jc w:val="center"/>
        <w:rPr>
          <w:b/>
          <w:bCs/>
          <w:color w:val="000000"/>
          <w:szCs w:val="24"/>
        </w:rPr>
      </w:pPr>
      <w:r w:rsidRPr="006A08B6">
        <w:rPr>
          <w:b/>
          <w:bCs/>
          <w:color w:val="000000"/>
          <w:szCs w:val="24"/>
        </w:rPr>
        <w:t>Supporting Statement for the</w:t>
      </w:r>
      <w:r>
        <w:rPr>
          <w:b/>
          <w:bCs/>
          <w:color w:val="000000"/>
          <w:szCs w:val="24"/>
        </w:rPr>
        <w:t xml:space="preserve"> </w:t>
      </w:r>
    </w:p>
    <w:p w:rsidR="004707B4" w:rsidRDefault="004707B4" w:rsidP="004707B4">
      <w:pPr>
        <w:jc w:val="center"/>
        <w:rPr>
          <w:b/>
          <w:bCs/>
          <w:color w:val="000000"/>
          <w:szCs w:val="24"/>
        </w:rPr>
      </w:pPr>
      <w:r>
        <w:rPr>
          <w:b/>
          <w:bCs/>
          <w:color w:val="000000"/>
          <w:szCs w:val="24"/>
        </w:rPr>
        <w:t>Risk Based Capital Standards:  Advanced Capital Adequacy Framework</w:t>
      </w:r>
    </w:p>
    <w:p w:rsidR="004707B4" w:rsidRPr="006A08B6" w:rsidRDefault="004707B4" w:rsidP="004707B4">
      <w:pPr>
        <w:jc w:val="center"/>
        <w:rPr>
          <w:color w:val="000000"/>
          <w:szCs w:val="24"/>
        </w:rPr>
      </w:pPr>
      <w:r>
        <w:rPr>
          <w:b/>
          <w:bCs/>
          <w:color w:val="000000"/>
          <w:szCs w:val="24"/>
        </w:rPr>
        <w:t xml:space="preserve">(FR 4200; </w:t>
      </w:r>
      <w:r w:rsidRPr="006A08B6">
        <w:rPr>
          <w:b/>
          <w:bCs/>
          <w:color w:val="000000"/>
          <w:szCs w:val="24"/>
        </w:rPr>
        <w:t xml:space="preserve">OMB No. </w:t>
      </w:r>
      <w:r>
        <w:rPr>
          <w:b/>
          <w:bCs/>
          <w:color w:val="000000"/>
          <w:szCs w:val="24"/>
        </w:rPr>
        <w:t>7100-0313</w:t>
      </w:r>
      <w:r w:rsidRPr="006A08B6">
        <w:rPr>
          <w:b/>
          <w:bCs/>
          <w:color w:val="000000"/>
          <w:szCs w:val="24"/>
        </w:rPr>
        <w:t>)</w:t>
      </w:r>
    </w:p>
    <w:p w:rsidR="004707B4" w:rsidRDefault="004707B4">
      <w:pPr>
        <w:jc w:val="both"/>
        <w:rPr>
          <w:b/>
          <w:bCs/>
          <w:color w:val="000000"/>
          <w:szCs w:val="24"/>
        </w:rPr>
      </w:pPr>
    </w:p>
    <w:p w:rsidR="0097783F" w:rsidRPr="006A08B6" w:rsidRDefault="0097783F">
      <w:pPr>
        <w:jc w:val="both"/>
        <w:rPr>
          <w:color w:val="000000"/>
          <w:szCs w:val="24"/>
        </w:rPr>
      </w:pPr>
      <w:r w:rsidRPr="006A08B6">
        <w:rPr>
          <w:b/>
          <w:bCs/>
          <w:color w:val="000000"/>
          <w:szCs w:val="24"/>
        </w:rPr>
        <w:t>Summary</w:t>
      </w:r>
    </w:p>
    <w:p w:rsidR="0097783F" w:rsidRPr="006A08B6" w:rsidRDefault="0097783F">
      <w:pPr>
        <w:jc w:val="both"/>
        <w:rPr>
          <w:color w:val="000000"/>
          <w:szCs w:val="24"/>
        </w:rPr>
      </w:pPr>
    </w:p>
    <w:p w:rsidR="00566034" w:rsidRDefault="0097783F" w:rsidP="00566034">
      <w:pPr>
        <w:rPr>
          <w:szCs w:val="24"/>
        </w:rPr>
      </w:pPr>
      <w:r w:rsidRPr="006A08B6">
        <w:rPr>
          <w:color w:val="000000"/>
          <w:szCs w:val="24"/>
        </w:rPr>
        <w:tab/>
      </w:r>
      <w:r w:rsidR="004707B4" w:rsidRPr="006A08B6">
        <w:rPr>
          <w:color w:val="000000"/>
          <w:szCs w:val="24"/>
        </w:rPr>
        <w:t>The Board of Governors of the Federal Reserve System, under delegated authority from the Office of Management and Budget (OMB),</w:t>
      </w:r>
      <w:r w:rsidR="004707B4">
        <w:rPr>
          <w:color w:val="000000"/>
          <w:szCs w:val="24"/>
        </w:rPr>
        <w:t xml:space="preserve"> </w:t>
      </w:r>
      <w:r w:rsidR="00744600">
        <w:t xml:space="preserve">proposes to extend for three years, </w:t>
      </w:r>
      <w:r w:rsidR="00744600" w:rsidRPr="007D2D61">
        <w:t>with</w:t>
      </w:r>
      <w:r w:rsidR="00744600">
        <w:t>out</w:t>
      </w:r>
      <w:r w:rsidR="00744600" w:rsidRPr="006F3E74">
        <w:t xml:space="preserve"> </w:t>
      </w:r>
      <w:r w:rsidR="00744600">
        <w:t>revision,</w:t>
      </w:r>
      <w:r w:rsidRPr="006A08B6">
        <w:rPr>
          <w:color w:val="000000"/>
          <w:szCs w:val="24"/>
        </w:rPr>
        <w:t xml:space="preserve"> </w:t>
      </w:r>
      <w:r w:rsidR="00717EA3">
        <w:rPr>
          <w:color w:val="000000"/>
          <w:szCs w:val="24"/>
        </w:rPr>
        <w:t>the Risk-Based Capital Standards:  A</w:t>
      </w:r>
      <w:r w:rsidR="003F07E8">
        <w:rPr>
          <w:color w:val="000000"/>
          <w:szCs w:val="24"/>
        </w:rPr>
        <w:t xml:space="preserve">dvanced </w:t>
      </w:r>
      <w:r w:rsidR="00717EA3">
        <w:rPr>
          <w:color w:val="000000"/>
          <w:szCs w:val="24"/>
        </w:rPr>
        <w:t>Capital Adequacy Framework</w:t>
      </w:r>
      <w:r w:rsidR="00717EA3" w:rsidRPr="006A08B6">
        <w:rPr>
          <w:color w:val="000000"/>
          <w:szCs w:val="24"/>
        </w:rPr>
        <w:t xml:space="preserve"> </w:t>
      </w:r>
      <w:r w:rsidR="009A6DC7">
        <w:rPr>
          <w:color w:val="000000"/>
          <w:szCs w:val="24"/>
        </w:rPr>
        <w:t xml:space="preserve">Information Collection </w:t>
      </w:r>
      <w:r w:rsidRPr="006A08B6">
        <w:rPr>
          <w:color w:val="000000"/>
          <w:szCs w:val="24"/>
        </w:rPr>
        <w:t>(</w:t>
      </w:r>
      <w:r w:rsidR="00123261">
        <w:rPr>
          <w:color w:val="000000"/>
          <w:szCs w:val="24"/>
        </w:rPr>
        <w:t xml:space="preserve">FR 4200; </w:t>
      </w:r>
      <w:r w:rsidRPr="006A08B6">
        <w:rPr>
          <w:color w:val="000000"/>
          <w:szCs w:val="24"/>
        </w:rPr>
        <w:t xml:space="preserve">OMB No. </w:t>
      </w:r>
      <w:r w:rsidR="00924369">
        <w:rPr>
          <w:color w:val="000000"/>
          <w:szCs w:val="24"/>
        </w:rPr>
        <w:t>7100-</w:t>
      </w:r>
      <w:r w:rsidR="00744600">
        <w:rPr>
          <w:color w:val="000000"/>
          <w:szCs w:val="24"/>
        </w:rPr>
        <w:t>0313</w:t>
      </w:r>
      <w:r w:rsidRPr="006A08B6">
        <w:rPr>
          <w:color w:val="000000"/>
          <w:szCs w:val="24"/>
        </w:rPr>
        <w:t>)</w:t>
      </w:r>
      <w:r w:rsidR="00921519" w:rsidRPr="006A08B6">
        <w:rPr>
          <w:color w:val="000000"/>
          <w:szCs w:val="24"/>
        </w:rPr>
        <w:t xml:space="preserve">. </w:t>
      </w:r>
      <w:r w:rsidR="002D68CB">
        <w:rPr>
          <w:color w:val="000000"/>
          <w:szCs w:val="24"/>
        </w:rPr>
        <w:t xml:space="preserve"> </w:t>
      </w:r>
      <w:r w:rsidR="00921519" w:rsidRPr="006A08B6">
        <w:rPr>
          <w:color w:val="000000"/>
          <w:szCs w:val="24"/>
        </w:rPr>
        <w:t>The</w:t>
      </w:r>
      <w:r w:rsidRPr="006A08B6">
        <w:rPr>
          <w:szCs w:val="24"/>
        </w:rPr>
        <w:t xml:space="preserve"> Paperwork Reduction Act (PRA) classifies reporting, recordkeeping, or disclosure requirements of a regulation as an “information collection.”</w:t>
      </w:r>
      <w:r w:rsidRPr="006A08B6">
        <w:rPr>
          <w:rStyle w:val="FootnoteReference"/>
          <w:color w:val="000000"/>
          <w:szCs w:val="24"/>
        </w:rPr>
        <w:t xml:space="preserve"> </w:t>
      </w:r>
      <w:r w:rsidRPr="006A08B6">
        <w:rPr>
          <w:rStyle w:val="FootnoteReference"/>
          <w:color w:val="000000"/>
          <w:szCs w:val="24"/>
        </w:rPr>
        <w:footnoteReference w:id="1"/>
      </w:r>
      <w:r w:rsidRPr="006A08B6">
        <w:rPr>
          <w:szCs w:val="24"/>
        </w:rPr>
        <w:t xml:space="preserve">  </w:t>
      </w:r>
    </w:p>
    <w:p w:rsidR="00492EED" w:rsidRDefault="00492EED" w:rsidP="00566034">
      <w:pPr>
        <w:rPr>
          <w:szCs w:val="24"/>
        </w:rPr>
      </w:pPr>
    </w:p>
    <w:p w:rsidR="00566034" w:rsidRDefault="009A6DC7" w:rsidP="00566034">
      <w:pPr>
        <w:ind w:firstLine="720"/>
      </w:pPr>
      <w:r>
        <w:rPr>
          <w:color w:val="000000"/>
          <w:szCs w:val="24"/>
        </w:rPr>
        <w:t xml:space="preserve">On December 7, 2007, </w:t>
      </w:r>
      <w:r w:rsidR="005B5A41">
        <w:rPr>
          <w:color w:val="000000"/>
          <w:szCs w:val="24"/>
        </w:rPr>
        <w:t xml:space="preserve">the Office of the Comptroller of the Currency (OCC), the </w:t>
      </w:r>
      <w:r w:rsidR="005B5A41" w:rsidRPr="006A08B6">
        <w:rPr>
          <w:color w:val="000000"/>
          <w:szCs w:val="24"/>
        </w:rPr>
        <w:t>Board</w:t>
      </w:r>
      <w:r w:rsidR="005B5A41">
        <w:rPr>
          <w:color w:val="000000"/>
          <w:szCs w:val="24"/>
        </w:rPr>
        <w:t xml:space="preserve"> of Governors of the Federal Reserve System (Federal Reserve), </w:t>
      </w:r>
      <w:r>
        <w:rPr>
          <w:color w:val="000000"/>
          <w:szCs w:val="24"/>
        </w:rPr>
        <w:t>t</w:t>
      </w:r>
      <w:r w:rsidR="00F25713">
        <w:rPr>
          <w:color w:val="000000"/>
          <w:szCs w:val="24"/>
        </w:rPr>
        <w:t xml:space="preserve">he </w:t>
      </w:r>
      <w:r w:rsidR="00566034">
        <w:rPr>
          <w:color w:val="000000"/>
          <w:szCs w:val="24"/>
        </w:rPr>
        <w:t>Federal Deposit Insurance Corporation</w:t>
      </w:r>
      <w:r w:rsidR="00164734">
        <w:rPr>
          <w:color w:val="000000"/>
          <w:szCs w:val="24"/>
        </w:rPr>
        <w:t xml:space="preserve"> (FDIC)</w:t>
      </w:r>
      <w:r w:rsidR="00566034">
        <w:rPr>
          <w:color w:val="000000"/>
          <w:szCs w:val="24"/>
        </w:rPr>
        <w:t xml:space="preserve">, and the Office of Thrift Supervision </w:t>
      </w:r>
      <w:r w:rsidR="001612C7">
        <w:rPr>
          <w:color w:val="000000"/>
          <w:szCs w:val="24"/>
        </w:rPr>
        <w:t xml:space="preserve">(OTS) </w:t>
      </w:r>
      <w:r w:rsidR="00566034">
        <w:rPr>
          <w:color w:val="000000"/>
          <w:szCs w:val="24"/>
        </w:rPr>
        <w:t xml:space="preserve">(the agencies) </w:t>
      </w:r>
      <w:r w:rsidR="00744600">
        <w:rPr>
          <w:color w:val="000000"/>
          <w:szCs w:val="24"/>
        </w:rPr>
        <w:t xml:space="preserve">issued </w:t>
      </w:r>
      <w:r>
        <w:rPr>
          <w:color w:val="000000"/>
          <w:szCs w:val="24"/>
        </w:rPr>
        <w:t xml:space="preserve">the </w:t>
      </w:r>
      <w:r w:rsidR="00F25713">
        <w:rPr>
          <w:color w:val="000000"/>
          <w:szCs w:val="24"/>
        </w:rPr>
        <w:t xml:space="preserve">joint </w:t>
      </w:r>
      <w:r w:rsidR="00744600">
        <w:rPr>
          <w:color w:val="000000"/>
          <w:szCs w:val="24"/>
        </w:rPr>
        <w:t xml:space="preserve">final </w:t>
      </w:r>
      <w:r w:rsidR="00F25713">
        <w:rPr>
          <w:color w:val="000000"/>
          <w:szCs w:val="24"/>
        </w:rPr>
        <w:t>r</w:t>
      </w:r>
      <w:r w:rsidR="00375AA4">
        <w:rPr>
          <w:color w:val="000000"/>
          <w:szCs w:val="24"/>
        </w:rPr>
        <w:t xml:space="preserve">ule </w:t>
      </w:r>
      <w:r w:rsidR="00D91484">
        <w:rPr>
          <w:color w:val="000000"/>
          <w:szCs w:val="24"/>
        </w:rPr>
        <w:t>titled</w:t>
      </w:r>
      <w:r w:rsidR="00744600">
        <w:rPr>
          <w:color w:val="000000"/>
          <w:szCs w:val="24"/>
        </w:rPr>
        <w:t xml:space="preserve"> </w:t>
      </w:r>
      <w:r>
        <w:rPr>
          <w:color w:val="000000"/>
          <w:szCs w:val="24"/>
        </w:rPr>
        <w:t>Risk-Based Capital Standards:  Advanced Capital Adequacy Framework</w:t>
      </w:r>
      <w:r w:rsidRPr="006A08B6">
        <w:rPr>
          <w:color w:val="000000"/>
          <w:szCs w:val="24"/>
        </w:rPr>
        <w:t xml:space="preserve"> </w:t>
      </w:r>
      <w:r>
        <w:rPr>
          <w:color w:val="000000"/>
          <w:szCs w:val="24"/>
        </w:rPr>
        <w:t xml:space="preserve">(rule) </w:t>
      </w:r>
      <w:r w:rsidR="00375AA4">
        <w:rPr>
          <w:color w:val="000000"/>
          <w:szCs w:val="24"/>
        </w:rPr>
        <w:t>implement</w:t>
      </w:r>
      <w:r>
        <w:rPr>
          <w:color w:val="000000"/>
          <w:szCs w:val="24"/>
        </w:rPr>
        <w:t>ing</w:t>
      </w:r>
      <w:r w:rsidR="00375AA4">
        <w:rPr>
          <w:color w:val="000000"/>
          <w:szCs w:val="24"/>
        </w:rPr>
        <w:t xml:space="preserve"> a</w:t>
      </w:r>
      <w:r w:rsidR="00F25713">
        <w:rPr>
          <w:color w:val="000000"/>
          <w:szCs w:val="24"/>
        </w:rPr>
        <w:t xml:space="preserve"> new risk-based regulatory capital framework for institutions in the United States</w:t>
      </w:r>
      <w:r w:rsidR="00744600">
        <w:rPr>
          <w:color w:val="000000"/>
          <w:szCs w:val="24"/>
        </w:rPr>
        <w:t xml:space="preserve"> (72 FR 69288)</w:t>
      </w:r>
      <w:r w:rsidR="00F25713">
        <w:rPr>
          <w:color w:val="000000"/>
          <w:szCs w:val="24"/>
        </w:rPr>
        <w:t>.</w:t>
      </w:r>
      <w:r w:rsidR="00566034">
        <w:rPr>
          <w:color w:val="000000"/>
          <w:szCs w:val="24"/>
        </w:rPr>
        <w:t xml:space="preserve">  </w:t>
      </w:r>
      <w:r w:rsidR="005B5A41">
        <w:rPr>
          <w:color w:val="000000"/>
          <w:szCs w:val="24"/>
        </w:rPr>
        <w:t>The rule</w:t>
      </w:r>
      <w:r w:rsidR="00566034">
        <w:rPr>
          <w:color w:val="000000"/>
          <w:szCs w:val="24"/>
        </w:rPr>
        <w:t xml:space="preserve"> is based on the June 2004 Basel Committee </w:t>
      </w:r>
      <w:r w:rsidR="005B5A41">
        <w:rPr>
          <w:color w:val="000000"/>
          <w:szCs w:val="24"/>
        </w:rPr>
        <w:t xml:space="preserve">on </w:t>
      </w:r>
      <w:r w:rsidR="00566034">
        <w:rPr>
          <w:color w:val="000000"/>
          <w:szCs w:val="24"/>
        </w:rPr>
        <w:t>Banking Supervision’s</w:t>
      </w:r>
      <w:r w:rsidR="002D68CB">
        <w:rPr>
          <w:color w:val="000000"/>
          <w:szCs w:val="24"/>
        </w:rPr>
        <w:t xml:space="preserve"> </w:t>
      </w:r>
      <w:r w:rsidR="0088299B">
        <w:rPr>
          <w:color w:val="000000"/>
          <w:szCs w:val="24"/>
        </w:rPr>
        <w:t>document</w:t>
      </w:r>
      <w:r w:rsidR="00164734">
        <w:rPr>
          <w:color w:val="000000"/>
          <w:szCs w:val="24"/>
        </w:rPr>
        <w:t>,</w:t>
      </w:r>
      <w:r w:rsidR="00566034">
        <w:rPr>
          <w:color w:val="000000"/>
          <w:szCs w:val="24"/>
        </w:rPr>
        <w:t xml:space="preserve"> “International Convergence of Capital Measurement and Capital Standards:  A Revised Framework”</w:t>
      </w:r>
      <w:r w:rsidR="0088299B">
        <w:rPr>
          <w:color w:val="000000"/>
          <w:szCs w:val="24"/>
        </w:rPr>
        <w:t xml:space="preserve"> (New Accord).</w:t>
      </w:r>
      <w:r w:rsidR="00566034">
        <w:rPr>
          <w:color w:val="000000"/>
          <w:szCs w:val="24"/>
        </w:rPr>
        <w:t xml:space="preserve">  </w:t>
      </w:r>
      <w:r w:rsidR="002D68CB">
        <w:rPr>
          <w:color w:val="000000"/>
          <w:szCs w:val="24"/>
        </w:rPr>
        <w:t xml:space="preserve">Along with the rule, the agencies adopted the </w:t>
      </w:r>
      <w:r w:rsidR="0071338A">
        <w:rPr>
          <w:color w:val="000000"/>
          <w:szCs w:val="24"/>
        </w:rPr>
        <w:t>information collection</w:t>
      </w:r>
      <w:r w:rsidR="002D68CB">
        <w:rPr>
          <w:color w:val="000000"/>
          <w:szCs w:val="24"/>
        </w:rPr>
        <w:t xml:space="preserve"> referred to above.  </w:t>
      </w:r>
    </w:p>
    <w:p w:rsidR="000034D5" w:rsidRDefault="000034D5" w:rsidP="000034D5">
      <w:pPr>
        <w:rPr>
          <w:color w:val="000000"/>
        </w:rPr>
      </w:pPr>
    </w:p>
    <w:p w:rsidR="0097783F" w:rsidRDefault="0097783F">
      <w:pPr>
        <w:rPr>
          <w:szCs w:val="24"/>
        </w:rPr>
      </w:pPr>
      <w:r w:rsidRPr="006A08B6">
        <w:rPr>
          <w:szCs w:val="24"/>
        </w:rPr>
        <w:tab/>
      </w:r>
      <w:r w:rsidR="00566034">
        <w:rPr>
          <w:szCs w:val="24"/>
        </w:rPr>
        <w:t xml:space="preserve">The </w:t>
      </w:r>
      <w:r w:rsidR="00744600">
        <w:rPr>
          <w:szCs w:val="24"/>
        </w:rPr>
        <w:t xml:space="preserve">rule </w:t>
      </w:r>
      <w:r w:rsidRPr="006A08B6">
        <w:rPr>
          <w:szCs w:val="24"/>
        </w:rPr>
        <w:t>require</w:t>
      </w:r>
      <w:r w:rsidR="00744600">
        <w:rPr>
          <w:szCs w:val="24"/>
        </w:rPr>
        <w:t>s</w:t>
      </w:r>
      <w:r w:rsidRPr="006A08B6">
        <w:rPr>
          <w:szCs w:val="24"/>
        </w:rPr>
        <w:t xml:space="preserve"> </w:t>
      </w:r>
      <w:r w:rsidR="00F25713">
        <w:rPr>
          <w:szCs w:val="24"/>
        </w:rPr>
        <w:t xml:space="preserve">certain large or internationally active banks and bank holding companies </w:t>
      </w:r>
      <w:r w:rsidR="00164734">
        <w:rPr>
          <w:szCs w:val="24"/>
        </w:rPr>
        <w:t xml:space="preserve">(BHCs) </w:t>
      </w:r>
      <w:r w:rsidRPr="006A08B6">
        <w:rPr>
          <w:szCs w:val="24"/>
        </w:rPr>
        <w:t xml:space="preserve">to </w:t>
      </w:r>
      <w:r w:rsidR="00375AA4">
        <w:rPr>
          <w:szCs w:val="24"/>
        </w:rPr>
        <w:t xml:space="preserve">(1) </w:t>
      </w:r>
      <w:r w:rsidR="00F25713">
        <w:rPr>
          <w:szCs w:val="24"/>
        </w:rPr>
        <w:t xml:space="preserve">adopt a written implementation plan, </w:t>
      </w:r>
      <w:r w:rsidR="00375AA4">
        <w:rPr>
          <w:szCs w:val="24"/>
        </w:rPr>
        <w:t xml:space="preserve">(2) </w:t>
      </w:r>
      <w:r w:rsidR="00F25713">
        <w:rPr>
          <w:szCs w:val="24"/>
        </w:rPr>
        <w:t xml:space="preserve">update that plan for any mergers, </w:t>
      </w:r>
      <w:r w:rsidR="00375AA4">
        <w:rPr>
          <w:szCs w:val="24"/>
        </w:rPr>
        <w:t xml:space="preserve">(3) </w:t>
      </w:r>
      <w:r w:rsidR="000034D5">
        <w:rPr>
          <w:szCs w:val="24"/>
        </w:rPr>
        <w:t>obtain prior written approvals for the use of certain approaches</w:t>
      </w:r>
      <w:r w:rsidR="00107609">
        <w:rPr>
          <w:szCs w:val="24"/>
        </w:rPr>
        <w:t xml:space="preserve"> for determin</w:t>
      </w:r>
      <w:r w:rsidR="00C908B1">
        <w:rPr>
          <w:szCs w:val="24"/>
        </w:rPr>
        <w:t>in</w:t>
      </w:r>
      <w:r w:rsidR="00107609">
        <w:rPr>
          <w:szCs w:val="24"/>
        </w:rPr>
        <w:t>g risk-weighted assets</w:t>
      </w:r>
      <w:r w:rsidR="000034D5">
        <w:rPr>
          <w:szCs w:val="24"/>
        </w:rPr>
        <w:t xml:space="preserve">, and </w:t>
      </w:r>
      <w:r w:rsidR="00375AA4">
        <w:rPr>
          <w:szCs w:val="24"/>
        </w:rPr>
        <w:t xml:space="preserve">(4) </w:t>
      </w:r>
      <w:r w:rsidR="000034D5">
        <w:rPr>
          <w:szCs w:val="24"/>
        </w:rPr>
        <w:t xml:space="preserve">make certain public disclosures regarding </w:t>
      </w:r>
      <w:r w:rsidR="0088299B">
        <w:rPr>
          <w:szCs w:val="24"/>
        </w:rPr>
        <w:t xml:space="preserve">their </w:t>
      </w:r>
      <w:r w:rsidR="000034D5">
        <w:rPr>
          <w:szCs w:val="24"/>
        </w:rPr>
        <w:t xml:space="preserve">capital ratios, their components, and information on implicit support provided to a securitization.  </w:t>
      </w:r>
      <w:r w:rsidRPr="006A08B6">
        <w:rPr>
          <w:szCs w:val="24"/>
        </w:rPr>
        <w:t xml:space="preserve">The Federal Reserve’s total annual burden </w:t>
      </w:r>
      <w:r w:rsidR="000034D5">
        <w:rPr>
          <w:szCs w:val="24"/>
        </w:rPr>
        <w:t xml:space="preserve">for this information collection is estimated to be </w:t>
      </w:r>
      <w:r w:rsidR="00567471">
        <w:rPr>
          <w:szCs w:val="24"/>
        </w:rPr>
        <w:t>113,793</w:t>
      </w:r>
      <w:r w:rsidRPr="006A08B6">
        <w:rPr>
          <w:szCs w:val="24"/>
        </w:rPr>
        <w:t xml:space="preserve"> hours for </w:t>
      </w:r>
      <w:r w:rsidR="00375AA4">
        <w:rPr>
          <w:szCs w:val="24"/>
        </w:rPr>
        <w:t>the</w:t>
      </w:r>
      <w:r w:rsidRPr="006A08B6">
        <w:rPr>
          <w:szCs w:val="24"/>
        </w:rPr>
        <w:t xml:space="preserve"> </w:t>
      </w:r>
      <w:r w:rsidR="00567471">
        <w:rPr>
          <w:szCs w:val="24"/>
        </w:rPr>
        <w:t>19</w:t>
      </w:r>
      <w:r w:rsidR="0002076F">
        <w:rPr>
          <w:szCs w:val="24"/>
        </w:rPr>
        <w:t xml:space="preserve"> </w:t>
      </w:r>
      <w:r w:rsidRPr="006A08B6">
        <w:rPr>
          <w:szCs w:val="24"/>
        </w:rPr>
        <w:t xml:space="preserve">financial institutions </w:t>
      </w:r>
      <w:r w:rsidR="00375AA4">
        <w:rPr>
          <w:szCs w:val="24"/>
        </w:rPr>
        <w:t xml:space="preserve">it supervises </w:t>
      </w:r>
      <w:r w:rsidRPr="006A08B6">
        <w:rPr>
          <w:szCs w:val="24"/>
        </w:rPr>
        <w:t xml:space="preserve">that </w:t>
      </w:r>
      <w:r w:rsidR="004405C0">
        <w:rPr>
          <w:szCs w:val="24"/>
        </w:rPr>
        <w:t>are</w:t>
      </w:r>
      <w:r w:rsidRPr="006A08B6">
        <w:rPr>
          <w:szCs w:val="24"/>
        </w:rPr>
        <w:t xml:space="preserve"> subject to the </w:t>
      </w:r>
      <w:r w:rsidR="0002076F">
        <w:rPr>
          <w:szCs w:val="24"/>
        </w:rPr>
        <w:t>final rule</w:t>
      </w:r>
      <w:r w:rsidRPr="006A08B6">
        <w:rPr>
          <w:szCs w:val="24"/>
        </w:rPr>
        <w:t xml:space="preserve">.  </w:t>
      </w:r>
    </w:p>
    <w:p w:rsidR="00EF4283" w:rsidRPr="006A08B6" w:rsidRDefault="00EF4283">
      <w:pPr>
        <w:rPr>
          <w:color w:val="000000"/>
          <w:szCs w:val="24"/>
        </w:rPr>
      </w:pPr>
    </w:p>
    <w:p w:rsidR="0097783F" w:rsidRPr="006A08B6" w:rsidRDefault="0097783F">
      <w:pPr>
        <w:jc w:val="both"/>
        <w:rPr>
          <w:color w:val="000000"/>
          <w:szCs w:val="24"/>
        </w:rPr>
      </w:pPr>
      <w:r w:rsidRPr="006A08B6">
        <w:rPr>
          <w:b/>
          <w:bCs/>
          <w:color w:val="000000"/>
          <w:szCs w:val="24"/>
        </w:rPr>
        <w:t>Background and Justification</w:t>
      </w:r>
    </w:p>
    <w:p w:rsidR="0097783F" w:rsidRPr="006A08B6" w:rsidRDefault="0097783F">
      <w:pPr>
        <w:jc w:val="both"/>
        <w:rPr>
          <w:color w:val="000000"/>
          <w:szCs w:val="24"/>
        </w:rPr>
      </w:pPr>
    </w:p>
    <w:p w:rsidR="00566034" w:rsidRPr="00C4634D" w:rsidRDefault="00566034" w:rsidP="00566034">
      <w:pPr>
        <w:ind w:firstLine="720"/>
        <w:rPr>
          <w:color w:val="000000"/>
        </w:rPr>
      </w:pPr>
      <w:r w:rsidRPr="00C4634D">
        <w:rPr>
          <w:color w:val="000000"/>
        </w:rPr>
        <w:t xml:space="preserve">Section 1831(o) of the </w:t>
      </w:r>
      <w:r w:rsidR="00164734">
        <w:rPr>
          <w:color w:val="000000"/>
        </w:rPr>
        <w:t>F</w:t>
      </w:r>
      <w:r w:rsidR="006320D9">
        <w:rPr>
          <w:color w:val="000000"/>
        </w:rPr>
        <w:t xml:space="preserve">ederal </w:t>
      </w:r>
      <w:r w:rsidR="00164734">
        <w:rPr>
          <w:color w:val="000000"/>
        </w:rPr>
        <w:t>D</w:t>
      </w:r>
      <w:r w:rsidR="006320D9">
        <w:rPr>
          <w:color w:val="000000"/>
        </w:rPr>
        <w:t xml:space="preserve">eposit </w:t>
      </w:r>
      <w:r w:rsidR="00164734">
        <w:rPr>
          <w:color w:val="000000"/>
        </w:rPr>
        <w:t>I</w:t>
      </w:r>
      <w:r w:rsidR="006320D9">
        <w:rPr>
          <w:color w:val="000000"/>
        </w:rPr>
        <w:t>nsurance</w:t>
      </w:r>
      <w:r w:rsidRPr="00C4634D">
        <w:rPr>
          <w:color w:val="000000"/>
        </w:rPr>
        <w:t xml:space="preserve"> Act requires each </w:t>
      </w:r>
      <w:r w:rsidR="006320D9">
        <w:rPr>
          <w:color w:val="000000"/>
        </w:rPr>
        <w:t>f</w:t>
      </w:r>
      <w:r w:rsidR="006320D9" w:rsidRPr="00C4634D">
        <w:rPr>
          <w:color w:val="000000"/>
        </w:rPr>
        <w:t xml:space="preserve">ederal </w:t>
      </w:r>
      <w:r w:rsidRPr="00C4634D">
        <w:rPr>
          <w:color w:val="000000"/>
        </w:rPr>
        <w:t xml:space="preserve">banking agency to adopt a risk-based capital requirement, which is based on the prompt corrective action framework in that section.  The </w:t>
      </w:r>
      <w:r w:rsidR="005B5A41">
        <w:t>International Lending Supervision Act of 1983 (</w:t>
      </w:r>
      <w:r w:rsidRPr="00C4634D">
        <w:rPr>
          <w:color w:val="000000"/>
        </w:rPr>
        <w:t>ILSA</w:t>
      </w:r>
      <w:r w:rsidR="005B5A41">
        <w:rPr>
          <w:color w:val="000000"/>
        </w:rPr>
        <w:t>)</w:t>
      </w:r>
      <w:r w:rsidRPr="00C4634D">
        <w:rPr>
          <w:color w:val="000000"/>
        </w:rPr>
        <w:t xml:space="preserve">, </w:t>
      </w:r>
      <w:r w:rsidR="00472F3E">
        <w:rPr>
          <w:color w:val="000000"/>
        </w:rPr>
        <w:t>(</w:t>
      </w:r>
      <w:r w:rsidRPr="00C4634D">
        <w:rPr>
          <w:color w:val="000000"/>
        </w:rPr>
        <w:t>12 U.S.C. § 3907(a)(1)</w:t>
      </w:r>
      <w:r w:rsidR="00472F3E">
        <w:rPr>
          <w:color w:val="000000"/>
        </w:rPr>
        <w:t>)</w:t>
      </w:r>
      <w:r w:rsidRPr="00C4634D">
        <w:rPr>
          <w:color w:val="000000"/>
        </w:rPr>
        <w:t xml:space="preserve">, mandates that each </w:t>
      </w:r>
      <w:r w:rsidR="006320D9">
        <w:rPr>
          <w:color w:val="000000"/>
        </w:rPr>
        <w:t>f</w:t>
      </w:r>
      <w:r w:rsidR="006320D9" w:rsidRPr="00C4634D">
        <w:rPr>
          <w:color w:val="000000"/>
        </w:rPr>
        <w:t xml:space="preserve">ederal </w:t>
      </w:r>
      <w:r w:rsidRPr="00C4634D">
        <w:rPr>
          <w:color w:val="000000"/>
        </w:rPr>
        <w:t xml:space="preserve">banking agency require banks to achieve and maintain adequate capital by establishing minimum levels of capital or by other methods that the </w:t>
      </w:r>
      <w:r w:rsidR="004405C0">
        <w:rPr>
          <w:color w:val="000000"/>
        </w:rPr>
        <w:t>applicable</w:t>
      </w:r>
      <w:r w:rsidR="004405C0" w:rsidRPr="00C4634D">
        <w:rPr>
          <w:color w:val="000000"/>
        </w:rPr>
        <w:t xml:space="preserve"> </w:t>
      </w:r>
      <w:r w:rsidRPr="00C4634D">
        <w:rPr>
          <w:color w:val="000000"/>
        </w:rPr>
        <w:t xml:space="preserve">federal banking agency may deem appropriate.  Section 908 of the ILSA, </w:t>
      </w:r>
      <w:r w:rsidR="00472F3E">
        <w:rPr>
          <w:color w:val="000000"/>
        </w:rPr>
        <w:t>(</w:t>
      </w:r>
      <w:r w:rsidRPr="00C4634D">
        <w:rPr>
          <w:color w:val="000000"/>
        </w:rPr>
        <w:t>12 U.S.C. §3907(b)(3)(C)</w:t>
      </w:r>
      <w:r w:rsidR="00472F3E">
        <w:rPr>
          <w:color w:val="000000"/>
        </w:rPr>
        <w:t>)</w:t>
      </w:r>
      <w:r w:rsidRPr="00C4634D">
        <w:rPr>
          <w:color w:val="000000"/>
        </w:rPr>
        <w:t xml:space="preserve">, also directs the Chairman of the Federal Reserve and the Secretary of the Treasury to encourage governments, central banks, and regulatory authorities of other major banking countries </w:t>
      </w:r>
      <w:r w:rsidRPr="00C4634D">
        <w:rPr>
          <w:color w:val="000000"/>
        </w:rPr>
        <w:lastRenderedPageBreak/>
        <w:t xml:space="preserve">to work toward maintaining and, where appropriate, strengthening the capital bases of banking institutions involved in international lending.  </w:t>
      </w:r>
    </w:p>
    <w:p w:rsidR="00613F94" w:rsidRPr="00613F94" w:rsidRDefault="00613F94" w:rsidP="00613F94">
      <w:pPr>
        <w:autoSpaceDE w:val="0"/>
        <w:autoSpaceDN w:val="0"/>
        <w:adjustRightInd w:val="0"/>
        <w:rPr>
          <w:snapToGrid/>
          <w:szCs w:val="24"/>
        </w:rPr>
      </w:pPr>
    </w:p>
    <w:p w:rsidR="00C348D6" w:rsidRDefault="0036182C" w:rsidP="00C348D6">
      <w:pPr>
        <w:ind w:firstLine="720"/>
        <w:rPr>
          <w:szCs w:val="24"/>
        </w:rPr>
      </w:pPr>
      <w:r>
        <w:t xml:space="preserve">The </w:t>
      </w:r>
      <w:r w:rsidR="0002076F">
        <w:t>rule</w:t>
      </w:r>
      <w:r>
        <w:t xml:space="preserve"> </w:t>
      </w:r>
      <w:r w:rsidR="004405C0">
        <w:t>implements the New Accord in the United States</w:t>
      </w:r>
      <w:r w:rsidR="006320D9">
        <w:t xml:space="preserve"> and</w:t>
      </w:r>
      <w:r w:rsidR="0002076F">
        <w:t xml:space="preserve"> </w:t>
      </w:r>
      <w:r w:rsidR="00C348D6">
        <w:t>build</w:t>
      </w:r>
      <w:r w:rsidR="004405C0">
        <w:t>s</w:t>
      </w:r>
      <w:r w:rsidR="00C348D6">
        <w:t xml:space="preserve"> on improvements to risk assessment approaches that a number of large banks have adopted over the last </w:t>
      </w:r>
      <w:r w:rsidR="0002076F">
        <w:t xml:space="preserve">two </w:t>
      </w:r>
      <w:r w:rsidR="00C348D6">
        <w:t>decade</w:t>
      </w:r>
      <w:r w:rsidR="0002076F">
        <w:t>s</w:t>
      </w:r>
      <w:r w:rsidR="00C348D6">
        <w:t xml:space="preserve">.  In particular, the </w:t>
      </w:r>
      <w:r w:rsidR="0002076F">
        <w:t xml:space="preserve">rule </w:t>
      </w:r>
      <w:r w:rsidR="00C348D6">
        <w:t xml:space="preserve">requires banks to assign risk parameters to exposures and provides specific risk-based capital formulas that </w:t>
      </w:r>
      <w:r w:rsidR="004405C0">
        <w:t>are</w:t>
      </w:r>
      <w:r w:rsidR="00C348D6">
        <w:t xml:space="preserve"> used to transform these risk parameters into risk-based capital requirements.  </w:t>
      </w:r>
      <w:r w:rsidR="00C348D6">
        <w:rPr>
          <w:szCs w:val="24"/>
        </w:rPr>
        <w:t xml:space="preserve">The collection of information contained in the </w:t>
      </w:r>
      <w:r w:rsidR="0002076F">
        <w:rPr>
          <w:szCs w:val="24"/>
        </w:rPr>
        <w:t xml:space="preserve">rule </w:t>
      </w:r>
      <w:r w:rsidR="00C348D6">
        <w:rPr>
          <w:szCs w:val="24"/>
        </w:rPr>
        <w:t xml:space="preserve">is necessary to </w:t>
      </w:r>
      <w:r w:rsidR="00717EA3">
        <w:rPr>
          <w:szCs w:val="24"/>
        </w:rPr>
        <w:t xml:space="preserve">ensure </w:t>
      </w:r>
      <w:r w:rsidR="00C348D6">
        <w:rPr>
          <w:szCs w:val="24"/>
        </w:rPr>
        <w:t>that the new risk-based regulatory capital framework is implemented in the United States in a safe and sound manner.</w:t>
      </w:r>
    </w:p>
    <w:p w:rsidR="00D15543" w:rsidRDefault="00D15543" w:rsidP="00814CF7">
      <w:pPr>
        <w:jc w:val="both"/>
        <w:rPr>
          <w:b/>
          <w:bCs/>
          <w:color w:val="000000"/>
          <w:szCs w:val="24"/>
        </w:rPr>
      </w:pPr>
    </w:p>
    <w:p w:rsidR="0097783F" w:rsidRPr="006A08B6" w:rsidRDefault="0097783F" w:rsidP="00814CF7">
      <w:pPr>
        <w:jc w:val="both"/>
        <w:rPr>
          <w:color w:val="000000"/>
          <w:szCs w:val="24"/>
        </w:rPr>
      </w:pPr>
      <w:r w:rsidRPr="006A08B6">
        <w:rPr>
          <w:b/>
          <w:bCs/>
          <w:color w:val="000000"/>
          <w:szCs w:val="24"/>
        </w:rPr>
        <w:t>Description of Information Collection</w:t>
      </w:r>
    </w:p>
    <w:p w:rsidR="0012553E" w:rsidRDefault="0012553E" w:rsidP="0012553E"/>
    <w:p w:rsidR="00814CF7" w:rsidRDefault="00814CF7" w:rsidP="00814CF7">
      <w:pPr>
        <w:rPr>
          <w:szCs w:val="24"/>
        </w:rPr>
      </w:pPr>
      <w:r>
        <w:tab/>
      </w:r>
      <w:r w:rsidR="004405C0">
        <w:rPr>
          <w:szCs w:val="24"/>
        </w:rPr>
        <w:t>A</w:t>
      </w:r>
      <w:r>
        <w:t xml:space="preserve"> bank is required to comply with the </w:t>
      </w:r>
      <w:r w:rsidR="004405C0">
        <w:t xml:space="preserve">rule </w:t>
      </w:r>
      <w:r>
        <w:t xml:space="preserve">if it meets either of two independent threshold criteria:  </w:t>
      </w:r>
      <w:r>
        <w:rPr>
          <w:szCs w:val="24"/>
        </w:rPr>
        <w:t>(i) consolidated total assets of $250 billion or more, as reported on the most recent year-end regulatory reports; or (ii) consolidated total on-balance sheet foreign exposure of $10 billion or more at the most recent year-end.  To determine total on-balance sheet foreign exposure, a bank would sum its adjusted cross-border claims, local country claims, and cross-border revaluation gains (calculated in accordance with the Federal Financial Institutions Examination Council (FFIEC) Country Exposure Report (FFIEC 009</w:t>
      </w:r>
      <w:r w:rsidR="00164734">
        <w:rPr>
          <w:rStyle w:val="FootnoteReference"/>
          <w:szCs w:val="24"/>
        </w:rPr>
        <w:footnoteReference w:id="2"/>
      </w:r>
      <w:r>
        <w:rPr>
          <w:szCs w:val="24"/>
        </w:rPr>
        <w:t xml:space="preserve">)).  Adjusted cross-border claims would equal total cross-border claims less claims with the head office/guarantor located in another country, plus redistributed guaranteed amounts to the country of head office/guarantor.  A </w:t>
      </w:r>
      <w:r w:rsidR="00841B71">
        <w:rPr>
          <w:szCs w:val="24"/>
        </w:rPr>
        <w:t>bank is also required to comply</w:t>
      </w:r>
      <w:r>
        <w:rPr>
          <w:szCs w:val="24"/>
        </w:rPr>
        <w:t xml:space="preserve"> if it is a subsidiary of another </w:t>
      </w:r>
      <w:r w:rsidR="00841B71">
        <w:rPr>
          <w:szCs w:val="24"/>
        </w:rPr>
        <w:t>financial institution</w:t>
      </w:r>
      <w:r>
        <w:rPr>
          <w:szCs w:val="24"/>
        </w:rPr>
        <w:t xml:space="preserve"> that uses the advanced approaches.  </w:t>
      </w:r>
    </w:p>
    <w:p w:rsidR="00814CF7" w:rsidRDefault="00814CF7" w:rsidP="00814CF7">
      <w:pPr>
        <w:rPr>
          <w:szCs w:val="24"/>
        </w:rPr>
      </w:pPr>
    </w:p>
    <w:p w:rsidR="00C4664C" w:rsidRDefault="00814CF7">
      <w:pPr>
        <w:rPr>
          <w:szCs w:val="24"/>
        </w:rPr>
      </w:pPr>
      <w:r>
        <w:rPr>
          <w:szCs w:val="24"/>
        </w:rPr>
        <w:tab/>
      </w:r>
      <w:r w:rsidR="004405C0">
        <w:rPr>
          <w:szCs w:val="24"/>
        </w:rPr>
        <w:t>A</w:t>
      </w:r>
      <w:r>
        <w:rPr>
          <w:szCs w:val="24"/>
        </w:rPr>
        <w:t xml:space="preserve"> BHC is </w:t>
      </w:r>
      <w:r w:rsidR="00841B71">
        <w:rPr>
          <w:szCs w:val="24"/>
        </w:rPr>
        <w:t>required to comply</w:t>
      </w:r>
      <w:r>
        <w:rPr>
          <w:szCs w:val="24"/>
        </w:rPr>
        <w:t xml:space="preserve"> </w:t>
      </w:r>
      <w:r w:rsidR="004730BC">
        <w:rPr>
          <w:szCs w:val="24"/>
        </w:rPr>
        <w:t xml:space="preserve">with the </w:t>
      </w:r>
      <w:r w:rsidR="004405C0">
        <w:rPr>
          <w:szCs w:val="24"/>
        </w:rPr>
        <w:t xml:space="preserve">rule </w:t>
      </w:r>
      <w:r>
        <w:rPr>
          <w:szCs w:val="24"/>
        </w:rPr>
        <w:t xml:space="preserve">if the BHC has: (i) consolidated total assets (excluding assets held by an insurance underwriting subsidiary) of $250 billion or more, as reported on the most recent year-end regulatory reports; (ii) consolidated total on-balance sheet foreign exposure of $10 billion or more at the most recent year-end; or (iii) a subsidiary </w:t>
      </w:r>
      <w:r w:rsidR="00C908B1">
        <w:rPr>
          <w:szCs w:val="24"/>
        </w:rPr>
        <w:t xml:space="preserve">depository institution </w:t>
      </w:r>
      <w:r>
        <w:rPr>
          <w:szCs w:val="24"/>
        </w:rPr>
        <w:t xml:space="preserve">that </w:t>
      </w:r>
      <w:r w:rsidR="00B44DE1">
        <w:rPr>
          <w:szCs w:val="24"/>
        </w:rPr>
        <w:t>applies the advanced approaches</w:t>
      </w:r>
      <w:r>
        <w:rPr>
          <w:szCs w:val="24"/>
        </w:rPr>
        <w:t xml:space="preserve">.  </w:t>
      </w:r>
      <w:r w:rsidR="00335841">
        <w:t xml:space="preserve">In addition, </w:t>
      </w:r>
      <w:r w:rsidR="0012553E">
        <w:rPr>
          <w:szCs w:val="24"/>
        </w:rPr>
        <w:t xml:space="preserve">banks </w:t>
      </w:r>
      <w:r w:rsidR="009364C1">
        <w:rPr>
          <w:szCs w:val="24"/>
        </w:rPr>
        <w:t>and</w:t>
      </w:r>
      <w:r w:rsidR="0012553E">
        <w:rPr>
          <w:szCs w:val="24"/>
        </w:rPr>
        <w:t xml:space="preserve"> </w:t>
      </w:r>
      <w:r w:rsidR="00C94BB7">
        <w:rPr>
          <w:szCs w:val="24"/>
        </w:rPr>
        <w:t>BHCs</w:t>
      </w:r>
      <w:r w:rsidR="0012553E">
        <w:rPr>
          <w:szCs w:val="24"/>
        </w:rPr>
        <w:t xml:space="preserve"> may voluntarily decide to adopt the framework</w:t>
      </w:r>
      <w:r w:rsidR="00A01247">
        <w:rPr>
          <w:szCs w:val="24"/>
        </w:rPr>
        <w:t>.</w:t>
      </w:r>
      <w:r w:rsidR="0002076F">
        <w:rPr>
          <w:szCs w:val="24"/>
        </w:rPr>
        <w:t xml:space="preserve"> </w:t>
      </w:r>
      <w:r w:rsidR="00A01247">
        <w:rPr>
          <w:szCs w:val="24"/>
        </w:rPr>
        <w:t xml:space="preserve">Currently </w:t>
      </w:r>
      <w:r w:rsidR="001D55BC">
        <w:rPr>
          <w:szCs w:val="24"/>
        </w:rPr>
        <w:t>fourteen</w:t>
      </w:r>
      <w:r w:rsidR="00A01247">
        <w:rPr>
          <w:szCs w:val="24"/>
        </w:rPr>
        <w:t xml:space="preserve"> top-tier banking organizations meet these criteria and an additional five BHCs have </w:t>
      </w:r>
      <w:r w:rsidR="001D55BC">
        <w:rPr>
          <w:szCs w:val="24"/>
        </w:rPr>
        <w:t xml:space="preserve">indicated that they are </w:t>
      </w:r>
      <w:r w:rsidR="00A01247">
        <w:rPr>
          <w:szCs w:val="24"/>
        </w:rPr>
        <w:t>voluntarily adopt</w:t>
      </w:r>
      <w:r w:rsidR="001D55BC">
        <w:rPr>
          <w:szCs w:val="24"/>
        </w:rPr>
        <w:t>ing</w:t>
      </w:r>
      <w:r w:rsidR="00A01247">
        <w:rPr>
          <w:szCs w:val="24"/>
        </w:rPr>
        <w:t xml:space="preserve"> the framework. </w:t>
      </w:r>
    </w:p>
    <w:p w:rsidR="00814CF7" w:rsidRDefault="00814CF7" w:rsidP="005D7A89">
      <w:pPr>
        <w:pStyle w:val="BodyText"/>
      </w:pPr>
    </w:p>
    <w:p w:rsidR="0097783F" w:rsidRDefault="0012553E" w:rsidP="0012553E">
      <w:pPr>
        <w:pStyle w:val="BodyText"/>
        <w:ind w:firstLine="720"/>
      </w:pPr>
      <w:r w:rsidRPr="006A08B6">
        <w:t xml:space="preserve">The </w:t>
      </w:r>
      <w:r w:rsidR="00CD7F56">
        <w:t>rule</w:t>
      </w:r>
      <w:r w:rsidR="00CD7F56" w:rsidRPr="006A08B6">
        <w:t xml:space="preserve"> </w:t>
      </w:r>
      <w:r>
        <w:t xml:space="preserve">requires respondents </w:t>
      </w:r>
      <w:r w:rsidRPr="006A08B6">
        <w:t xml:space="preserve">to </w:t>
      </w:r>
      <w:r>
        <w:t xml:space="preserve">adopt a written implementation plan, update that plan for any mergers, obtain prior written approvals for the use of certain approaches, and make certain public disclosures regarding its capital ratios, their components, and information on implicit support provided to a securitization.  These requirements are described in Sections 21 through 23, 42, 44, 53, and 71 of the </w:t>
      </w:r>
      <w:r w:rsidR="00CD7F56">
        <w:t>final rule</w:t>
      </w:r>
      <w:r>
        <w:t xml:space="preserve">.  </w:t>
      </w:r>
      <w:r w:rsidR="00814CF7">
        <w:t>Details of</w:t>
      </w:r>
      <w:r w:rsidR="005D7A89">
        <w:t xml:space="preserve"> </w:t>
      </w:r>
      <w:r w:rsidR="00814CF7">
        <w:t xml:space="preserve">the requirements for </w:t>
      </w:r>
      <w:r w:rsidR="005D7A89">
        <w:t>each section are provided below.</w:t>
      </w:r>
    </w:p>
    <w:p w:rsidR="0045767E" w:rsidRDefault="0045767E" w:rsidP="003935D5">
      <w:pPr>
        <w:keepNext/>
        <w:keepLines/>
      </w:pPr>
    </w:p>
    <w:p w:rsidR="003935D5" w:rsidRPr="006863F6" w:rsidRDefault="005D7A89" w:rsidP="003935D5">
      <w:pPr>
        <w:keepNext/>
        <w:keepLines/>
      </w:pPr>
      <w:r>
        <w:tab/>
      </w:r>
      <w:r>
        <w:rPr>
          <w:b/>
        </w:rPr>
        <w:t>Written Implementation Plan (Sections 21</w:t>
      </w:r>
      <w:r w:rsidR="003935D5">
        <w:rPr>
          <w:b/>
        </w:rPr>
        <w:t xml:space="preserve">, 22 and 23).  </w:t>
      </w:r>
      <w:r w:rsidR="003935D5" w:rsidRPr="006863F6">
        <w:t xml:space="preserve">Sections 21 and 22 require that a </w:t>
      </w:r>
      <w:r w:rsidR="009364C1">
        <w:t>respondent</w:t>
      </w:r>
      <w:r w:rsidR="003935D5" w:rsidRPr="006863F6">
        <w:t xml:space="preserve"> adopt a written implementation plan that addresses how it will comply with the </w:t>
      </w:r>
      <w:r w:rsidR="00CD7F56">
        <w:t>rule</w:t>
      </w:r>
      <w:r w:rsidR="00CD7F56" w:rsidRPr="006863F6">
        <w:t xml:space="preserve">’s </w:t>
      </w:r>
      <w:r w:rsidR="003935D5" w:rsidRPr="006863F6">
        <w:t xml:space="preserve">qualification requirements, including incorporation of a comprehensive and sound planning and governance process to oversee the implementation efforts.  The </w:t>
      </w:r>
      <w:r w:rsidR="00756472">
        <w:t>respondent</w:t>
      </w:r>
      <w:r w:rsidR="003935D5" w:rsidRPr="006863F6">
        <w:t xml:space="preserve"> must also develop processes for assessing capital adequacy in relation to an organization’s risk profile.  It must have in place internal risk rating and segmentation systems for wholesale and retail risk exposures, including comprehensive risk parameter quantification processes and processes for annual reviews and analyses of reference data to determine its relevance.  It must document its process for identifying, measuring, monitoring, controlling, and internally reporting operational risk; verify the accurate and timely reporting of risk-based capital requirements; and monitor, validate, and refine its advanced systems.  Section 23 requires a </w:t>
      </w:r>
      <w:r w:rsidR="00756472">
        <w:t>respondent</w:t>
      </w:r>
      <w:r w:rsidR="003935D5" w:rsidRPr="006863F6">
        <w:t xml:space="preserve"> to update </w:t>
      </w:r>
      <w:r w:rsidR="004730BC">
        <w:t>its</w:t>
      </w:r>
      <w:r w:rsidR="004730BC" w:rsidRPr="006863F6">
        <w:t xml:space="preserve"> </w:t>
      </w:r>
      <w:r w:rsidR="003935D5" w:rsidRPr="006863F6">
        <w:t>implementation plan after any mergers.</w:t>
      </w:r>
    </w:p>
    <w:p w:rsidR="003935D5" w:rsidRDefault="003935D5" w:rsidP="003935D5"/>
    <w:p w:rsidR="003935D5" w:rsidRPr="005E346E" w:rsidRDefault="003935D5" w:rsidP="003935D5">
      <w:pPr>
        <w:ind w:firstLine="720"/>
      </w:pPr>
      <w:proofErr w:type="gramStart"/>
      <w:r>
        <w:rPr>
          <w:b/>
        </w:rPr>
        <w:t>Prior Written Approvals (Sections 44 and 53).</w:t>
      </w:r>
      <w:proofErr w:type="gramEnd"/>
      <w:r>
        <w:rPr>
          <w:b/>
        </w:rPr>
        <w:t xml:space="preserve">  </w:t>
      </w:r>
      <w:r>
        <w:t xml:space="preserve">Sections 44 and 53 require prior written approval by supervisors.  Section 44 describes the internal assessment approach (IAA).  Prior written approval is required for use of the IAA.  </w:t>
      </w:r>
      <w:r w:rsidRPr="005E346E">
        <w:t xml:space="preserve">A </w:t>
      </w:r>
      <w:r w:rsidR="00756472">
        <w:t>respondent</w:t>
      </w:r>
      <w:r w:rsidRPr="005E346E">
        <w:t xml:space="preserve"> must review and update each internal credit assessment whenever new material is available, but at least annually.  It must validate its internal credit assessment process on an ongoing basis.  Section 53 outlines the internal models approach (IMA).  Prior written approval is required for use of </w:t>
      </w:r>
      <w:r w:rsidR="00375AA4">
        <w:t xml:space="preserve">the </w:t>
      </w:r>
      <w:r w:rsidRPr="005E346E">
        <w:t>IMA.</w:t>
      </w:r>
    </w:p>
    <w:p w:rsidR="003935D5" w:rsidRDefault="003935D5" w:rsidP="003935D5"/>
    <w:p w:rsidR="003935D5" w:rsidRPr="006863F6" w:rsidRDefault="003935D5" w:rsidP="006320D9">
      <w:pPr>
        <w:ind w:firstLine="720"/>
      </w:pPr>
      <w:proofErr w:type="gramStart"/>
      <w:r>
        <w:rPr>
          <w:b/>
        </w:rPr>
        <w:t>Disclosures</w:t>
      </w:r>
      <w:r w:rsidR="00CC102F">
        <w:rPr>
          <w:b/>
        </w:rPr>
        <w:t xml:space="preserve"> (Sections 42 and 71)</w:t>
      </w:r>
      <w:r>
        <w:rPr>
          <w:b/>
        </w:rPr>
        <w:t>.</w:t>
      </w:r>
      <w:proofErr w:type="gramEnd"/>
      <w:r>
        <w:rPr>
          <w:b/>
        </w:rPr>
        <w:t xml:space="preserve">  </w:t>
      </w:r>
      <w:r w:rsidR="006320D9">
        <w:t xml:space="preserve">Section 42 requires a </w:t>
      </w:r>
      <w:r w:rsidR="00756472">
        <w:t>respondent</w:t>
      </w:r>
      <w:r w:rsidR="006320D9">
        <w:t xml:space="preserve"> to publicly disclose that it has provided implicit support to a securitization and the regulatory capital impact to the bank of providing such implicit support.</w:t>
      </w:r>
      <w:r w:rsidR="00DA0357">
        <w:t xml:space="preserve"> </w:t>
      </w:r>
      <w:r w:rsidR="006320D9">
        <w:t xml:space="preserve"> </w:t>
      </w:r>
      <w:r w:rsidRPr="006863F6">
        <w:t>Section 71 specifies that each consolidated bank must publicly disclose its total and tier 1 risk-based capital ratios and their components</w:t>
      </w:r>
      <w:r w:rsidR="00F11B0A">
        <w:t xml:space="preserve"> quarterly</w:t>
      </w:r>
      <w:r w:rsidRPr="006863F6">
        <w:t>.</w:t>
      </w:r>
      <w:r>
        <w:t xml:space="preserve">  </w:t>
      </w:r>
    </w:p>
    <w:p w:rsidR="005D7A89" w:rsidRPr="006A08B6" w:rsidRDefault="005D7A89" w:rsidP="005D7A89">
      <w:pPr>
        <w:pStyle w:val="BodyText"/>
      </w:pPr>
    </w:p>
    <w:p w:rsidR="0097783F" w:rsidRPr="006A08B6" w:rsidRDefault="0097783F">
      <w:pPr>
        <w:jc w:val="both"/>
        <w:rPr>
          <w:color w:val="000000"/>
          <w:szCs w:val="24"/>
        </w:rPr>
      </w:pPr>
      <w:r w:rsidRPr="006A08B6">
        <w:rPr>
          <w:b/>
          <w:bCs/>
          <w:color w:val="000000"/>
          <w:szCs w:val="24"/>
        </w:rPr>
        <w:t>Time Schedule for Information Collection</w:t>
      </w:r>
    </w:p>
    <w:p w:rsidR="0097783F" w:rsidRPr="006A08B6" w:rsidRDefault="0097783F">
      <w:pPr>
        <w:jc w:val="both"/>
        <w:rPr>
          <w:color w:val="000000"/>
          <w:szCs w:val="24"/>
        </w:rPr>
      </w:pPr>
    </w:p>
    <w:p w:rsidR="0097783F" w:rsidRPr="006A08B6" w:rsidRDefault="0097783F">
      <w:pPr>
        <w:pStyle w:val="BodyText"/>
        <w:rPr>
          <w:rFonts w:ascii="Times New Roman" w:hAnsi="Times New Roman"/>
        </w:rPr>
      </w:pPr>
      <w:r w:rsidRPr="006A08B6">
        <w:rPr>
          <w:rFonts w:ascii="Times New Roman" w:hAnsi="Times New Roman"/>
        </w:rPr>
        <w:tab/>
        <w:t xml:space="preserve">This information collection contains </w:t>
      </w:r>
      <w:r w:rsidR="00814CF7">
        <w:rPr>
          <w:rFonts w:ascii="Times New Roman" w:hAnsi="Times New Roman"/>
        </w:rPr>
        <w:t xml:space="preserve">both reporting and disclosure </w:t>
      </w:r>
      <w:r w:rsidRPr="006A08B6">
        <w:rPr>
          <w:rFonts w:ascii="Times New Roman" w:hAnsi="Times New Roman"/>
        </w:rPr>
        <w:t>requirement</w:t>
      </w:r>
      <w:r w:rsidR="00814CF7">
        <w:rPr>
          <w:rFonts w:ascii="Times New Roman" w:hAnsi="Times New Roman"/>
        </w:rPr>
        <w:t>s</w:t>
      </w:r>
      <w:r w:rsidRPr="006A08B6">
        <w:rPr>
          <w:rFonts w:ascii="Times New Roman" w:hAnsi="Times New Roman"/>
        </w:rPr>
        <w:t xml:space="preserve">, as </w:t>
      </w:r>
      <w:r w:rsidR="00DA0357">
        <w:rPr>
          <w:rFonts w:ascii="Times New Roman" w:hAnsi="Times New Roman"/>
        </w:rPr>
        <w:t>described</w:t>
      </w:r>
      <w:r w:rsidRPr="006A08B6">
        <w:rPr>
          <w:rFonts w:ascii="Times New Roman" w:hAnsi="Times New Roman"/>
        </w:rPr>
        <w:t xml:space="preserve"> above.  The creation of a </w:t>
      </w:r>
      <w:r w:rsidR="00814CF7">
        <w:rPr>
          <w:rFonts w:ascii="Times New Roman" w:hAnsi="Times New Roman"/>
        </w:rPr>
        <w:t xml:space="preserve">written implementation </w:t>
      </w:r>
      <w:r w:rsidRPr="006A08B6">
        <w:rPr>
          <w:rFonts w:ascii="Times New Roman" w:hAnsi="Times New Roman"/>
        </w:rPr>
        <w:t>program is a mandatory one-time requirement</w:t>
      </w:r>
      <w:r w:rsidR="00DA0357">
        <w:rPr>
          <w:rFonts w:ascii="Times New Roman" w:hAnsi="Times New Roman"/>
        </w:rPr>
        <w:t>.  Implementation plans relating to mergers and acquisitions are required “</w:t>
      </w:r>
      <w:r w:rsidR="00841B71">
        <w:rPr>
          <w:rFonts w:ascii="Times New Roman" w:hAnsi="Times New Roman"/>
        </w:rPr>
        <w:t>on-occasion</w:t>
      </w:r>
      <w:r w:rsidRPr="006A08B6">
        <w:rPr>
          <w:rFonts w:ascii="Times New Roman" w:hAnsi="Times New Roman"/>
        </w:rPr>
        <w:t>.</w:t>
      </w:r>
      <w:r w:rsidR="00DA0357">
        <w:rPr>
          <w:rFonts w:ascii="Times New Roman" w:hAnsi="Times New Roman"/>
        </w:rPr>
        <w:t>”</w:t>
      </w:r>
      <w:r w:rsidRPr="006A08B6">
        <w:rPr>
          <w:rFonts w:ascii="Times New Roman" w:hAnsi="Times New Roman"/>
        </w:rPr>
        <w:t xml:space="preserve">  </w:t>
      </w:r>
      <w:r w:rsidR="00DA0357">
        <w:rPr>
          <w:rFonts w:ascii="Times New Roman" w:hAnsi="Times New Roman"/>
        </w:rPr>
        <w:t>P</w:t>
      </w:r>
      <w:r w:rsidR="00841B71">
        <w:rPr>
          <w:rFonts w:ascii="Times New Roman" w:hAnsi="Times New Roman"/>
        </w:rPr>
        <w:t xml:space="preserve">rior written approvals are all </w:t>
      </w:r>
      <w:r w:rsidR="00DA0357">
        <w:rPr>
          <w:rFonts w:ascii="Times New Roman" w:hAnsi="Times New Roman"/>
        </w:rPr>
        <w:t>“</w:t>
      </w:r>
      <w:r w:rsidRPr="006A08B6">
        <w:rPr>
          <w:rFonts w:ascii="Times New Roman" w:hAnsi="Times New Roman"/>
        </w:rPr>
        <w:t>on-occasion</w:t>
      </w:r>
      <w:r w:rsidR="00DA0357">
        <w:rPr>
          <w:rFonts w:ascii="Times New Roman" w:hAnsi="Times New Roman"/>
        </w:rPr>
        <w:t>”</w:t>
      </w:r>
      <w:r w:rsidR="00375AA4">
        <w:rPr>
          <w:rFonts w:ascii="Times New Roman" w:hAnsi="Times New Roman"/>
        </w:rPr>
        <w:t xml:space="preserve"> and </w:t>
      </w:r>
      <w:r w:rsidR="00841B71">
        <w:rPr>
          <w:rFonts w:ascii="Times New Roman" w:hAnsi="Times New Roman"/>
        </w:rPr>
        <w:t>the disclosures are required quarterly.</w:t>
      </w:r>
    </w:p>
    <w:p w:rsidR="0097783F" w:rsidRPr="006A08B6" w:rsidRDefault="0097783F">
      <w:pPr>
        <w:jc w:val="both"/>
        <w:rPr>
          <w:color w:val="000000"/>
          <w:szCs w:val="24"/>
        </w:rPr>
      </w:pPr>
    </w:p>
    <w:p w:rsidR="00921519" w:rsidRPr="006A08B6" w:rsidRDefault="00921519" w:rsidP="00A01247">
      <w:pPr>
        <w:rPr>
          <w:color w:val="000000"/>
          <w:szCs w:val="24"/>
        </w:rPr>
      </w:pPr>
      <w:r w:rsidRPr="006A08B6">
        <w:rPr>
          <w:b/>
          <w:bCs/>
          <w:color w:val="000000"/>
          <w:szCs w:val="24"/>
        </w:rPr>
        <w:t>Sensitive Questions</w:t>
      </w:r>
    </w:p>
    <w:p w:rsidR="00921519" w:rsidRPr="006A08B6" w:rsidRDefault="00921519" w:rsidP="009215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921519" w:rsidRPr="006A08B6" w:rsidRDefault="00921519" w:rsidP="009215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6A08B6">
        <w:rPr>
          <w:color w:val="000000"/>
          <w:szCs w:val="24"/>
        </w:rPr>
        <w:tab/>
      </w:r>
      <w:r w:rsidRPr="006A08B6">
        <w:rPr>
          <w:color w:val="000000"/>
          <w:szCs w:val="24"/>
        </w:rPr>
        <w:tab/>
        <w:t>This collection of information contains no questions of a sensitive nature, as defined by OMB guidelines.</w:t>
      </w:r>
    </w:p>
    <w:p w:rsidR="00921519" w:rsidRPr="006A08B6" w:rsidRDefault="00921519" w:rsidP="00921519">
      <w:pPr>
        <w:jc w:val="both"/>
        <w:rPr>
          <w:color w:val="000000"/>
          <w:szCs w:val="24"/>
        </w:rPr>
      </w:pPr>
    </w:p>
    <w:p w:rsidR="00EF4283" w:rsidRDefault="00EF4283">
      <w:pPr>
        <w:rPr>
          <w:b/>
          <w:bCs/>
          <w:color w:val="000000"/>
          <w:szCs w:val="24"/>
        </w:rPr>
      </w:pPr>
      <w:r>
        <w:rPr>
          <w:b/>
          <w:bCs/>
          <w:color w:val="000000"/>
          <w:szCs w:val="24"/>
        </w:rPr>
        <w:br w:type="page"/>
      </w:r>
    </w:p>
    <w:p w:rsidR="004707B4" w:rsidRPr="007F2D19" w:rsidRDefault="00921519" w:rsidP="00470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sidRPr="006A08B6">
        <w:rPr>
          <w:b/>
          <w:bCs/>
          <w:color w:val="000000"/>
          <w:szCs w:val="24"/>
        </w:rPr>
        <w:lastRenderedPageBreak/>
        <w:t xml:space="preserve">Consultation </w:t>
      </w:r>
      <w:proofErr w:type="gramStart"/>
      <w:r w:rsidRPr="006A08B6">
        <w:rPr>
          <w:b/>
          <w:bCs/>
          <w:color w:val="000000"/>
          <w:szCs w:val="24"/>
        </w:rPr>
        <w:t>Outside</w:t>
      </w:r>
      <w:proofErr w:type="gramEnd"/>
      <w:r w:rsidRPr="006A08B6">
        <w:rPr>
          <w:b/>
          <w:bCs/>
          <w:color w:val="000000"/>
          <w:szCs w:val="24"/>
        </w:rPr>
        <w:t xml:space="preserve"> the Agency </w:t>
      </w:r>
      <w:r w:rsidR="004707B4">
        <w:rPr>
          <w:b/>
          <w:bCs/>
          <w:szCs w:val="24"/>
        </w:rPr>
        <w:t>and Discussion of Public Comments</w:t>
      </w:r>
    </w:p>
    <w:p w:rsidR="00921519" w:rsidRPr="006A08B6" w:rsidRDefault="00921519" w:rsidP="00921519">
      <w:pPr>
        <w:jc w:val="both"/>
        <w:rPr>
          <w:color w:val="000000"/>
          <w:szCs w:val="24"/>
        </w:rPr>
      </w:pPr>
    </w:p>
    <w:p w:rsidR="00921519" w:rsidRPr="004707B4" w:rsidRDefault="004707B4" w:rsidP="00065012">
      <w:pPr>
        <w:ind w:firstLine="720"/>
      </w:pPr>
      <w:r>
        <w:t xml:space="preserve">On July 17, 2009, the agencies published a notice in the </w:t>
      </w:r>
      <w:r w:rsidRPr="003B2E58">
        <w:rPr>
          <w:i/>
        </w:rPr>
        <w:t>Federal Register</w:t>
      </w:r>
      <w:r>
        <w:t xml:space="preserve"> (74 FR 34865) requesting public comment for 60 days on the extension, without revision, of the </w:t>
      </w:r>
      <w:r w:rsidR="00652C91">
        <w:t>FR 4200</w:t>
      </w:r>
      <w:r>
        <w:t xml:space="preserve">.  </w:t>
      </w:r>
      <w:r w:rsidR="00065012" w:rsidRPr="00A61C73">
        <w:rPr>
          <w:szCs w:val="24"/>
        </w:rPr>
        <w:t>The comment period for this notice expire</w:t>
      </w:r>
      <w:r w:rsidR="00065012">
        <w:t>d</w:t>
      </w:r>
      <w:r w:rsidR="00065012" w:rsidRPr="00A61C73">
        <w:rPr>
          <w:szCs w:val="24"/>
        </w:rPr>
        <w:t xml:space="preserve"> on September 1</w:t>
      </w:r>
      <w:r w:rsidR="00065012">
        <w:rPr>
          <w:szCs w:val="24"/>
        </w:rPr>
        <w:t>5</w:t>
      </w:r>
      <w:r w:rsidR="00065012" w:rsidRPr="00A61C73">
        <w:rPr>
          <w:szCs w:val="24"/>
        </w:rPr>
        <w:t xml:space="preserve">, 2009.  The Federal Reserve did not receive any comments.  On </w:t>
      </w:r>
      <w:r w:rsidR="00065012">
        <w:t>September 25</w:t>
      </w:r>
      <w:r w:rsidR="00065012" w:rsidRPr="00A61C73">
        <w:rPr>
          <w:szCs w:val="24"/>
        </w:rPr>
        <w:t>,</w:t>
      </w:r>
      <w:r w:rsidR="00065012">
        <w:t xml:space="preserve"> </w:t>
      </w:r>
      <w:r w:rsidR="00065012" w:rsidRPr="00A61C73">
        <w:rPr>
          <w:szCs w:val="24"/>
        </w:rPr>
        <w:t>2009, the</w:t>
      </w:r>
      <w:r w:rsidR="00065012" w:rsidRPr="00A61C73">
        <w:rPr>
          <w:snapToGrid/>
          <w:szCs w:val="24"/>
        </w:rPr>
        <w:t xml:space="preserve"> Federal Reserve published a final notice in the </w:t>
      </w:r>
      <w:r w:rsidR="00065012" w:rsidRPr="00A61C73">
        <w:rPr>
          <w:i/>
          <w:iCs/>
          <w:snapToGrid/>
          <w:szCs w:val="24"/>
        </w:rPr>
        <w:t xml:space="preserve">Federal Register </w:t>
      </w:r>
      <w:r w:rsidR="00065012" w:rsidRPr="00A61C73">
        <w:rPr>
          <w:snapToGrid/>
          <w:szCs w:val="24"/>
        </w:rPr>
        <w:t xml:space="preserve">(74 </w:t>
      </w:r>
      <w:r w:rsidR="00065012" w:rsidRPr="00187C15">
        <w:rPr>
          <w:snapToGrid/>
          <w:szCs w:val="24"/>
        </w:rPr>
        <w:t xml:space="preserve">FR </w:t>
      </w:r>
      <w:r w:rsidR="00065012" w:rsidRPr="00187C15">
        <w:rPr>
          <w:szCs w:val="24"/>
        </w:rPr>
        <w:t>48967</w:t>
      </w:r>
      <w:r w:rsidR="00065012" w:rsidRPr="00187C15">
        <w:rPr>
          <w:snapToGrid/>
          <w:szCs w:val="24"/>
        </w:rPr>
        <w:t>).</w:t>
      </w:r>
    </w:p>
    <w:p w:rsidR="00EF4283" w:rsidRDefault="00EF4283" w:rsidP="0045767E">
      <w:pPr>
        <w:rPr>
          <w:b/>
          <w:bCs/>
          <w:color w:val="000000"/>
          <w:szCs w:val="24"/>
        </w:rPr>
      </w:pPr>
    </w:p>
    <w:p w:rsidR="0097783F" w:rsidRPr="006A08B6" w:rsidRDefault="0097783F" w:rsidP="0045767E">
      <w:pPr>
        <w:rPr>
          <w:color w:val="000000"/>
          <w:szCs w:val="24"/>
        </w:rPr>
      </w:pPr>
      <w:r w:rsidRPr="006A08B6">
        <w:rPr>
          <w:b/>
          <w:bCs/>
          <w:color w:val="000000"/>
          <w:szCs w:val="24"/>
        </w:rPr>
        <w:t xml:space="preserve">Legal Status </w:t>
      </w:r>
    </w:p>
    <w:p w:rsidR="0097783F" w:rsidRPr="006A08B6" w:rsidRDefault="0097783F">
      <w:pPr>
        <w:jc w:val="both"/>
        <w:rPr>
          <w:color w:val="000000"/>
          <w:szCs w:val="24"/>
        </w:rPr>
      </w:pPr>
    </w:p>
    <w:p w:rsidR="0097783F" w:rsidRPr="006A08B6" w:rsidRDefault="0097783F">
      <w:pPr>
        <w:rPr>
          <w:color w:val="000000"/>
          <w:szCs w:val="24"/>
        </w:rPr>
      </w:pPr>
      <w:r w:rsidRPr="006A08B6">
        <w:rPr>
          <w:color w:val="000000"/>
          <w:szCs w:val="24"/>
        </w:rPr>
        <w:tab/>
        <w:t xml:space="preserve">The Board's Legal Division has determined that 12 U.S.C. </w:t>
      </w:r>
      <w:r w:rsidR="009537C3">
        <w:rPr>
          <w:color w:val="000000"/>
          <w:szCs w:val="24"/>
        </w:rPr>
        <w:t>324 and</w:t>
      </w:r>
      <w:r w:rsidRPr="006A08B6">
        <w:rPr>
          <w:color w:val="000000"/>
          <w:szCs w:val="24"/>
        </w:rPr>
        <w:t xml:space="preserve"> 12 U.S.C. 184</w:t>
      </w:r>
      <w:r w:rsidR="009537C3">
        <w:rPr>
          <w:color w:val="000000"/>
          <w:szCs w:val="24"/>
        </w:rPr>
        <w:t>4 (c)</w:t>
      </w:r>
      <w:r w:rsidRPr="006A08B6">
        <w:rPr>
          <w:color w:val="000000"/>
          <w:szCs w:val="24"/>
        </w:rPr>
        <w:t xml:space="preserve"> authorize the Board to require the </w:t>
      </w:r>
      <w:r w:rsidR="009537C3">
        <w:rPr>
          <w:color w:val="000000"/>
          <w:szCs w:val="24"/>
        </w:rPr>
        <w:t>information collection</w:t>
      </w:r>
      <w:r w:rsidRPr="006A08B6">
        <w:rPr>
          <w:color w:val="000000"/>
          <w:szCs w:val="24"/>
        </w:rPr>
        <w:t xml:space="preserve">.  </w:t>
      </w:r>
      <w:r w:rsidR="009537C3">
        <w:rPr>
          <w:color w:val="000000"/>
          <w:szCs w:val="24"/>
        </w:rPr>
        <w:t>I</w:t>
      </w:r>
      <w:r w:rsidRPr="006A08B6">
        <w:rPr>
          <w:color w:val="000000"/>
          <w:szCs w:val="24"/>
        </w:rPr>
        <w:t xml:space="preserve">f a </w:t>
      </w:r>
      <w:r w:rsidR="00756472">
        <w:rPr>
          <w:color w:val="000000"/>
          <w:szCs w:val="24"/>
        </w:rPr>
        <w:t>respondent</w:t>
      </w:r>
      <w:r w:rsidRPr="006A08B6">
        <w:rPr>
          <w:color w:val="000000"/>
          <w:szCs w:val="24"/>
        </w:rPr>
        <w:t xml:space="preserve"> considers the information to be trade secrets and/or privileged such information could be withheld from the public under the authority of the Freedom of Information Act, 5 U.S.C. 552(b</w:t>
      </w:r>
      <w:proofErr w:type="gramStart"/>
      <w:r w:rsidRPr="006A08B6">
        <w:rPr>
          <w:color w:val="000000"/>
          <w:szCs w:val="24"/>
        </w:rPr>
        <w:t>)(</w:t>
      </w:r>
      <w:proofErr w:type="gramEnd"/>
      <w:r w:rsidRPr="006A08B6">
        <w:rPr>
          <w:color w:val="000000"/>
          <w:szCs w:val="24"/>
        </w:rPr>
        <w:t>4).</w:t>
      </w:r>
      <w:r w:rsidR="00921519" w:rsidRPr="006A08B6">
        <w:rPr>
          <w:color w:val="000000"/>
          <w:szCs w:val="24"/>
        </w:rPr>
        <w:t xml:space="preserve">  </w:t>
      </w:r>
      <w:r w:rsidRPr="006A08B6">
        <w:rPr>
          <w:color w:val="000000"/>
          <w:szCs w:val="24"/>
        </w:rPr>
        <w:t>Additionally, to the extent that such information may be contained in an examination report such information maybe also be withheld from the public, 5 U.S.C. 552 (b</w:t>
      </w:r>
      <w:proofErr w:type="gramStart"/>
      <w:r w:rsidRPr="006A08B6">
        <w:rPr>
          <w:color w:val="000000"/>
          <w:szCs w:val="24"/>
        </w:rPr>
        <w:t>)(</w:t>
      </w:r>
      <w:proofErr w:type="gramEnd"/>
      <w:r w:rsidRPr="006A08B6">
        <w:rPr>
          <w:color w:val="000000"/>
          <w:szCs w:val="24"/>
        </w:rPr>
        <w:t>8).</w:t>
      </w:r>
    </w:p>
    <w:p w:rsidR="003935D5" w:rsidRDefault="003935D5">
      <w:pPr>
        <w:jc w:val="both"/>
        <w:rPr>
          <w:b/>
          <w:bCs/>
          <w:color w:val="000000"/>
          <w:szCs w:val="24"/>
        </w:rPr>
      </w:pPr>
    </w:p>
    <w:p w:rsidR="0097783F" w:rsidRPr="006A08B6" w:rsidRDefault="0097783F">
      <w:pPr>
        <w:jc w:val="both"/>
        <w:rPr>
          <w:color w:val="000000"/>
          <w:szCs w:val="24"/>
        </w:rPr>
      </w:pPr>
      <w:r w:rsidRPr="006A08B6">
        <w:rPr>
          <w:b/>
          <w:bCs/>
          <w:color w:val="000000"/>
          <w:szCs w:val="24"/>
        </w:rPr>
        <w:t>Estimate of Respondent Burden</w:t>
      </w:r>
    </w:p>
    <w:p w:rsidR="0097783F" w:rsidRPr="006A08B6" w:rsidRDefault="0097783F">
      <w:pPr>
        <w:jc w:val="both"/>
        <w:rPr>
          <w:color w:val="000000"/>
          <w:szCs w:val="24"/>
        </w:rPr>
      </w:pPr>
    </w:p>
    <w:p w:rsidR="009D503A" w:rsidRPr="00335841" w:rsidRDefault="0097783F" w:rsidP="00335841">
      <w:pPr>
        <w:pStyle w:val="CommentText"/>
        <w:ind w:firstLine="720"/>
        <w:rPr>
          <w:sz w:val="24"/>
          <w:szCs w:val="24"/>
        </w:rPr>
      </w:pPr>
      <w:r w:rsidRPr="00335841">
        <w:rPr>
          <w:sz w:val="24"/>
          <w:szCs w:val="24"/>
        </w:rPr>
        <w:t xml:space="preserve">The total </w:t>
      </w:r>
      <w:r w:rsidR="0058508D" w:rsidRPr="00335841">
        <w:rPr>
          <w:sz w:val="24"/>
          <w:szCs w:val="24"/>
        </w:rPr>
        <w:t xml:space="preserve">estimated </w:t>
      </w:r>
      <w:r w:rsidRPr="00335841">
        <w:rPr>
          <w:sz w:val="24"/>
          <w:szCs w:val="24"/>
        </w:rPr>
        <w:t xml:space="preserve">annual burden for the </w:t>
      </w:r>
      <w:r w:rsidR="00CD7F56" w:rsidRPr="00335841">
        <w:rPr>
          <w:sz w:val="24"/>
          <w:szCs w:val="24"/>
        </w:rPr>
        <w:t>FR 4200</w:t>
      </w:r>
      <w:r w:rsidRPr="00335841">
        <w:rPr>
          <w:sz w:val="24"/>
          <w:szCs w:val="24"/>
        </w:rPr>
        <w:t xml:space="preserve"> is </w:t>
      </w:r>
      <w:r w:rsidR="00CD7F56" w:rsidRPr="00335841">
        <w:rPr>
          <w:sz w:val="24"/>
          <w:szCs w:val="24"/>
        </w:rPr>
        <w:t>113,793</w:t>
      </w:r>
      <w:r w:rsidRPr="00335841">
        <w:rPr>
          <w:sz w:val="24"/>
          <w:szCs w:val="24"/>
        </w:rPr>
        <w:t xml:space="preserve"> hours, as shown in the table below.  The Federal Reserve estimates that</w:t>
      </w:r>
      <w:r w:rsidR="009F48AA" w:rsidRPr="00335841">
        <w:rPr>
          <w:sz w:val="24"/>
          <w:szCs w:val="24"/>
        </w:rPr>
        <w:t xml:space="preserve"> it will take each respondent 13,268</w:t>
      </w:r>
      <w:r w:rsidRPr="00335841">
        <w:rPr>
          <w:sz w:val="24"/>
          <w:szCs w:val="24"/>
        </w:rPr>
        <w:t xml:space="preserve"> hours </w:t>
      </w:r>
      <w:r w:rsidR="009F48AA" w:rsidRPr="00335841">
        <w:rPr>
          <w:sz w:val="24"/>
          <w:szCs w:val="24"/>
        </w:rPr>
        <w:t xml:space="preserve">to </w:t>
      </w:r>
      <w:r w:rsidRPr="00335841">
        <w:rPr>
          <w:sz w:val="24"/>
          <w:szCs w:val="24"/>
        </w:rPr>
        <w:t xml:space="preserve">create </w:t>
      </w:r>
      <w:r w:rsidR="00C94BB7" w:rsidRPr="00335841">
        <w:rPr>
          <w:sz w:val="24"/>
          <w:szCs w:val="24"/>
        </w:rPr>
        <w:t xml:space="preserve">and subsequently update </w:t>
      </w:r>
      <w:r w:rsidRPr="00335841">
        <w:rPr>
          <w:sz w:val="24"/>
          <w:szCs w:val="24"/>
        </w:rPr>
        <w:t xml:space="preserve">their </w:t>
      </w:r>
      <w:r w:rsidR="009F48AA" w:rsidRPr="00335841">
        <w:rPr>
          <w:sz w:val="24"/>
          <w:szCs w:val="24"/>
        </w:rPr>
        <w:t>written implementation plan, 1,009 hours to submit prior written approvals, and 36.25 hours per quarter to provide the required disclosures.</w:t>
      </w:r>
      <w:r w:rsidRPr="00335841">
        <w:rPr>
          <w:sz w:val="24"/>
          <w:szCs w:val="24"/>
        </w:rPr>
        <w:t xml:space="preserve">  </w:t>
      </w:r>
      <w:r w:rsidR="00375AA4" w:rsidRPr="00335841">
        <w:rPr>
          <w:sz w:val="24"/>
          <w:szCs w:val="24"/>
        </w:rPr>
        <w:t>Most of the burden associated with this information collection is related to the written implementation plan and will only occur during the first year of implementation</w:t>
      </w:r>
      <w:r w:rsidR="00C94BB7" w:rsidRPr="00335841">
        <w:rPr>
          <w:sz w:val="24"/>
          <w:szCs w:val="24"/>
        </w:rPr>
        <w:t xml:space="preserve"> or once a bank or BHC meets the </w:t>
      </w:r>
      <w:r w:rsidR="00700D37" w:rsidRPr="00335841">
        <w:rPr>
          <w:sz w:val="24"/>
          <w:szCs w:val="24"/>
        </w:rPr>
        <w:t>qualification</w:t>
      </w:r>
      <w:r w:rsidR="00C94BB7" w:rsidRPr="00335841">
        <w:rPr>
          <w:sz w:val="24"/>
          <w:szCs w:val="24"/>
        </w:rPr>
        <w:t xml:space="preserve"> criteria</w:t>
      </w:r>
      <w:r w:rsidR="00375AA4" w:rsidRPr="00335841">
        <w:rPr>
          <w:sz w:val="24"/>
          <w:szCs w:val="24"/>
        </w:rPr>
        <w:t xml:space="preserve">.  </w:t>
      </w:r>
      <w:r w:rsidR="00335841" w:rsidRPr="00335841">
        <w:rPr>
          <w:sz w:val="24"/>
          <w:szCs w:val="24"/>
        </w:rPr>
        <w:t xml:space="preserve">Seven of the </w:t>
      </w:r>
      <w:r w:rsidR="006320D9">
        <w:rPr>
          <w:sz w:val="24"/>
          <w:szCs w:val="24"/>
        </w:rPr>
        <w:t>nineteen</w:t>
      </w:r>
      <w:r w:rsidR="00335841" w:rsidRPr="00335841">
        <w:rPr>
          <w:sz w:val="24"/>
          <w:szCs w:val="24"/>
        </w:rPr>
        <w:t xml:space="preserve"> </w:t>
      </w:r>
      <w:r w:rsidR="00756472">
        <w:rPr>
          <w:sz w:val="24"/>
          <w:szCs w:val="24"/>
        </w:rPr>
        <w:t>respondent</w:t>
      </w:r>
      <w:r w:rsidR="00335841" w:rsidRPr="00335841">
        <w:rPr>
          <w:sz w:val="24"/>
          <w:szCs w:val="24"/>
        </w:rPr>
        <w:t xml:space="preserve">s supervised by the Federal Reserve must still complete a written implementation plan and </w:t>
      </w:r>
      <w:r w:rsidR="006320D9">
        <w:rPr>
          <w:sz w:val="24"/>
          <w:szCs w:val="24"/>
        </w:rPr>
        <w:t xml:space="preserve">eighteen </w:t>
      </w:r>
      <w:r w:rsidR="00756472">
        <w:rPr>
          <w:sz w:val="24"/>
          <w:szCs w:val="24"/>
        </w:rPr>
        <w:t>respondent</w:t>
      </w:r>
      <w:r w:rsidR="00335841" w:rsidRPr="00335841">
        <w:rPr>
          <w:sz w:val="24"/>
          <w:szCs w:val="24"/>
        </w:rPr>
        <w:t xml:space="preserve">s </w:t>
      </w:r>
      <w:r w:rsidR="006320D9">
        <w:rPr>
          <w:sz w:val="24"/>
          <w:szCs w:val="24"/>
        </w:rPr>
        <w:t>may still need to</w:t>
      </w:r>
      <w:r w:rsidR="00335841" w:rsidRPr="00335841">
        <w:rPr>
          <w:sz w:val="24"/>
          <w:szCs w:val="24"/>
        </w:rPr>
        <w:t xml:space="preserve"> complete the prior written approval</w:t>
      </w:r>
      <w:r w:rsidR="001D55BC">
        <w:rPr>
          <w:sz w:val="24"/>
          <w:szCs w:val="24"/>
        </w:rPr>
        <w:t>s</w:t>
      </w:r>
      <w:r w:rsidR="00335841" w:rsidRPr="00335841">
        <w:rPr>
          <w:sz w:val="24"/>
          <w:szCs w:val="24"/>
        </w:rPr>
        <w:t xml:space="preserve">.  </w:t>
      </w:r>
      <w:r w:rsidRPr="00335841">
        <w:rPr>
          <w:sz w:val="24"/>
          <w:szCs w:val="24"/>
        </w:rPr>
        <w:t xml:space="preserve">This burden represents </w:t>
      </w:r>
      <w:r w:rsidR="006320D9">
        <w:rPr>
          <w:sz w:val="24"/>
          <w:szCs w:val="24"/>
        </w:rPr>
        <w:t>2</w:t>
      </w:r>
      <w:r w:rsidR="006320D9" w:rsidRPr="00335841">
        <w:rPr>
          <w:sz w:val="24"/>
          <w:szCs w:val="24"/>
        </w:rPr>
        <w:t xml:space="preserve"> </w:t>
      </w:r>
      <w:r w:rsidRPr="00335841">
        <w:rPr>
          <w:sz w:val="24"/>
          <w:szCs w:val="24"/>
        </w:rPr>
        <w:t>percent of the total Federal Reserve System paperwork burden.</w:t>
      </w:r>
    </w:p>
    <w:p w:rsidR="009A6DC7" w:rsidRDefault="009A6DC7">
      <w:pPr>
        <w:ind w:firstLine="720"/>
        <w:rPr>
          <w:color w:val="000000"/>
          <w:szCs w:val="24"/>
        </w:rPr>
      </w:pPr>
    </w:p>
    <w:tbl>
      <w:tblPr>
        <w:tblW w:w="8640" w:type="dxa"/>
        <w:tblInd w:w="139" w:type="dxa"/>
        <w:tblLayout w:type="fixed"/>
        <w:tblCellMar>
          <w:left w:w="139" w:type="dxa"/>
          <w:right w:w="139" w:type="dxa"/>
        </w:tblCellMar>
        <w:tblLook w:val="0000"/>
      </w:tblPr>
      <w:tblGrid>
        <w:gridCol w:w="3240"/>
        <w:gridCol w:w="1440"/>
        <w:gridCol w:w="1260"/>
        <w:gridCol w:w="1260"/>
        <w:gridCol w:w="1440"/>
      </w:tblGrid>
      <w:tr w:rsidR="0097783F" w:rsidRPr="006A08B6">
        <w:trPr>
          <w:cantSplit/>
        </w:trPr>
        <w:tc>
          <w:tcPr>
            <w:tcW w:w="3240" w:type="dxa"/>
            <w:tcBorders>
              <w:top w:val="single" w:sz="6" w:space="0" w:color="000000"/>
            </w:tcBorders>
            <w:vAlign w:val="center"/>
          </w:tcPr>
          <w:p w:rsidR="0097783F" w:rsidRPr="006A08B6" w:rsidRDefault="0097783F" w:rsidP="00E75D49">
            <w:pPr>
              <w:tabs>
                <w:tab w:val="left" w:pos="-1440"/>
                <w:tab w:val="left" w:pos="-720"/>
                <w:tab w:val="left" w:pos="0"/>
                <w:tab w:val="left" w:pos="240"/>
                <w:tab w:val="left" w:pos="720"/>
                <w:tab w:val="left" w:pos="1440"/>
                <w:tab w:val="left" w:pos="2160"/>
                <w:tab w:val="left" w:pos="2880"/>
              </w:tabs>
              <w:spacing w:before="163" w:after="19"/>
              <w:rPr>
                <w:szCs w:val="24"/>
              </w:rPr>
            </w:pPr>
          </w:p>
        </w:tc>
        <w:tc>
          <w:tcPr>
            <w:tcW w:w="1440" w:type="dxa"/>
            <w:tcBorders>
              <w:top w:val="single" w:sz="6" w:space="0" w:color="000000"/>
            </w:tcBorders>
            <w:vAlign w:val="bottom"/>
          </w:tcPr>
          <w:p w:rsidR="000B401A" w:rsidRPr="006A08B6" w:rsidRDefault="0097783F" w:rsidP="00E75D49">
            <w:pPr>
              <w:tabs>
                <w:tab w:val="left" w:pos="-1440"/>
                <w:tab w:val="left" w:pos="-720"/>
                <w:tab w:val="left" w:pos="0"/>
                <w:tab w:val="left" w:pos="240"/>
                <w:tab w:val="left" w:pos="720"/>
                <w:tab w:val="left" w:pos="1440"/>
              </w:tabs>
              <w:spacing w:after="19"/>
              <w:jc w:val="center"/>
              <w:rPr>
                <w:i/>
                <w:iCs/>
                <w:color w:val="000000"/>
                <w:szCs w:val="24"/>
              </w:rPr>
            </w:pPr>
            <w:r w:rsidRPr="006A08B6">
              <w:rPr>
                <w:i/>
                <w:iCs/>
                <w:color w:val="000000"/>
                <w:szCs w:val="24"/>
              </w:rPr>
              <w:t>Number</w:t>
            </w:r>
          </w:p>
          <w:p w:rsidR="0097783F" w:rsidRPr="006A08B6" w:rsidRDefault="0097783F" w:rsidP="000B401A">
            <w:pPr>
              <w:tabs>
                <w:tab w:val="left" w:pos="-1440"/>
                <w:tab w:val="left" w:pos="-720"/>
                <w:tab w:val="left" w:pos="0"/>
                <w:tab w:val="left" w:pos="240"/>
                <w:tab w:val="left" w:pos="720"/>
                <w:tab w:val="left" w:pos="1440"/>
              </w:tabs>
              <w:spacing w:after="19"/>
              <w:jc w:val="center"/>
              <w:rPr>
                <w:szCs w:val="24"/>
              </w:rPr>
            </w:pPr>
            <w:r w:rsidRPr="006A08B6">
              <w:rPr>
                <w:i/>
                <w:iCs/>
                <w:color w:val="000000"/>
                <w:szCs w:val="24"/>
              </w:rPr>
              <w:t>of respondents</w:t>
            </w:r>
          </w:p>
        </w:tc>
        <w:tc>
          <w:tcPr>
            <w:tcW w:w="1260" w:type="dxa"/>
            <w:tcBorders>
              <w:top w:val="single" w:sz="6" w:space="0" w:color="000000"/>
            </w:tcBorders>
            <w:vAlign w:val="bottom"/>
          </w:tcPr>
          <w:p w:rsidR="0097783F" w:rsidRPr="006A08B6" w:rsidRDefault="0097783F" w:rsidP="000B401A">
            <w:pPr>
              <w:tabs>
                <w:tab w:val="left" w:pos="-1440"/>
                <w:tab w:val="left" w:pos="-720"/>
                <w:tab w:val="left" w:pos="0"/>
                <w:tab w:val="left" w:pos="240"/>
                <w:tab w:val="left" w:pos="720"/>
              </w:tabs>
              <w:spacing w:before="163" w:after="19"/>
              <w:jc w:val="center"/>
              <w:rPr>
                <w:szCs w:val="24"/>
              </w:rPr>
            </w:pPr>
            <w:r w:rsidRPr="006A08B6">
              <w:rPr>
                <w:i/>
                <w:iCs/>
                <w:color w:val="000000"/>
                <w:szCs w:val="24"/>
              </w:rPr>
              <w:t>Estimated annual frequency</w:t>
            </w:r>
          </w:p>
        </w:tc>
        <w:tc>
          <w:tcPr>
            <w:tcW w:w="1260" w:type="dxa"/>
            <w:tcBorders>
              <w:top w:val="single" w:sz="6" w:space="0" w:color="000000"/>
            </w:tcBorders>
            <w:vAlign w:val="bottom"/>
          </w:tcPr>
          <w:p w:rsidR="0097783F" w:rsidRPr="006A08B6" w:rsidRDefault="0097783F" w:rsidP="000B401A">
            <w:pPr>
              <w:tabs>
                <w:tab w:val="left" w:pos="-1440"/>
                <w:tab w:val="left" w:pos="-720"/>
                <w:tab w:val="left" w:pos="0"/>
                <w:tab w:val="left" w:pos="240"/>
                <w:tab w:val="left" w:pos="720"/>
              </w:tabs>
              <w:spacing w:before="163"/>
              <w:jc w:val="center"/>
              <w:rPr>
                <w:color w:val="000000"/>
                <w:szCs w:val="24"/>
              </w:rPr>
            </w:pPr>
            <w:r w:rsidRPr="006A08B6">
              <w:rPr>
                <w:i/>
                <w:iCs/>
                <w:color w:val="000000"/>
                <w:szCs w:val="24"/>
              </w:rPr>
              <w:t xml:space="preserve">Estimated </w:t>
            </w:r>
            <w:r w:rsidR="00EF4283">
              <w:rPr>
                <w:i/>
                <w:iCs/>
                <w:color w:val="000000"/>
                <w:szCs w:val="24"/>
              </w:rPr>
              <w:t xml:space="preserve">hours per </w:t>
            </w:r>
            <w:r w:rsidRPr="006A08B6">
              <w:rPr>
                <w:i/>
                <w:iCs/>
                <w:color w:val="000000"/>
                <w:szCs w:val="24"/>
              </w:rPr>
              <w:t>response</w:t>
            </w:r>
          </w:p>
          <w:p w:rsidR="0097783F" w:rsidRPr="006A08B6" w:rsidRDefault="0097783F" w:rsidP="000B401A">
            <w:pPr>
              <w:tabs>
                <w:tab w:val="left" w:pos="-1440"/>
                <w:tab w:val="left" w:pos="-720"/>
                <w:tab w:val="left" w:pos="0"/>
                <w:tab w:val="left" w:pos="240"/>
                <w:tab w:val="left" w:pos="720"/>
              </w:tabs>
              <w:spacing w:after="19"/>
              <w:jc w:val="center"/>
              <w:rPr>
                <w:szCs w:val="24"/>
              </w:rPr>
            </w:pPr>
          </w:p>
        </w:tc>
        <w:tc>
          <w:tcPr>
            <w:tcW w:w="1440" w:type="dxa"/>
            <w:tcBorders>
              <w:top w:val="single" w:sz="6" w:space="0" w:color="000000"/>
            </w:tcBorders>
            <w:vAlign w:val="bottom"/>
          </w:tcPr>
          <w:p w:rsidR="0097783F" w:rsidRPr="006A08B6" w:rsidRDefault="0097783F" w:rsidP="00E75D49">
            <w:pPr>
              <w:tabs>
                <w:tab w:val="left" w:pos="-1440"/>
                <w:tab w:val="left" w:pos="-720"/>
                <w:tab w:val="left" w:pos="0"/>
                <w:tab w:val="left" w:pos="240"/>
                <w:tab w:val="left" w:pos="720"/>
                <w:tab w:val="left" w:pos="1440"/>
              </w:tabs>
              <w:spacing w:before="163" w:after="19"/>
              <w:jc w:val="center"/>
              <w:rPr>
                <w:szCs w:val="24"/>
              </w:rPr>
            </w:pPr>
            <w:r w:rsidRPr="006A08B6">
              <w:rPr>
                <w:i/>
                <w:iCs/>
                <w:color w:val="000000"/>
                <w:szCs w:val="24"/>
              </w:rPr>
              <w:t>Estimated annual burden hours</w:t>
            </w:r>
          </w:p>
        </w:tc>
      </w:tr>
      <w:tr w:rsidR="0097783F" w:rsidRPr="006A08B6">
        <w:trPr>
          <w:cantSplit/>
        </w:trPr>
        <w:tc>
          <w:tcPr>
            <w:tcW w:w="3240" w:type="dxa"/>
          </w:tcPr>
          <w:p w:rsidR="0097783F" w:rsidRPr="006A08B6" w:rsidRDefault="00FB0B9D">
            <w:pPr>
              <w:tabs>
                <w:tab w:val="left" w:pos="-1440"/>
                <w:tab w:val="left" w:pos="-720"/>
                <w:tab w:val="left" w:pos="0"/>
                <w:tab w:val="left" w:pos="240"/>
                <w:tab w:val="left" w:pos="720"/>
                <w:tab w:val="left" w:pos="1440"/>
                <w:tab w:val="left" w:pos="2160"/>
                <w:tab w:val="left" w:pos="2880"/>
              </w:tabs>
              <w:spacing w:before="163" w:after="19"/>
              <w:rPr>
                <w:szCs w:val="24"/>
              </w:rPr>
            </w:pPr>
            <w:r>
              <w:rPr>
                <w:szCs w:val="24"/>
              </w:rPr>
              <w:t>Written Implementation P</w:t>
            </w:r>
            <w:r w:rsidR="003844B4">
              <w:rPr>
                <w:szCs w:val="24"/>
              </w:rPr>
              <w:t>lan</w:t>
            </w:r>
          </w:p>
        </w:tc>
        <w:tc>
          <w:tcPr>
            <w:tcW w:w="1440" w:type="dxa"/>
          </w:tcPr>
          <w:p w:rsidR="0097783F" w:rsidRPr="006A08B6" w:rsidRDefault="00CD7F56">
            <w:pPr>
              <w:tabs>
                <w:tab w:val="left" w:pos="-1440"/>
                <w:tab w:val="left" w:pos="-720"/>
                <w:tab w:val="left" w:pos="0"/>
                <w:tab w:val="left" w:pos="240"/>
                <w:tab w:val="left" w:pos="720"/>
                <w:tab w:val="left" w:pos="1440"/>
              </w:tabs>
              <w:spacing w:before="163" w:after="19"/>
              <w:jc w:val="center"/>
              <w:rPr>
                <w:szCs w:val="24"/>
              </w:rPr>
            </w:pPr>
            <w:r>
              <w:rPr>
                <w:szCs w:val="24"/>
              </w:rPr>
              <w:t>7</w:t>
            </w:r>
          </w:p>
        </w:tc>
        <w:tc>
          <w:tcPr>
            <w:tcW w:w="1260" w:type="dxa"/>
          </w:tcPr>
          <w:p w:rsidR="0097783F" w:rsidRPr="006A08B6" w:rsidRDefault="0097783F">
            <w:pPr>
              <w:tabs>
                <w:tab w:val="left" w:pos="-1440"/>
                <w:tab w:val="left" w:pos="-720"/>
                <w:tab w:val="left" w:pos="0"/>
                <w:tab w:val="left" w:pos="240"/>
                <w:tab w:val="left" w:pos="720"/>
              </w:tabs>
              <w:spacing w:before="163" w:after="19"/>
              <w:jc w:val="center"/>
              <w:rPr>
                <w:szCs w:val="24"/>
              </w:rPr>
            </w:pPr>
            <w:r w:rsidRPr="006A08B6">
              <w:rPr>
                <w:szCs w:val="24"/>
              </w:rPr>
              <w:t>1</w:t>
            </w:r>
          </w:p>
        </w:tc>
        <w:tc>
          <w:tcPr>
            <w:tcW w:w="1260" w:type="dxa"/>
          </w:tcPr>
          <w:p w:rsidR="0097783F" w:rsidRPr="006A08B6" w:rsidRDefault="005869DD" w:rsidP="00EF4283">
            <w:pPr>
              <w:tabs>
                <w:tab w:val="left" w:pos="-1440"/>
                <w:tab w:val="left" w:pos="-720"/>
                <w:tab w:val="left" w:pos="0"/>
                <w:tab w:val="left" w:pos="240"/>
                <w:tab w:val="left" w:pos="720"/>
              </w:tabs>
              <w:spacing w:before="163" w:after="19"/>
              <w:jc w:val="center"/>
              <w:rPr>
                <w:szCs w:val="24"/>
              </w:rPr>
            </w:pPr>
            <w:r>
              <w:rPr>
                <w:szCs w:val="24"/>
              </w:rPr>
              <w:t xml:space="preserve">13,268 </w:t>
            </w:r>
          </w:p>
        </w:tc>
        <w:tc>
          <w:tcPr>
            <w:tcW w:w="1440" w:type="dxa"/>
          </w:tcPr>
          <w:p w:rsidR="003844B4" w:rsidRPr="006A08B6" w:rsidRDefault="00CD7F56" w:rsidP="005869DD">
            <w:pPr>
              <w:tabs>
                <w:tab w:val="left" w:pos="-1440"/>
                <w:tab w:val="left" w:pos="-720"/>
                <w:tab w:val="left" w:pos="0"/>
                <w:tab w:val="left" w:pos="240"/>
                <w:tab w:val="left" w:pos="720"/>
                <w:tab w:val="left" w:pos="1440"/>
              </w:tabs>
              <w:spacing w:before="163" w:after="19"/>
              <w:jc w:val="right"/>
              <w:rPr>
                <w:szCs w:val="24"/>
              </w:rPr>
            </w:pPr>
            <w:r>
              <w:rPr>
                <w:szCs w:val="24"/>
              </w:rPr>
              <w:t>92,876</w:t>
            </w:r>
          </w:p>
        </w:tc>
      </w:tr>
      <w:tr w:rsidR="003844B4" w:rsidRPr="006A08B6">
        <w:trPr>
          <w:cantSplit/>
        </w:trPr>
        <w:tc>
          <w:tcPr>
            <w:tcW w:w="3240" w:type="dxa"/>
          </w:tcPr>
          <w:p w:rsidR="003844B4" w:rsidRDefault="003844B4">
            <w:pPr>
              <w:tabs>
                <w:tab w:val="left" w:pos="-1440"/>
                <w:tab w:val="left" w:pos="-720"/>
                <w:tab w:val="left" w:pos="0"/>
                <w:tab w:val="left" w:pos="240"/>
                <w:tab w:val="left" w:pos="720"/>
                <w:tab w:val="left" w:pos="1440"/>
                <w:tab w:val="left" w:pos="2160"/>
                <w:tab w:val="left" w:pos="2880"/>
              </w:tabs>
              <w:spacing w:before="163" w:after="19"/>
              <w:rPr>
                <w:szCs w:val="24"/>
              </w:rPr>
            </w:pPr>
            <w:r>
              <w:rPr>
                <w:szCs w:val="24"/>
              </w:rPr>
              <w:t>Prior Written Approvals</w:t>
            </w:r>
          </w:p>
        </w:tc>
        <w:tc>
          <w:tcPr>
            <w:tcW w:w="1440" w:type="dxa"/>
          </w:tcPr>
          <w:p w:rsidR="003844B4" w:rsidRPr="006A08B6" w:rsidRDefault="00CD7F56" w:rsidP="00CD7F56">
            <w:pPr>
              <w:tabs>
                <w:tab w:val="left" w:pos="-1440"/>
                <w:tab w:val="left" w:pos="-720"/>
                <w:tab w:val="left" w:pos="0"/>
                <w:tab w:val="left" w:pos="240"/>
                <w:tab w:val="left" w:pos="720"/>
                <w:tab w:val="left" w:pos="1440"/>
              </w:tabs>
              <w:spacing w:before="163" w:after="19"/>
              <w:jc w:val="center"/>
              <w:rPr>
                <w:szCs w:val="24"/>
              </w:rPr>
            </w:pPr>
            <w:r>
              <w:rPr>
                <w:szCs w:val="24"/>
              </w:rPr>
              <w:t>18</w:t>
            </w:r>
          </w:p>
        </w:tc>
        <w:tc>
          <w:tcPr>
            <w:tcW w:w="1260" w:type="dxa"/>
          </w:tcPr>
          <w:p w:rsidR="003844B4" w:rsidRPr="006A08B6" w:rsidRDefault="005869DD">
            <w:pPr>
              <w:tabs>
                <w:tab w:val="left" w:pos="-1440"/>
                <w:tab w:val="left" w:pos="-720"/>
                <w:tab w:val="left" w:pos="0"/>
                <w:tab w:val="left" w:pos="240"/>
                <w:tab w:val="left" w:pos="720"/>
              </w:tabs>
              <w:spacing w:before="163" w:after="19"/>
              <w:jc w:val="center"/>
              <w:rPr>
                <w:szCs w:val="24"/>
              </w:rPr>
            </w:pPr>
            <w:r>
              <w:rPr>
                <w:szCs w:val="24"/>
              </w:rPr>
              <w:t>1</w:t>
            </w:r>
          </w:p>
        </w:tc>
        <w:tc>
          <w:tcPr>
            <w:tcW w:w="1260" w:type="dxa"/>
          </w:tcPr>
          <w:p w:rsidR="003844B4" w:rsidRPr="006A08B6" w:rsidRDefault="005869DD" w:rsidP="00EF4283">
            <w:pPr>
              <w:tabs>
                <w:tab w:val="left" w:pos="-1440"/>
                <w:tab w:val="left" w:pos="-720"/>
                <w:tab w:val="left" w:pos="0"/>
                <w:tab w:val="left" w:pos="240"/>
                <w:tab w:val="left" w:pos="720"/>
              </w:tabs>
              <w:spacing w:before="163" w:after="19"/>
              <w:jc w:val="center"/>
              <w:rPr>
                <w:szCs w:val="24"/>
              </w:rPr>
            </w:pPr>
            <w:r>
              <w:rPr>
                <w:szCs w:val="24"/>
              </w:rPr>
              <w:t xml:space="preserve">1,009 </w:t>
            </w:r>
          </w:p>
        </w:tc>
        <w:tc>
          <w:tcPr>
            <w:tcW w:w="1440" w:type="dxa"/>
          </w:tcPr>
          <w:p w:rsidR="003844B4" w:rsidRPr="006A08B6" w:rsidRDefault="00CD7F56" w:rsidP="00CD7F56">
            <w:pPr>
              <w:tabs>
                <w:tab w:val="left" w:pos="-1440"/>
                <w:tab w:val="left" w:pos="-720"/>
                <w:tab w:val="left" w:pos="0"/>
                <w:tab w:val="left" w:pos="240"/>
                <w:tab w:val="left" w:pos="720"/>
                <w:tab w:val="left" w:pos="1440"/>
              </w:tabs>
              <w:spacing w:before="163" w:after="19"/>
              <w:jc w:val="right"/>
              <w:rPr>
                <w:szCs w:val="24"/>
              </w:rPr>
            </w:pPr>
            <w:r>
              <w:rPr>
                <w:szCs w:val="24"/>
              </w:rPr>
              <w:t>18</w:t>
            </w:r>
            <w:r w:rsidR="005869DD">
              <w:rPr>
                <w:szCs w:val="24"/>
              </w:rPr>
              <w:t>,</w:t>
            </w:r>
            <w:r>
              <w:rPr>
                <w:szCs w:val="24"/>
              </w:rPr>
              <w:t>162</w:t>
            </w:r>
          </w:p>
        </w:tc>
      </w:tr>
      <w:tr w:rsidR="003844B4" w:rsidRPr="006A08B6">
        <w:trPr>
          <w:cantSplit/>
        </w:trPr>
        <w:tc>
          <w:tcPr>
            <w:tcW w:w="3240" w:type="dxa"/>
          </w:tcPr>
          <w:p w:rsidR="003844B4" w:rsidRDefault="003844B4">
            <w:pPr>
              <w:tabs>
                <w:tab w:val="left" w:pos="-1440"/>
                <w:tab w:val="left" w:pos="-720"/>
                <w:tab w:val="left" w:pos="0"/>
                <w:tab w:val="left" w:pos="240"/>
                <w:tab w:val="left" w:pos="720"/>
                <w:tab w:val="left" w:pos="1440"/>
                <w:tab w:val="left" w:pos="2160"/>
                <w:tab w:val="left" w:pos="2880"/>
              </w:tabs>
              <w:spacing w:before="163" w:after="19"/>
              <w:rPr>
                <w:szCs w:val="24"/>
              </w:rPr>
            </w:pPr>
            <w:r>
              <w:rPr>
                <w:szCs w:val="24"/>
              </w:rPr>
              <w:t>Disclosures</w:t>
            </w:r>
          </w:p>
        </w:tc>
        <w:tc>
          <w:tcPr>
            <w:tcW w:w="1440" w:type="dxa"/>
          </w:tcPr>
          <w:p w:rsidR="003844B4" w:rsidRPr="006A08B6" w:rsidRDefault="00CD7F56">
            <w:pPr>
              <w:tabs>
                <w:tab w:val="left" w:pos="-1440"/>
                <w:tab w:val="left" w:pos="-720"/>
                <w:tab w:val="left" w:pos="0"/>
                <w:tab w:val="left" w:pos="240"/>
                <w:tab w:val="left" w:pos="720"/>
                <w:tab w:val="left" w:pos="1440"/>
              </w:tabs>
              <w:spacing w:before="163" w:after="19"/>
              <w:jc w:val="center"/>
              <w:rPr>
                <w:szCs w:val="24"/>
              </w:rPr>
            </w:pPr>
            <w:r>
              <w:rPr>
                <w:szCs w:val="24"/>
              </w:rPr>
              <w:t>19</w:t>
            </w:r>
          </w:p>
        </w:tc>
        <w:tc>
          <w:tcPr>
            <w:tcW w:w="1260" w:type="dxa"/>
          </w:tcPr>
          <w:p w:rsidR="003844B4" w:rsidRPr="006A08B6" w:rsidRDefault="00F11B0A">
            <w:pPr>
              <w:tabs>
                <w:tab w:val="left" w:pos="-1440"/>
                <w:tab w:val="left" w:pos="-720"/>
                <w:tab w:val="left" w:pos="0"/>
                <w:tab w:val="left" w:pos="240"/>
                <w:tab w:val="left" w:pos="720"/>
              </w:tabs>
              <w:spacing w:before="163" w:after="19"/>
              <w:jc w:val="center"/>
              <w:rPr>
                <w:szCs w:val="24"/>
              </w:rPr>
            </w:pPr>
            <w:r>
              <w:rPr>
                <w:szCs w:val="24"/>
              </w:rPr>
              <w:t>4</w:t>
            </w:r>
          </w:p>
        </w:tc>
        <w:tc>
          <w:tcPr>
            <w:tcW w:w="1260" w:type="dxa"/>
          </w:tcPr>
          <w:p w:rsidR="003844B4" w:rsidRPr="006A08B6" w:rsidRDefault="00F11B0A" w:rsidP="00EF4283">
            <w:pPr>
              <w:tabs>
                <w:tab w:val="left" w:pos="-1440"/>
                <w:tab w:val="left" w:pos="-720"/>
                <w:tab w:val="left" w:pos="0"/>
                <w:tab w:val="left" w:pos="240"/>
                <w:tab w:val="left" w:pos="720"/>
              </w:tabs>
              <w:spacing w:before="163" w:after="19"/>
              <w:jc w:val="center"/>
              <w:rPr>
                <w:szCs w:val="24"/>
              </w:rPr>
            </w:pPr>
            <w:r>
              <w:rPr>
                <w:szCs w:val="24"/>
              </w:rPr>
              <w:t>36.25</w:t>
            </w:r>
            <w:r w:rsidR="005869DD">
              <w:rPr>
                <w:szCs w:val="24"/>
              </w:rPr>
              <w:t xml:space="preserve"> </w:t>
            </w:r>
          </w:p>
        </w:tc>
        <w:tc>
          <w:tcPr>
            <w:tcW w:w="1440" w:type="dxa"/>
          </w:tcPr>
          <w:p w:rsidR="003844B4" w:rsidRPr="00201631" w:rsidRDefault="00271D8D" w:rsidP="00CD7F56">
            <w:pPr>
              <w:tabs>
                <w:tab w:val="left" w:pos="-1440"/>
                <w:tab w:val="left" w:pos="-720"/>
                <w:tab w:val="left" w:pos="0"/>
                <w:tab w:val="left" w:pos="240"/>
                <w:tab w:val="left" w:pos="720"/>
                <w:tab w:val="left" w:pos="1440"/>
              </w:tabs>
              <w:spacing w:before="163" w:after="19"/>
              <w:jc w:val="right"/>
              <w:rPr>
                <w:szCs w:val="24"/>
                <w:u w:val="single"/>
              </w:rPr>
            </w:pPr>
            <w:r w:rsidRPr="00271D8D">
              <w:rPr>
                <w:szCs w:val="24"/>
                <w:u w:val="single"/>
              </w:rPr>
              <w:t>2,755</w:t>
            </w:r>
          </w:p>
        </w:tc>
      </w:tr>
      <w:tr w:rsidR="005869DD" w:rsidRPr="006A08B6">
        <w:trPr>
          <w:cantSplit/>
        </w:trPr>
        <w:tc>
          <w:tcPr>
            <w:tcW w:w="3240" w:type="dxa"/>
            <w:tcBorders>
              <w:bottom w:val="single" w:sz="4" w:space="0" w:color="auto"/>
            </w:tcBorders>
            <w:vAlign w:val="bottom"/>
          </w:tcPr>
          <w:p w:rsidR="005869DD" w:rsidRPr="00701590" w:rsidRDefault="005869DD" w:rsidP="009F48AA">
            <w:pPr>
              <w:jc w:val="right"/>
              <w:rPr>
                <w:i/>
                <w:szCs w:val="24"/>
              </w:rPr>
            </w:pPr>
            <w:r w:rsidRPr="00701590">
              <w:rPr>
                <w:i/>
                <w:szCs w:val="24"/>
              </w:rPr>
              <w:t>Total</w:t>
            </w:r>
          </w:p>
        </w:tc>
        <w:tc>
          <w:tcPr>
            <w:tcW w:w="1440" w:type="dxa"/>
            <w:tcBorders>
              <w:bottom w:val="single" w:sz="4" w:space="0" w:color="auto"/>
            </w:tcBorders>
            <w:vAlign w:val="bottom"/>
          </w:tcPr>
          <w:p w:rsidR="005869DD" w:rsidRPr="00701590" w:rsidRDefault="005869DD" w:rsidP="009F48AA">
            <w:pPr>
              <w:tabs>
                <w:tab w:val="left" w:pos="-1440"/>
                <w:tab w:val="left" w:pos="-720"/>
                <w:tab w:val="left" w:pos="0"/>
                <w:tab w:val="left" w:pos="240"/>
                <w:tab w:val="left" w:pos="720"/>
                <w:tab w:val="left" w:pos="1440"/>
              </w:tabs>
              <w:spacing w:before="144"/>
              <w:jc w:val="center"/>
              <w:rPr>
                <w:szCs w:val="24"/>
              </w:rPr>
            </w:pPr>
          </w:p>
        </w:tc>
        <w:tc>
          <w:tcPr>
            <w:tcW w:w="1260" w:type="dxa"/>
            <w:tcBorders>
              <w:bottom w:val="single" w:sz="4" w:space="0" w:color="auto"/>
            </w:tcBorders>
          </w:tcPr>
          <w:p w:rsidR="005869DD" w:rsidRDefault="005869DD">
            <w:pPr>
              <w:tabs>
                <w:tab w:val="left" w:pos="-1440"/>
                <w:tab w:val="left" w:pos="-720"/>
                <w:tab w:val="left" w:pos="0"/>
                <w:tab w:val="left" w:pos="240"/>
                <w:tab w:val="left" w:pos="720"/>
              </w:tabs>
              <w:spacing w:before="163" w:after="19"/>
              <w:jc w:val="center"/>
              <w:rPr>
                <w:szCs w:val="24"/>
              </w:rPr>
            </w:pPr>
          </w:p>
        </w:tc>
        <w:tc>
          <w:tcPr>
            <w:tcW w:w="1260" w:type="dxa"/>
            <w:tcBorders>
              <w:bottom w:val="single" w:sz="4" w:space="0" w:color="auto"/>
            </w:tcBorders>
          </w:tcPr>
          <w:p w:rsidR="005869DD" w:rsidRDefault="005869DD">
            <w:pPr>
              <w:tabs>
                <w:tab w:val="left" w:pos="-1440"/>
                <w:tab w:val="left" w:pos="-720"/>
                <w:tab w:val="left" w:pos="0"/>
                <w:tab w:val="left" w:pos="240"/>
                <w:tab w:val="left" w:pos="720"/>
              </w:tabs>
              <w:spacing w:before="163" w:after="19"/>
              <w:jc w:val="center"/>
              <w:rPr>
                <w:szCs w:val="24"/>
              </w:rPr>
            </w:pPr>
          </w:p>
        </w:tc>
        <w:tc>
          <w:tcPr>
            <w:tcW w:w="1440" w:type="dxa"/>
            <w:tcBorders>
              <w:bottom w:val="single" w:sz="4" w:space="0" w:color="auto"/>
            </w:tcBorders>
          </w:tcPr>
          <w:p w:rsidR="005869DD" w:rsidRDefault="00CD7F56" w:rsidP="005869DD">
            <w:pPr>
              <w:tabs>
                <w:tab w:val="left" w:pos="-1440"/>
                <w:tab w:val="left" w:pos="-720"/>
                <w:tab w:val="left" w:pos="0"/>
                <w:tab w:val="left" w:pos="240"/>
                <w:tab w:val="left" w:pos="720"/>
                <w:tab w:val="left" w:pos="1440"/>
              </w:tabs>
              <w:spacing w:before="163" w:after="19"/>
              <w:jc w:val="right"/>
              <w:rPr>
                <w:szCs w:val="24"/>
              </w:rPr>
            </w:pPr>
            <w:r>
              <w:rPr>
                <w:szCs w:val="24"/>
              </w:rPr>
              <w:t>113,793</w:t>
            </w:r>
          </w:p>
        </w:tc>
      </w:tr>
    </w:tbl>
    <w:p w:rsidR="0097783F" w:rsidRPr="006A08B6" w:rsidRDefault="0097783F">
      <w:pPr>
        <w:pStyle w:val="Footer"/>
        <w:tabs>
          <w:tab w:val="clear" w:pos="4320"/>
          <w:tab w:val="clear" w:pos="8640"/>
        </w:tabs>
        <w:rPr>
          <w:szCs w:val="24"/>
        </w:rPr>
      </w:pPr>
    </w:p>
    <w:p w:rsidR="0097783F" w:rsidRPr="006A08B6" w:rsidRDefault="0058508D">
      <w:pPr>
        <w:pStyle w:val="Footer"/>
        <w:tabs>
          <w:tab w:val="clear" w:pos="4320"/>
          <w:tab w:val="clear" w:pos="8640"/>
        </w:tabs>
        <w:rPr>
          <w:szCs w:val="24"/>
        </w:rPr>
      </w:pPr>
      <w:r w:rsidRPr="007F2D19">
        <w:rPr>
          <w:color w:val="000000"/>
          <w:szCs w:val="24"/>
        </w:rPr>
        <w:lastRenderedPageBreak/>
        <w:t xml:space="preserve">The current annual cost to the public of </w:t>
      </w:r>
      <w:r>
        <w:rPr>
          <w:color w:val="000000"/>
          <w:szCs w:val="24"/>
        </w:rPr>
        <w:t>this information collection</w:t>
      </w:r>
      <w:r w:rsidRPr="007F2D19">
        <w:rPr>
          <w:color w:val="000000"/>
          <w:szCs w:val="24"/>
        </w:rPr>
        <w:t xml:space="preserve"> is estimated to be</w:t>
      </w:r>
      <w:r w:rsidRPr="006A08B6" w:rsidDel="0058508D">
        <w:rPr>
          <w:szCs w:val="24"/>
        </w:rPr>
        <w:t xml:space="preserve"> </w:t>
      </w:r>
      <w:r w:rsidR="0097783F" w:rsidRPr="006A08B6">
        <w:rPr>
          <w:szCs w:val="24"/>
        </w:rPr>
        <w:t>$</w:t>
      </w:r>
      <w:r>
        <w:rPr>
          <w:szCs w:val="24"/>
        </w:rPr>
        <w:t>8,966,888</w:t>
      </w:r>
      <w:r w:rsidR="0097783F" w:rsidRPr="006A08B6">
        <w:rPr>
          <w:szCs w:val="24"/>
        </w:rPr>
        <w:t>.</w:t>
      </w:r>
      <w:r w:rsidR="008C25F5">
        <w:rPr>
          <w:rStyle w:val="FootnoteReference"/>
          <w:szCs w:val="24"/>
        </w:rPr>
        <w:footnoteReference w:id="3"/>
      </w:r>
    </w:p>
    <w:p w:rsidR="00B77BF2" w:rsidRDefault="00B77BF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rPr>
      </w:pPr>
    </w:p>
    <w:p w:rsidR="0097783F" w:rsidRPr="006A08B6" w:rsidRDefault="0097783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6A08B6">
        <w:rPr>
          <w:b/>
          <w:bCs/>
          <w:color w:val="000000"/>
          <w:szCs w:val="24"/>
        </w:rPr>
        <w:t>Estimate of Cost to the Federal Reserve System</w:t>
      </w:r>
    </w:p>
    <w:p w:rsidR="0097783F" w:rsidRPr="006A08B6" w:rsidRDefault="0097783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97783F" w:rsidRPr="006A08B6" w:rsidRDefault="0097783F">
      <w:pPr>
        <w:rPr>
          <w:szCs w:val="24"/>
        </w:rPr>
      </w:pPr>
      <w:r w:rsidRPr="006A08B6">
        <w:rPr>
          <w:color w:val="000000"/>
          <w:szCs w:val="24"/>
        </w:rPr>
        <w:tab/>
      </w:r>
      <w:r w:rsidR="008C25F5">
        <w:rPr>
          <w:color w:val="000000"/>
          <w:szCs w:val="24"/>
        </w:rPr>
        <w:t xml:space="preserve">Federal Reserve System </w:t>
      </w:r>
      <w:r w:rsidR="0058508D">
        <w:rPr>
          <w:color w:val="000000"/>
          <w:szCs w:val="24"/>
        </w:rPr>
        <w:t>supervision</w:t>
      </w:r>
      <w:r w:rsidR="008C25F5">
        <w:rPr>
          <w:color w:val="000000"/>
          <w:szCs w:val="24"/>
        </w:rPr>
        <w:t xml:space="preserve"> staff would review the written implementation plans and prior approvals as part of their normal work assignments and there would be no additional staffing costs.  </w:t>
      </w:r>
    </w:p>
    <w:sectPr w:rsidR="0097783F" w:rsidRPr="006A08B6" w:rsidSect="00201631">
      <w:footerReference w:type="even" r:id="rId7"/>
      <w:foot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357" w:rsidRDefault="00DA0357">
      <w:r>
        <w:separator/>
      </w:r>
    </w:p>
  </w:endnote>
  <w:endnote w:type="continuationSeparator" w:id="0">
    <w:p w:rsidR="00DA0357" w:rsidRDefault="00DA0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57" w:rsidRDefault="00A5062C">
    <w:pPr>
      <w:pStyle w:val="Footer"/>
      <w:framePr w:wrap="around" w:vAnchor="text" w:hAnchor="margin" w:xAlign="right" w:y="1"/>
      <w:rPr>
        <w:rStyle w:val="PageNumber"/>
      </w:rPr>
    </w:pPr>
    <w:r>
      <w:rPr>
        <w:rStyle w:val="PageNumber"/>
      </w:rPr>
      <w:fldChar w:fldCharType="begin"/>
    </w:r>
    <w:r w:rsidR="00DA0357">
      <w:rPr>
        <w:rStyle w:val="PageNumber"/>
      </w:rPr>
      <w:instrText xml:space="preserve">PAGE  </w:instrText>
    </w:r>
    <w:r>
      <w:rPr>
        <w:rStyle w:val="PageNumber"/>
      </w:rPr>
      <w:fldChar w:fldCharType="end"/>
    </w:r>
  </w:p>
  <w:p w:rsidR="00DA0357" w:rsidRDefault="00DA03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5657"/>
      <w:docPartObj>
        <w:docPartGallery w:val="Page Numbers (Bottom of Page)"/>
        <w:docPartUnique/>
      </w:docPartObj>
    </w:sdtPr>
    <w:sdtContent>
      <w:p w:rsidR="00DA0357" w:rsidRDefault="00A5062C">
        <w:pPr>
          <w:pStyle w:val="Footer"/>
          <w:jc w:val="center"/>
        </w:pPr>
        <w:fldSimple w:instr=" PAGE   \* MERGEFORMAT ">
          <w:r w:rsidR="00065012">
            <w:rPr>
              <w:noProof/>
            </w:rPr>
            <w:t>4</w:t>
          </w:r>
        </w:fldSimple>
      </w:p>
    </w:sdtContent>
  </w:sdt>
  <w:p w:rsidR="00DA0357" w:rsidRDefault="00DA0357" w:rsidP="00A01247">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357" w:rsidRDefault="00DA0357">
      <w:r>
        <w:separator/>
      </w:r>
    </w:p>
  </w:footnote>
  <w:footnote w:type="continuationSeparator" w:id="0">
    <w:p w:rsidR="00DA0357" w:rsidRDefault="00DA0357">
      <w:r>
        <w:continuationSeparator/>
      </w:r>
    </w:p>
  </w:footnote>
  <w:footnote w:id="1">
    <w:p w:rsidR="00DA0357" w:rsidRDefault="00DA0357">
      <w:pPr>
        <w:pStyle w:val="FootnoteText"/>
        <w:spacing w:after="120"/>
      </w:pPr>
      <w:r>
        <w:rPr>
          <w:rStyle w:val="FootnoteReference"/>
        </w:rPr>
        <w:footnoteRef/>
      </w:r>
      <w:r>
        <w:t xml:space="preserve"> </w:t>
      </w:r>
      <w:proofErr w:type="gramStart"/>
      <w:r>
        <w:t xml:space="preserve">44 U.S.C. § 3501 </w:t>
      </w:r>
      <w:r>
        <w:rPr>
          <w:u w:val="single"/>
        </w:rPr>
        <w:t>et</w:t>
      </w:r>
      <w:r>
        <w:t xml:space="preserve"> </w:t>
      </w:r>
      <w:r>
        <w:rPr>
          <w:u w:val="single"/>
        </w:rPr>
        <w:t>seq</w:t>
      </w:r>
      <w:r>
        <w:t>.</w:t>
      </w:r>
      <w:proofErr w:type="gramEnd"/>
    </w:p>
  </w:footnote>
  <w:footnote w:id="2">
    <w:p w:rsidR="00DA0357" w:rsidRDefault="00DA0357">
      <w:pPr>
        <w:pStyle w:val="FootnoteText"/>
      </w:pPr>
      <w:r>
        <w:rPr>
          <w:rStyle w:val="FootnoteReference"/>
        </w:rPr>
        <w:footnoteRef/>
      </w:r>
      <w:r>
        <w:t xml:space="preserve"> The Agencies’ OMB Control Numbers for the FFIEC 009 are: Federal Reserve (7100-0035), FDIC (3064-0017), and OCC (1557-0100).</w:t>
      </w:r>
    </w:p>
  </w:footnote>
  <w:footnote w:id="3">
    <w:p w:rsidR="00DA0357" w:rsidRPr="004D3650" w:rsidRDefault="00DA0357" w:rsidP="008C25F5">
      <w:pPr>
        <w:rPr>
          <w:snapToGrid/>
          <w:sz w:val="18"/>
          <w:szCs w:val="18"/>
          <w:u w:val="single"/>
        </w:rPr>
      </w:pPr>
      <w:r>
        <w:rPr>
          <w:rStyle w:val="FootnoteReference"/>
        </w:rPr>
        <w:footnoteRef/>
      </w:r>
      <w:r>
        <w:t xml:space="preserve"> </w:t>
      </w:r>
      <w:r w:rsidRPr="004D3650">
        <w:rPr>
          <w:snapToGrid/>
          <w:sz w:val="18"/>
          <w:szCs w:val="18"/>
        </w:rPr>
        <w:t xml:space="preserve">Total cost to the public was estimated using the following formula: percent of staff time, multiplied by annual burden hours, multiplied by hourly rate (10% Administrative or Junior Analyst @ $25, 50% Managerial or Technical @ $55, 20% Senior Management @ $100, and 20% Legal Counsel @ $144).  Hourly rate estimates for each occupational group are averages using data from the Bureau of Labor and Statistics (BLS), Occupational Employment and Wages 2007, </w:t>
      </w:r>
      <w:r w:rsidRPr="004D3650">
        <w:rPr>
          <w:snapToGrid/>
          <w:sz w:val="18"/>
          <w:szCs w:val="18"/>
          <w:u w:val="single"/>
        </w:rPr>
        <w:t>http://www.bls.gov/news.release/ocwage.nr0.htm.</w:t>
      </w:r>
      <w:r w:rsidRPr="004D3650">
        <w:rPr>
          <w:snapToGrid/>
          <w:sz w:val="18"/>
          <w:szCs w:val="18"/>
        </w:rPr>
        <w:t xml:space="preserve">  Occupations are defined using the BLS Occupational Classification System, </w:t>
      </w:r>
      <w:r w:rsidRPr="004D3650">
        <w:rPr>
          <w:snapToGrid/>
          <w:sz w:val="18"/>
          <w:szCs w:val="18"/>
          <w:u w:val="single"/>
        </w:rPr>
        <w:t>http://www.bls.gov/soc/.</w:t>
      </w:r>
    </w:p>
    <w:p w:rsidR="00DA0357" w:rsidRPr="004D3650" w:rsidRDefault="00DA0357">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32C9E"/>
    <w:rsid w:val="000034D5"/>
    <w:rsid w:val="0002076F"/>
    <w:rsid w:val="00065012"/>
    <w:rsid w:val="00092D7D"/>
    <w:rsid w:val="000B1315"/>
    <w:rsid w:val="000B401A"/>
    <w:rsid w:val="000C5FDD"/>
    <w:rsid w:val="00103A61"/>
    <w:rsid w:val="00107609"/>
    <w:rsid w:val="00116B63"/>
    <w:rsid w:val="00123261"/>
    <w:rsid w:val="0012553E"/>
    <w:rsid w:val="00131C95"/>
    <w:rsid w:val="001464A7"/>
    <w:rsid w:val="001612C7"/>
    <w:rsid w:val="00164734"/>
    <w:rsid w:val="001A2406"/>
    <w:rsid w:val="001B4121"/>
    <w:rsid w:val="001D55BC"/>
    <w:rsid w:val="00201631"/>
    <w:rsid w:val="00214838"/>
    <w:rsid w:val="00271D8D"/>
    <w:rsid w:val="002D68CB"/>
    <w:rsid w:val="002E5312"/>
    <w:rsid w:val="00335841"/>
    <w:rsid w:val="00341F36"/>
    <w:rsid w:val="003514BE"/>
    <w:rsid w:val="0036182C"/>
    <w:rsid w:val="00375AA4"/>
    <w:rsid w:val="003844B4"/>
    <w:rsid w:val="003935D5"/>
    <w:rsid w:val="003947A0"/>
    <w:rsid w:val="003C034E"/>
    <w:rsid w:val="003F07E8"/>
    <w:rsid w:val="003F5AF5"/>
    <w:rsid w:val="00416897"/>
    <w:rsid w:val="004313F7"/>
    <w:rsid w:val="004405C0"/>
    <w:rsid w:val="0045767E"/>
    <w:rsid w:val="0046361E"/>
    <w:rsid w:val="004707B4"/>
    <w:rsid w:val="00472F3E"/>
    <w:rsid w:val="004730BC"/>
    <w:rsid w:val="00490400"/>
    <w:rsid w:val="00492EED"/>
    <w:rsid w:val="004D3650"/>
    <w:rsid w:val="00503B0C"/>
    <w:rsid w:val="00530F5A"/>
    <w:rsid w:val="0053251B"/>
    <w:rsid w:val="00566034"/>
    <w:rsid w:val="00567471"/>
    <w:rsid w:val="005844C2"/>
    <w:rsid w:val="0058508D"/>
    <w:rsid w:val="005869DD"/>
    <w:rsid w:val="005B5A41"/>
    <w:rsid w:val="005D6F87"/>
    <w:rsid w:val="005D7A89"/>
    <w:rsid w:val="00613F94"/>
    <w:rsid w:val="006320D9"/>
    <w:rsid w:val="00644C7C"/>
    <w:rsid w:val="00652C91"/>
    <w:rsid w:val="006A08B6"/>
    <w:rsid w:val="006B0827"/>
    <w:rsid w:val="006B31FE"/>
    <w:rsid w:val="006C56D6"/>
    <w:rsid w:val="006E7C17"/>
    <w:rsid w:val="00700D37"/>
    <w:rsid w:val="0071338A"/>
    <w:rsid w:val="00715E8C"/>
    <w:rsid w:val="00717EA3"/>
    <w:rsid w:val="00744600"/>
    <w:rsid w:val="007531C7"/>
    <w:rsid w:val="00754495"/>
    <w:rsid w:val="00756472"/>
    <w:rsid w:val="00762BFF"/>
    <w:rsid w:val="00780850"/>
    <w:rsid w:val="007968EF"/>
    <w:rsid w:val="007C035C"/>
    <w:rsid w:val="00805D16"/>
    <w:rsid w:val="00814CF7"/>
    <w:rsid w:val="00825797"/>
    <w:rsid w:val="00841B71"/>
    <w:rsid w:val="0088299B"/>
    <w:rsid w:val="008C25F5"/>
    <w:rsid w:val="00921519"/>
    <w:rsid w:val="00924369"/>
    <w:rsid w:val="009364C1"/>
    <w:rsid w:val="009537C3"/>
    <w:rsid w:val="0095705F"/>
    <w:rsid w:val="009640D8"/>
    <w:rsid w:val="0097783F"/>
    <w:rsid w:val="009A6DC7"/>
    <w:rsid w:val="009C5B2C"/>
    <w:rsid w:val="009D503A"/>
    <w:rsid w:val="009F48AA"/>
    <w:rsid w:val="00A01247"/>
    <w:rsid w:val="00A04603"/>
    <w:rsid w:val="00A5062C"/>
    <w:rsid w:val="00AD14C2"/>
    <w:rsid w:val="00B05587"/>
    <w:rsid w:val="00B22C09"/>
    <w:rsid w:val="00B231FD"/>
    <w:rsid w:val="00B44DE1"/>
    <w:rsid w:val="00B450D9"/>
    <w:rsid w:val="00B77BF2"/>
    <w:rsid w:val="00C32C9E"/>
    <w:rsid w:val="00C348D6"/>
    <w:rsid w:val="00C4664C"/>
    <w:rsid w:val="00C64016"/>
    <w:rsid w:val="00C75C7A"/>
    <w:rsid w:val="00C908B1"/>
    <w:rsid w:val="00C94BB7"/>
    <w:rsid w:val="00CC102F"/>
    <w:rsid w:val="00CD04F5"/>
    <w:rsid w:val="00CD7F56"/>
    <w:rsid w:val="00D15543"/>
    <w:rsid w:val="00D21D59"/>
    <w:rsid w:val="00D2793B"/>
    <w:rsid w:val="00D72561"/>
    <w:rsid w:val="00D81D2B"/>
    <w:rsid w:val="00D91484"/>
    <w:rsid w:val="00DA0357"/>
    <w:rsid w:val="00DC1AC3"/>
    <w:rsid w:val="00E26E2E"/>
    <w:rsid w:val="00E74599"/>
    <w:rsid w:val="00E75D49"/>
    <w:rsid w:val="00E90DF4"/>
    <w:rsid w:val="00ED1243"/>
    <w:rsid w:val="00EF4283"/>
    <w:rsid w:val="00F11B0A"/>
    <w:rsid w:val="00F25713"/>
    <w:rsid w:val="00F379CC"/>
    <w:rsid w:val="00FB0B9D"/>
    <w:rsid w:val="00FB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587"/>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05587"/>
    <w:rPr>
      <w:snapToGrid/>
      <w:sz w:val="20"/>
    </w:rPr>
  </w:style>
  <w:style w:type="character" w:styleId="FootnoteReference">
    <w:name w:val="footnote reference"/>
    <w:basedOn w:val="DefaultParagraphFont"/>
    <w:semiHidden/>
    <w:rsid w:val="00B05587"/>
    <w:rPr>
      <w:vertAlign w:val="superscript"/>
    </w:rPr>
  </w:style>
  <w:style w:type="paragraph" w:styleId="BodyTextIndent">
    <w:name w:val="Body Text Indent"/>
    <w:basedOn w:val="Normal"/>
    <w:rsid w:val="00B05587"/>
    <w:pPr>
      <w:ind w:firstLine="720"/>
      <w:jc w:val="both"/>
    </w:pPr>
    <w:rPr>
      <w:rFonts w:ascii="Times" w:hAnsi="Times"/>
    </w:rPr>
  </w:style>
  <w:style w:type="paragraph" w:styleId="BodyTextIndent2">
    <w:name w:val="Body Text Indent 2"/>
    <w:basedOn w:val="Normal"/>
    <w:rsid w:val="00B05587"/>
    <w:pPr>
      <w:ind w:firstLine="720"/>
    </w:pPr>
    <w:rPr>
      <w:rFonts w:ascii="Times" w:hAnsi="Times"/>
      <w:color w:val="000000"/>
      <w:szCs w:val="24"/>
    </w:rPr>
  </w:style>
  <w:style w:type="paragraph" w:styleId="Footer">
    <w:name w:val="footer"/>
    <w:basedOn w:val="Normal"/>
    <w:link w:val="FooterChar"/>
    <w:uiPriority w:val="99"/>
    <w:rsid w:val="00B05587"/>
    <w:pPr>
      <w:tabs>
        <w:tab w:val="center" w:pos="4320"/>
        <w:tab w:val="right" w:pos="8640"/>
      </w:tabs>
    </w:pPr>
  </w:style>
  <w:style w:type="character" w:styleId="PageNumber">
    <w:name w:val="page number"/>
    <w:basedOn w:val="DefaultParagraphFont"/>
    <w:rsid w:val="00B05587"/>
  </w:style>
  <w:style w:type="paragraph" w:styleId="BodyText">
    <w:name w:val="Body Text"/>
    <w:basedOn w:val="Normal"/>
    <w:rsid w:val="00B05587"/>
    <w:rPr>
      <w:rFonts w:ascii="Times" w:hAnsi="Times"/>
      <w:color w:val="000000"/>
      <w:szCs w:val="24"/>
    </w:rPr>
  </w:style>
  <w:style w:type="paragraph" w:styleId="BalloonText">
    <w:name w:val="Balloon Text"/>
    <w:basedOn w:val="Normal"/>
    <w:semiHidden/>
    <w:rsid w:val="00C32C9E"/>
    <w:rPr>
      <w:rFonts w:ascii="Tahoma" w:hAnsi="Tahoma" w:cs="Tahoma"/>
      <w:sz w:val="16"/>
      <w:szCs w:val="16"/>
    </w:rPr>
  </w:style>
  <w:style w:type="character" w:styleId="CommentReference">
    <w:name w:val="annotation reference"/>
    <w:basedOn w:val="DefaultParagraphFont"/>
    <w:semiHidden/>
    <w:rsid w:val="00C32C9E"/>
    <w:rPr>
      <w:sz w:val="16"/>
      <w:szCs w:val="16"/>
    </w:rPr>
  </w:style>
  <w:style w:type="paragraph" w:styleId="CommentText">
    <w:name w:val="annotation text"/>
    <w:basedOn w:val="Normal"/>
    <w:semiHidden/>
    <w:rsid w:val="00C32C9E"/>
    <w:rPr>
      <w:sz w:val="20"/>
    </w:rPr>
  </w:style>
  <w:style w:type="paragraph" w:styleId="CommentSubject">
    <w:name w:val="annotation subject"/>
    <w:basedOn w:val="CommentText"/>
    <w:next w:val="CommentText"/>
    <w:semiHidden/>
    <w:rsid w:val="00C32C9E"/>
    <w:rPr>
      <w:b/>
      <w:bCs/>
    </w:rPr>
  </w:style>
  <w:style w:type="character" w:styleId="FollowedHyperlink">
    <w:name w:val="FollowedHyperlink"/>
    <w:basedOn w:val="DefaultParagraphFont"/>
    <w:rsid w:val="006A08B6"/>
    <w:rPr>
      <w:color w:val="800080"/>
      <w:u w:val="single"/>
    </w:rPr>
  </w:style>
  <w:style w:type="paragraph" w:styleId="Header">
    <w:name w:val="header"/>
    <w:basedOn w:val="Normal"/>
    <w:link w:val="HeaderChar"/>
    <w:uiPriority w:val="99"/>
    <w:semiHidden/>
    <w:unhideWhenUsed/>
    <w:rsid w:val="00A01247"/>
    <w:pPr>
      <w:tabs>
        <w:tab w:val="center" w:pos="4680"/>
        <w:tab w:val="right" w:pos="9360"/>
      </w:tabs>
    </w:pPr>
  </w:style>
  <w:style w:type="character" w:customStyle="1" w:styleId="HeaderChar">
    <w:name w:val="Header Char"/>
    <w:basedOn w:val="DefaultParagraphFont"/>
    <w:link w:val="Header"/>
    <w:uiPriority w:val="99"/>
    <w:semiHidden/>
    <w:rsid w:val="00A01247"/>
    <w:rPr>
      <w:snapToGrid w:val="0"/>
      <w:sz w:val="24"/>
    </w:rPr>
  </w:style>
  <w:style w:type="character" w:customStyle="1" w:styleId="FooterChar">
    <w:name w:val="Footer Char"/>
    <w:basedOn w:val="DefaultParagraphFont"/>
    <w:link w:val="Footer"/>
    <w:uiPriority w:val="99"/>
    <w:rsid w:val="00A01247"/>
    <w:rPr>
      <w:snapToGrid w:val="0"/>
      <w:sz w:val="24"/>
    </w:rPr>
  </w:style>
</w:styles>
</file>

<file path=word/webSettings.xml><?xml version="1.0" encoding="utf-8"?>
<w:webSettings xmlns:r="http://schemas.openxmlformats.org/officeDocument/2006/relationships" xmlns:w="http://schemas.openxmlformats.org/wordprocessingml/2006/main">
  <w:divs>
    <w:div w:id="13036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1D0C-1124-42B2-9F17-3DFD24BF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1573</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10733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m1jas00</cp:lastModifiedBy>
  <cp:revision>2</cp:revision>
  <cp:lastPrinted>2009-07-29T14:08:00Z</cp:lastPrinted>
  <dcterms:created xsi:type="dcterms:W3CDTF">2009-09-25T11:36:00Z</dcterms:created>
  <dcterms:modified xsi:type="dcterms:W3CDTF">2009-09-25T11:36:00Z</dcterms:modified>
</cp:coreProperties>
</file>