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81" w:rsidRPr="0043596B" w:rsidRDefault="00A03C81" w:rsidP="00436F12">
      <w:pPr>
        <w:jc w:val="center"/>
        <w:rPr>
          <w:i/>
          <w:sz w:val="28"/>
          <w:szCs w:val="28"/>
        </w:rPr>
      </w:pPr>
    </w:p>
    <w:p w:rsidR="00A03C81" w:rsidRPr="00FC633E" w:rsidRDefault="00A03C81" w:rsidP="00436F12">
      <w:pPr>
        <w:jc w:val="center"/>
        <w:rPr>
          <w:sz w:val="28"/>
          <w:szCs w:val="28"/>
        </w:rPr>
      </w:pPr>
    </w:p>
    <w:p w:rsidR="00A03C81" w:rsidRDefault="00A03C81" w:rsidP="00436F12">
      <w:pPr>
        <w:jc w:val="center"/>
        <w:rPr>
          <w:b/>
          <w:sz w:val="28"/>
          <w:szCs w:val="28"/>
        </w:rPr>
      </w:pPr>
    </w:p>
    <w:p w:rsidR="00A03C81" w:rsidRDefault="00A03C81" w:rsidP="00436F12">
      <w:pPr>
        <w:jc w:val="center"/>
        <w:rPr>
          <w:b/>
          <w:sz w:val="28"/>
          <w:szCs w:val="28"/>
        </w:rPr>
      </w:pPr>
      <w:r w:rsidRPr="00456179">
        <w:rPr>
          <w:b/>
          <w:sz w:val="28"/>
          <w:szCs w:val="28"/>
        </w:rPr>
        <w:t>SUPPORTING STATEMENT</w:t>
      </w:r>
    </w:p>
    <w:p w:rsidR="00A03C81" w:rsidRDefault="00A03C81" w:rsidP="00436F12">
      <w:pPr>
        <w:jc w:val="center"/>
        <w:rPr>
          <w:b/>
          <w:sz w:val="28"/>
          <w:szCs w:val="28"/>
        </w:rPr>
      </w:pPr>
    </w:p>
    <w:p w:rsidR="00A03C81" w:rsidRDefault="00A03C81" w:rsidP="00436F12">
      <w:pPr>
        <w:jc w:val="center"/>
        <w:rPr>
          <w:sz w:val="28"/>
          <w:szCs w:val="28"/>
        </w:rPr>
      </w:pPr>
      <w:r>
        <w:rPr>
          <w:b/>
          <w:sz w:val="28"/>
          <w:szCs w:val="28"/>
        </w:rPr>
        <w:t>Part B</w:t>
      </w: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993E2A">
      <w:pPr>
        <w:jc w:val="center"/>
        <w:rPr>
          <w:i/>
          <w:sz w:val="28"/>
          <w:szCs w:val="28"/>
        </w:rPr>
      </w:pPr>
      <w:r>
        <w:rPr>
          <w:i/>
          <w:sz w:val="28"/>
          <w:szCs w:val="28"/>
        </w:rPr>
        <w:t>Agency for Healthcare Research and Quality (AHRQ)</w:t>
      </w:r>
    </w:p>
    <w:p w:rsidR="00A03C81" w:rsidRDefault="00A03C81" w:rsidP="00993E2A">
      <w:pPr>
        <w:jc w:val="center"/>
        <w:rPr>
          <w:i/>
          <w:sz w:val="28"/>
          <w:szCs w:val="28"/>
        </w:rPr>
      </w:pPr>
    </w:p>
    <w:p w:rsidR="00A03C81" w:rsidRDefault="00A03C81" w:rsidP="00436F12">
      <w:pPr>
        <w:jc w:val="center"/>
        <w:rPr>
          <w:sz w:val="28"/>
          <w:szCs w:val="28"/>
        </w:rPr>
      </w:pPr>
      <w:r w:rsidRPr="000D4113">
        <w:rPr>
          <w:i/>
          <w:sz w:val="28"/>
          <w:szCs w:val="28"/>
        </w:rPr>
        <w:t>Evaluation of AHRQ's Effective Health Care Program</w:t>
      </w:r>
      <w:r w:rsidRPr="000D4113" w:rsidDel="000D4113">
        <w:rPr>
          <w:i/>
          <w:sz w:val="28"/>
          <w:szCs w:val="28"/>
        </w:rPr>
        <w:t xml:space="preserve"> </w:t>
      </w: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i/>
          <w:sz w:val="28"/>
          <w:szCs w:val="28"/>
        </w:rPr>
      </w:pPr>
      <w:r>
        <w:rPr>
          <w:i/>
          <w:sz w:val="28"/>
          <w:szCs w:val="28"/>
        </w:rPr>
        <w:t>February 18, 2010</w:t>
      </w:r>
    </w:p>
    <w:p w:rsidR="00A03C81" w:rsidRPr="00C4006D" w:rsidRDefault="00A03C81" w:rsidP="00436F12">
      <w:pPr>
        <w:jc w:val="center"/>
        <w:rPr>
          <w:i/>
          <w:sz w:val="28"/>
          <w:szCs w:val="28"/>
        </w:rPr>
      </w:pPr>
      <w:r>
        <w:rPr>
          <w:i/>
          <w:sz w:val="28"/>
          <w:szCs w:val="28"/>
        </w:rPr>
        <w:t>(Revised)</w:t>
      </w: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p>
    <w:p w:rsidR="00A03C81" w:rsidRDefault="00A03C81" w:rsidP="00436F12">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A03C81" w:rsidRDefault="00A03C81" w:rsidP="00436F12">
      <w:pPr>
        <w:jc w:val="center"/>
        <w:rPr>
          <w:sz w:val="28"/>
          <w:szCs w:val="28"/>
        </w:rPr>
      </w:pPr>
      <w:smartTag w:uri="urn:schemas-microsoft-com:office:smarttags" w:element="place">
        <w:smartTag w:uri="urn:schemas-microsoft-com:office:smarttags" w:element="country-region">
          <w:r>
            <w:rPr>
              <w:sz w:val="28"/>
              <w:szCs w:val="28"/>
            </w:rPr>
            <w:t>U.S.</w:t>
          </w:r>
        </w:smartTag>
      </w:smartTag>
      <w:r>
        <w:rPr>
          <w:sz w:val="28"/>
          <w:szCs w:val="28"/>
        </w:rPr>
        <w:t xml:space="preserve"> Department of Health and Human Services</w:t>
      </w:r>
    </w:p>
    <w:p w:rsidR="00A03C81" w:rsidRDefault="00A03C81" w:rsidP="00436F12">
      <w:pPr>
        <w:rPr>
          <w:sz w:val="28"/>
          <w:szCs w:val="28"/>
        </w:rPr>
      </w:pPr>
    </w:p>
    <w:p w:rsidR="00A03C81" w:rsidRDefault="00A03C81" w:rsidP="00436F12">
      <w:pPr>
        <w:rPr>
          <w:sz w:val="28"/>
          <w:szCs w:val="28"/>
        </w:rPr>
        <w:sectPr w:rsidR="00A03C81" w:rsidSect="00993E2A">
          <w:footerReference w:type="even" r:id="rId7"/>
          <w:footerReference w:type="default" r:id="rId8"/>
          <w:pgSz w:w="12240" w:h="15840"/>
          <w:pgMar w:top="1440" w:right="1800" w:bottom="1440" w:left="1800" w:header="720" w:footer="720" w:gutter="0"/>
          <w:pgNumType w:start="1"/>
          <w:cols w:space="720"/>
          <w:titlePg/>
          <w:docGrid w:linePitch="360"/>
        </w:sectPr>
      </w:pPr>
    </w:p>
    <w:p w:rsidR="00A03C81" w:rsidRDefault="00A03C81" w:rsidP="00436F12">
      <w:pPr>
        <w:rPr>
          <w:sz w:val="28"/>
          <w:szCs w:val="28"/>
        </w:rPr>
      </w:pPr>
    </w:p>
    <w:p w:rsidR="00A03C81" w:rsidRDefault="00A03C81" w:rsidP="0064564D">
      <w:pPr>
        <w:rPr>
          <w:b/>
          <w:color w:val="000000"/>
          <w:sz w:val="28"/>
          <w:szCs w:val="28"/>
        </w:rPr>
      </w:pPr>
      <w:bookmarkStart w:id="0" w:name="_Toc151782198"/>
      <w:bookmarkStart w:id="1" w:name="_Toc158526234"/>
      <w:r w:rsidRPr="0064564D">
        <w:rPr>
          <w:b/>
          <w:color w:val="000000"/>
          <w:sz w:val="28"/>
          <w:szCs w:val="28"/>
        </w:rPr>
        <w:t>Table of Contents</w:t>
      </w:r>
    </w:p>
    <w:p w:rsidR="00A03C81" w:rsidRDefault="00A03C81" w:rsidP="0064564D">
      <w:pPr>
        <w:rPr>
          <w:b/>
          <w:color w:val="000000"/>
          <w:sz w:val="28"/>
          <w:szCs w:val="28"/>
        </w:rPr>
      </w:pPr>
    </w:p>
    <w:p w:rsidR="00A03C81" w:rsidRDefault="00A03C81" w:rsidP="0097063B">
      <w:pPr>
        <w:tabs>
          <w:tab w:val="left" w:leader="dot" w:pos="8460"/>
        </w:tabs>
      </w:pPr>
      <w:r w:rsidRPr="00FC633E">
        <w:t>B. Collections of Information Employing Statistical Methods</w:t>
      </w:r>
      <w:r>
        <w:tab/>
        <w:t>2</w:t>
      </w:r>
    </w:p>
    <w:p w:rsidR="00A03C81" w:rsidRDefault="00A03C81" w:rsidP="0097063B">
      <w:pPr>
        <w:tabs>
          <w:tab w:val="left" w:pos="360"/>
          <w:tab w:val="left" w:leader="dot" w:pos="8460"/>
        </w:tabs>
      </w:pPr>
      <w:r>
        <w:tab/>
        <w:t xml:space="preserve">1. </w:t>
      </w:r>
      <w:r w:rsidRPr="00FC633E">
        <w:t>Respondent universe and sampling methods</w:t>
      </w:r>
      <w:r>
        <w:tab/>
        <w:t>2</w:t>
      </w:r>
    </w:p>
    <w:p w:rsidR="00A03C81" w:rsidRDefault="00A03C81" w:rsidP="0097063B">
      <w:pPr>
        <w:tabs>
          <w:tab w:val="left" w:pos="360"/>
          <w:tab w:val="left" w:leader="dot" w:pos="8460"/>
        </w:tabs>
      </w:pPr>
      <w:r>
        <w:tab/>
        <w:t xml:space="preserve">2. </w:t>
      </w:r>
      <w:r w:rsidRPr="00FC633E">
        <w:t>Information Collection Procedures</w:t>
      </w:r>
      <w:r>
        <w:tab/>
        <w:t>3</w:t>
      </w:r>
    </w:p>
    <w:p w:rsidR="00A03C81" w:rsidRDefault="00A03C81" w:rsidP="0097063B">
      <w:pPr>
        <w:tabs>
          <w:tab w:val="left" w:pos="360"/>
          <w:tab w:val="left" w:leader="dot" w:pos="8460"/>
        </w:tabs>
      </w:pPr>
      <w:r>
        <w:tab/>
        <w:t xml:space="preserve">3. </w:t>
      </w:r>
      <w:r w:rsidRPr="00FC633E">
        <w:t>Methods to Maximize Response Rates</w:t>
      </w:r>
      <w:r>
        <w:tab/>
        <w:t>5</w:t>
      </w:r>
    </w:p>
    <w:p w:rsidR="00A03C81" w:rsidRDefault="00A03C81" w:rsidP="0097063B">
      <w:pPr>
        <w:tabs>
          <w:tab w:val="left" w:pos="360"/>
          <w:tab w:val="left" w:leader="dot" w:pos="8460"/>
        </w:tabs>
      </w:pPr>
      <w:r>
        <w:tab/>
        <w:t xml:space="preserve">4. </w:t>
      </w:r>
      <w:r w:rsidRPr="00FC633E">
        <w:t>Tests of Procedures</w:t>
      </w:r>
      <w:r>
        <w:tab/>
        <w:t>5</w:t>
      </w:r>
    </w:p>
    <w:p w:rsidR="00A03C81" w:rsidRPr="00FC633E" w:rsidRDefault="00A03C81" w:rsidP="0097063B">
      <w:pPr>
        <w:tabs>
          <w:tab w:val="left" w:pos="360"/>
          <w:tab w:val="left" w:leader="dot" w:pos="8460"/>
        </w:tabs>
      </w:pPr>
      <w:r>
        <w:tab/>
        <w:t xml:space="preserve">5. </w:t>
      </w:r>
      <w:r w:rsidRPr="00FC633E">
        <w:t>Statistical Consultants</w:t>
      </w:r>
      <w:r>
        <w:tab/>
        <w:t>5</w:t>
      </w:r>
    </w:p>
    <w:p w:rsidR="00A03C81" w:rsidRDefault="00A03C81">
      <w:pPr>
        <w:pStyle w:val="TOC1"/>
        <w:tabs>
          <w:tab w:val="right" w:leader="dot" w:pos="8630"/>
        </w:tabs>
      </w:pPr>
    </w:p>
    <w:p w:rsidR="00A03C81" w:rsidRDefault="00A03C81"/>
    <w:p w:rsidR="00A03C81" w:rsidRDefault="00A03C81" w:rsidP="00436F12"/>
    <w:p w:rsidR="00A03C81" w:rsidRDefault="00A03C81" w:rsidP="00436F12"/>
    <w:p w:rsidR="00A03C81" w:rsidRDefault="00A03C81" w:rsidP="00436F12">
      <w:pPr>
        <w:sectPr w:rsidR="00A03C81" w:rsidSect="0064564D">
          <w:footerReference w:type="first" r:id="rId9"/>
          <w:pgSz w:w="12240" w:h="15840"/>
          <w:pgMar w:top="1440" w:right="1800" w:bottom="1440" w:left="1800" w:header="720" w:footer="720" w:gutter="0"/>
          <w:pgNumType w:fmt="lowerRoman" w:start="1"/>
          <w:cols w:space="720"/>
          <w:titlePg/>
          <w:docGrid w:linePitch="360"/>
        </w:sectPr>
      </w:pPr>
    </w:p>
    <w:p w:rsidR="00A03C81" w:rsidRPr="00FC633E" w:rsidRDefault="00A03C81" w:rsidP="00BF0331">
      <w:pPr>
        <w:pStyle w:val="Heading1"/>
        <w:tabs>
          <w:tab w:val="left" w:pos="360"/>
        </w:tabs>
        <w:rPr>
          <w:sz w:val="24"/>
          <w:szCs w:val="24"/>
        </w:rPr>
      </w:pPr>
      <w:bookmarkStart w:id="2" w:name="_Toc220311469"/>
      <w:r w:rsidRPr="00FC633E">
        <w:rPr>
          <w:sz w:val="24"/>
          <w:szCs w:val="24"/>
        </w:rPr>
        <w:t xml:space="preserve">B. </w:t>
      </w:r>
      <w:r>
        <w:rPr>
          <w:sz w:val="24"/>
          <w:szCs w:val="24"/>
        </w:rPr>
        <w:tab/>
      </w:r>
      <w:r w:rsidRPr="00FC633E">
        <w:rPr>
          <w:sz w:val="24"/>
          <w:szCs w:val="24"/>
        </w:rPr>
        <w:t>Collections of Information Employing Statistical Methods</w:t>
      </w:r>
      <w:bookmarkEnd w:id="0"/>
      <w:bookmarkEnd w:id="1"/>
      <w:bookmarkEnd w:id="2"/>
    </w:p>
    <w:p w:rsidR="00A03C81" w:rsidRDefault="00A03C81" w:rsidP="00436F12"/>
    <w:p w:rsidR="00A03C81" w:rsidRPr="00861479" w:rsidRDefault="00A03C81" w:rsidP="00BF0331">
      <w:pPr>
        <w:spacing w:line="276" w:lineRule="auto"/>
        <w:jc w:val="both"/>
      </w:pPr>
      <w:bookmarkStart w:id="3" w:name="_Toc151782199"/>
      <w:bookmarkStart w:id="4" w:name="_Toc158526235"/>
      <w:r w:rsidRPr="00861479">
        <w:t xml:space="preserve">One of the data collection methods used in this project will employ statistical methods: the online survey. The other </w:t>
      </w:r>
      <w:r>
        <w:t>two</w:t>
      </w:r>
      <w:r w:rsidRPr="00861479">
        <w:t xml:space="preserve"> data collection methods (</w:t>
      </w:r>
      <w:r>
        <w:t>key informant</w:t>
      </w:r>
      <w:r w:rsidRPr="00861479">
        <w:t xml:space="preserve"> </w:t>
      </w:r>
      <w:r>
        <w:t>interviews</w:t>
      </w:r>
      <w:r w:rsidRPr="00861479">
        <w:t xml:space="preserve"> and the Appreciative Inquiry </w:t>
      </w:r>
      <w:r>
        <w:t>[</w:t>
      </w:r>
      <w:r w:rsidRPr="00861479">
        <w:t>AI</w:t>
      </w:r>
      <w:r>
        <w:t>]</w:t>
      </w:r>
      <w:r w:rsidRPr="00861479">
        <w:t xml:space="preserve"> </w:t>
      </w:r>
      <w:r>
        <w:t>w</w:t>
      </w:r>
      <w:r w:rsidRPr="00861479">
        <w:t xml:space="preserve">orkshop) are strictly </w:t>
      </w:r>
      <w:r>
        <w:t xml:space="preserve">using </w:t>
      </w:r>
      <w:r w:rsidRPr="00861479">
        <w:t>qualitative methods and will not employ statistical techniques.</w:t>
      </w:r>
    </w:p>
    <w:p w:rsidR="00A03C81" w:rsidRPr="00861479" w:rsidRDefault="00A03C81" w:rsidP="00861479">
      <w:pPr>
        <w:pStyle w:val="Heading2"/>
        <w:spacing w:line="276" w:lineRule="auto"/>
        <w:rPr>
          <w:rFonts w:cs="Times New Roman"/>
        </w:rPr>
      </w:pPr>
    </w:p>
    <w:p w:rsidR="00A03C81" w:rsidRPr="00861479" w:rsidRDefault="00A03C81" w:rsidP="00BF0331">
      <w:pPr>
        <w:pStyle w:val="Heading2"/>
        <w:tabs>
          <w:tab w:val="clear" w:pos="547"/>
          <w:tab w:val="left" w:pos="540"/>
        </w:tabs>
        <w:ind w:left="547" w:hanging="547"/>
        <w:rPr>
          <w:rFonts w:cs="Times New Roman"/>
        </w:rPr>
      </w:pPr>
      <w:bookmarkStart w:id="5" w:name="_Toc220311470"/>
      <w:r w:rsidRPr="00861479">
        <w:rPr>
          <w:rFonts w:cs="Times New Roman"/>
        </w:rPr>
        <w:t>1.</w:t>
      </w:r>
      <w:r>
        <w:rPr>
          <w:rFonts w:cs="Times New Roman"/>
        </w:rPr>
        <w:tab/>
      </w:r>
      <w:r w:rsidRPr="00861479">
        <w:rPr>
          <w:rFonts w:cs="Times New Roman"/>
        </w:rPr>
        <w:t xml:space="preserve">Respondent Universe </w:t>
      </w:r>
      <w:bookmarkEnd w:id="3"/>
      <w:bookmarkEnd w:id="4"/>
      <w:bookmarkEnd w:id="5"/>
    </w:p>
    <w:p w:rsidR="00A03C81" w:rsidRDefault="00A03C81" w:rsidP="00BF0331">
      <w:pPr>
        <w:jc w:val="both"/>
        <w:rPr>
          <w:color w:val="000000"/>
        </w:rPr>
      </w:pPr>
    </w:p>
    <w:p w:rsidR="00A03C81" w:rsidRPr="00861479" w:rsidRDefault="00A03C81" w:rsidP="00BF0331">
      <w:pPr>
        <w:jc w:val="both"/>
        <w:rPr>
          <w:u w:val="single"/>
        </w:rPr>
      </w:pPr>
      <w:r w:rsidRPr="00861479">
        <w:rPr>
          <w:color w:val="000000"/>
        </w:rPr>
        <w:t xml:space="preserve">The online survey will be administered and tailored to two distinct, yet related groups: </w:t>
      </w:r>
      <w:r>
        <w:rPr>
          <w:color w:val="000000"/>
        </w:rPr>
        <w:t>1) EHC Program Research Centers Staff and 2) EHC Program Users and S</w:t>
      </w:r>
      <w:r w:rsidRPr="00861479">
        <w:rPr>
          <w:color w:val="000000"/>
        </w:rPr>
        <w:t xml:space="preserve">takeholders.  </w:t>
      </w:r>
      <w:r w:rsidRPr="00861479">
        <w:t xml:space="preserve">The respondent universe for the </w:t>
      </w:r>
      <w:r>
        <w:t>o</w:t>
      </w:r>
      <w:r w:rsidRPr="00861479">
        <w:t xml:space="preserve">nline </w:t>
      </w:r>
      <w:r>
        <w:t>s</w:t>
      </w:r>
      <w:r w:rsidRPr="00861479">
        <w:t>urvey is all ind</w:t>
      </w:r>
      <w:r>
        <w:t>ividuals involved with the EHC p</w:t>
      </w:r>
      <w:r w:rsidRPr="00861479">
        <w:t>rogram</w:t>
      </w:r>
      <w:r>
        <w:t xml:space="preserve">, excluding </w:t>
      </w:r>
      <w:r w:rsidRPr="00861479">
        <w:t>AHRQ</w:t>
      </w:r>
      <w:r>
        <w:t xml:space="preserve"> staff</w:t>
      </w:r>
      <w:r w:rsidRPr="00861479">
        <w:t xml:space="preserve"> (</w:t>
      </w:r>
      <w:r>
        <w:t xml:space="preserve">see </w:t>
      </w:r>
      <w:r w:rsidRPr="00861479">
        <w:t xml:space="preserve">Table 1), based on </w:t>
      </w:r>
      <w:r>
        <w:t xml:space="preserve">a </w:t>
      </w:r>
      <w:r w:rsidRPr="00861479">
        <w:t xml:space="preserve">list of </w:t>
      </w:r>
      <w:r>
        <w:t>R</w:t>
      </w:r>
      <w:r w:rsidRPr="00861479">
        <w:t xml:space="preserve">esearch </w:t>
      </w:r>
      <w:r>
        <w:t xml:space="preserve">Centers staff and a contact list </w:t>
      </w:r>
      <w:r w:rsidRPr="00861479">
        <w:t xml:space="preserve">of program users and stakeholders maintained by the EHC </w:t>
      </w:r>
      <w:r>
        <w:t>p</w:t>
      </w:r>
      <w:r w:rsidRPr="00861479">
        <w:t>rogram.</w:t>
      </w:r>
      <w:r>
        <w:t xml:space="preserve"> The IMPAQ team plans to survey the universe of potential survey respondents, which are drawn from the AHRQ EHC program contacts database. </w:t>
      </w:r>
    </w:p>
    <w:p w:rsidR="00A03C81" w:rsidRDefault="00A03C81" w:rsidP="00BF0331">
      <w:pPr>
        <w:autoSpaceDE w:val="0"/>
        <w:autoSpaceDN w:val="0"/>
        <w:adjustRightInd w:val="0"/>
        <w:jc w:val="both"/>
        <w:rPr>
          <w:color w:val="000000"/>
        </w:rPr>
      </w:pPr>
    </w:p>
    <w:p w:rsidR="00A03C81" w:rsidRPr="00861479" w:rsidRDefault="00A03C81" w:rsidP="00BF0331">
      <w:pPr>
        <w:autoSpaceDE w:val="0"/>
        <w:autoSpaceDN w:val="0"/>
        <w:adjustRightInd w:val="0"/>
        <w:jc w:val="both"/>
        <w:rPr>
          <w:color w:val="000000"/>
        </w:rPr>
      </w:pPr>
      <w:r>
        <w:rPr>
          <w:color w:val="000000"/>
        </w:rPr>
        <w:t>As shown in Table 1</w:t>
      </w:r>
      <w:r w:rsidRPr="00861479">
        <w:rPr>
          <w:color w:val="000000"/>
        </w:rPr>
        <w:t xml:space="preserve">, the IMPAQ team will </w:t>
      </w:r>
      <w:r>
        <w:rPr>
          <w:color w:val="000000"/>
        </w:rPr>
        <w:t>survey the universe, which is estimated to be approximately 400 at the time of the survey. This universe includes approximately 144 EHC Program Research Centers Staff and 256 program users and stakeholders</w:t>
      </w:r>
      <w:r w:rsidRPr="009D54C3">
        <w:rPr>
          <w:color w:val="000000"/>
        </w:rPr>
        <w:t xml:space="preserve">. </w:t>
      </w:r>
      <w:r>
        <w:rPr>
          <w:color w:val="000000"/>
        </w:rPr>
        <w:t xml:space="preserve">Based on an estimated response rate of 80%, the target number of survey respondents is </w:t>
      </w:r>
      <w:r w:rsidRPr="00EA5FCE">
        <w:rPr>
          <w:color w:val="000000"/>
        </w:rPr>
        <w:t xml:space="preserve">320, </w:t>
      </w:r>
      <w:r>
        <w:rPr>
          <w:color w:val="000000"/>
        </w:rPr>
        <w:t>which will yield a sufficiently large sample to obtain reliable estimates.</w:t>
      </w:r>
    </w:p>
    <w:p w:rsidR="00A03C81" w:rsidRDefault="00A03C81" w:rsidP="00DD158A">
      <w:pPr>
        <w:spacing w:after="120"/>
        <w:rPr>
          <w:color w:val="000000"/>
        </w:rPr>
      </w:pPr>
    </w:p>
    <w:p w:rsidR="00A03C81" w:rsidRPr="00DD158A" w:rsidRDefault="00A03C81" w:rsidP="00F81C41">
      <w:pPr>
        <w:spacing w:after="120"/>
        <w:jc w:val="center"/>
        <w:rPr>
          <w:b/>
        </w:rPr>
      </w:pPr>
      <w:bookmarkStart w:id="6" w:name="_Toc217373582"/>
      <w:bookmarkStart w:id="7" w:name="_Toc217813784"/>
      <w:bookmarkStart w:id="8" w:name="_Ref199955511"/>
      <w:bookmarkStart w:id="9" w:name="_Toc200194830"/>
      <w:r w:rsidRPr="00DD158A">
        <w:rPr>
          <w:b/>
        </w:rPr>
        <w:t>Table 1:  Universe for Online Survey, by Strata</w:t>
      </w:r>
    </w:p>
    <w:tbl>
      <w:tblPr>
        <w:tblW w:w="9000" w:type="dxa"/>
        <w:tblInd w:w="108" w:type="dxa"/>
        <w:tblBorders>
          <w:top w:val="single" w:sz="4" w:space="0" w:color="auto"/>
          <w:bottom w:val="single" w:sz="4" w:space="0" w:color="auto"/>
          <w:insideH w:val="single" w:sz="4" w:space="0" w:color="auto"/>
          <w:insideV w:val="single" w:sz="4" w:space="0" w:color="auto"/>
        </w:tblBorders>
        <w:tblLayout w:type="fixed"/>
        <w:tblLook w:val="01E0"/>
      </w:tblPr>
      <w:tblGrid>
        <w:gridCol w:w="7560"/>
        <w:gridCol w:w="1440"/>
      </w:tblGrid>
      <w:tr w:rsidR="00A03C81" w:rsidRPr="00DD158A" w:rsidTr="00DD158A">
        <w:trPr>
          <w:trHeight w:val="332"/>
        </w:trPr>
        <w:tc>
          <w:tcPr>
            <w:tcW w:w="7560" w:type="dxa"/>
            <w:tcBorders>
              <w:top w:val="single" w:sz="4" w:space="0" w:color="7F7F7F"/>
              <w:left w:val="single" w:sz="4" w:space="0" w:color="auto"/>
            </w:tcBorders>
            <w:shd w:val="clear" w:color="auto" w:fill="660000"/>
            <w:vAlign w:val="center"/>
          </w:tcPr>
          <w:p w:rsidR="00A03C81" w:rsidRPr="00DD158A" w:rsidRDefault="00A03C81" w:rsidP="00720EF7">
            <w:pPr>
              <w:pStyle w:val="BodyText"/>
              <w:tabs>
                <w:tab w:val="left" w:pos="720"/>
                <w:tab w:val="left" w:pos="1080"/>
                <w:tab w:val="left" w:pos="1440"/>
                <w:tab w:val="left" w:pos="1800"/>
              </w:tabs>
              <w:spacing w:after="0"/>
              <w:rPr>
                <w:b/>
                <w:color w:val="FFFFFF"/>
                <w:sz w:val="20"/>
              </w:rPr>
            </w:pPr>
            <w:r w:rsidRPr="00DD158A">
              <w:rPr>
                <w:b/>
                <w:color w:val="FFFFFF"/>
                <w:sz w:val="20"/>
              </w:rPr>
              <w:t>EHC Program Research Centers Staff</w:t>
            </w:r>
          </w:p>
        </w:tc>
        <w:tc>
          <w:tcPr>
            <w:tcW w:w="1440" w:type="dxa"/>
            <w:tcBorders>
              <w:top w:val="single" w:sz="4" w:space="0" w:color="7F7F7F"/>
              <w:right w:val="single" w:sz="4" w:space="0" w:color="auto"/>
            </w:tcBorders>
            <w:shd w:val="clear" w:color="auto" w:fill="660000"/>
            <w:vAlign w:val="center"/>
          </w:tcPr>
          <w:p w:rsidR="00A03C81" w:rsidRPr="00DD158A" w:rsidRDefault="00A03C81" w:rsidP="00720EF7">
            <w:pPr>
              <w:pStyle w:val="BodyText"/>
              <w:tabs>
                <w:tab w:val="left" w:pos="720"/>
                <w:tab w:val="left" w:pos="1080"/>
                <w:tab w:val="left" w:pos="1440"/>
                <w:tab w:val="left" w:pos="1800"/>
              </w:tabs>
              <w:spacing w:after="0"/>
              <w:jc w:val="center"/>
              <w:rPr>
                <w:b/>
                <w:color w:val="FFFFFF"/>
                <w:sz w:val="20"/>
                <w:szCs w:val="20"/>
              </w:rPr>
            </w:pPr>
            <w:r w:rsidRPr="00DD158A">
              <w:rPr>
                <w:b/>
                <w:color w:val="FFFFFF"/>
                <w:sz w:val="20"/>
                <w:szCs w:val="20"/>
              </w:rPr>
              <w:t>Approximate Number</w:t>
            </w:r>
            <w:r>
              <w:rPr>
                <w:b/>
                <w:color w:val="FFFFFF"/>
                <w:sz w:val="20"/>
                <w:szCs w:val="20"/>
              </w:rPr>
              <w:t>*</w:t>
            </w:r>
          </w:p>
        </w:tc>
      </w:tr>
      <w:tr w:rsidR="00A03C81" w:rsidRPr="00DD158A" w:rsidTr="00DD158A">
        <w:trPr>
          <w:trHeight w:val="250"/>
        </w:trPr>
        <w:tc>
          <w:tcPr>
            <w:tcW w:w="7560" w:type="dxa"/>
            <w:tcBorders>
              <w:top w:val="single" w:sz="8" w:space="0" w:color="999999"/>
              <w:left w:val="single" w:sz="4" w:space="0" w:color="auto"/>
              <w:bottom w:val="single" w:sz="8" w:space="0" w:color="999999"/>
            </w:tcBorders>
            <w:vAlign w:val="center"/>
          </w:tcPr>
          <w:p w:rsidR="00A03C81" w:rsidRPr="00DD158A" w:rsidRDefault="00A03C81" w:rsidP="00301D24">
            <w:pPr>
              <w:numPr>
                <w:ilvl w:val="0"/>
                <w:numId w:val="6"/>
              </w:numPr>
              <w:tabs>
                <w:tab w:val="clear" w:pos="720"/>
                <w:tab w:val="num" w:pos="360"/>
              </w:tabs>
              <w:ind w:left="360" w:hanging="270"/>
              <w:jc w:val="both"/>
              <w:rPr>
                <w:sz w:val="18"/>
                <w:szCs w:val="18"/>
              </w:rPr>
            </w:pPr>
            <w:r w:rsidRPr="00DD158A">
              <w:rPr>
                <w:sz w:val="18"/>
                <w:szCs w:val="18"/>
              </w:rPr>
              <w:t>Eisenberg Center Staff (P</w:t>
            </w:r>
            <w:r>
              <w:rPr>
                <w:sz w:val="18"/>
                <w:szCs w:val="18"/>
              </w:rPr>
              <w:t>rincipal Investigators (P</w:t>
            </w:r>
            <w:r w:rsidRPr="00DD158A">
              <w:rPr>
                <w:sz w:val="18"/>
                <w:szCs w:val="18"/>
              </w:rPr>
              <w:t>Is</w:t>
            </w:r>
            <w:r>
              <w:rPr>
                <w:sz w:val="18"/>
                <w:szCs w:val="18"/>
              </w:rPr>
              <w:t>)</w:t>
            </w:r>
            <w:r w:rsidRPr="00DD158A">
              <w:rPr>
                <w:sz w:val="18"/>
                <w:szCs w:val="18"/>
              </w:rPr>
              <w:t xml:space="preserve">, Other management staff) </w:t>
            </w:r>
          </w:p>
        </w:tc>
        <w:tc>
          <w:tcPr>
            <w:tcW w:w="1440" w:type="dxa"/>
            <w:tcBorders>
              <w:top w:val="single" w:sz="8" w:space="0" w:color="999999"/>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8</w:t>
            </w:r>
          </w:p>
        </w:tc>
      </w:tr>
      <w:tr w:rsidR="00A03C81" w:rsidRPr="00DD158A" w:rsidTr="00DD158A">
        <w:trPr>
          <w:trHeight w:val="331"/>
        </w:trPr>
        <w:tc>
          <w:tcPr>
            <w:tcW w:w="7560" w:type="dxa"/>
            <w:tcBorders>
              <w:top w:val="single" w:sz="8" w:space="0" w:color="999999"/>
              <w:left w:val="single" w:sz="4" w:space="0" w:color="auto"/>
              <w:bottom w:val="single" w:sz="8" w:space="0" w:color="999999"/>
            </w:tcBorders>
            <w:vAlign w:val="center"/>
          </w:tcPr>
          <w:p w:rsidR="00A03C81" w:rsidRPr="00DD158A" w:rsidRDefault="00A03C81" w:rsidP="00DA3977">
            <w:pPr>
              <w:numPr>
                <w:ilvl w:val="0"/>
                <w:numId w:val="6"/>
              </w:numPr>
              <w:tabs>
                <w:tab w:val="clear" w:pos="720"/>
                <w:tab w:val="num" w:pos="360"/>
              </w:tabs>
              <w:ind w:left="360" w:hanging="270"/>
              <w:jc w:val="both"/>
              <w:rPr>
                <w:sz w:val="18"/>
                <w:szCs w:val="18"/>
              </w:rPr>
            </w:pPr>
            <w:r w:rsidRPr="00DD158A">
              <w:rPr>
                <w:sz w:val="18"/>
                <w:szCs w:val="18"/>
              </w:rPr>
              <w:t xml:space="preserve">EPC Center Staff (including PIs, </w:t>
            </w:r>
            <w:smartTag w:uri="urn:schemas-microsoft-com:office:smarttags" w:element="place">
              <w:smartTag w:uri="urn:schemas-microsoft-com:office:smarttags" w:element="PlaceName">
                <w:r w:rsidRPr="00DD158A">
                  <w:rPr>
                    <w:sz w:val="18"/>
                    <w:szCs w:val="18"/>
                  </w:rPr>
                  <w:t>Scientific</w:t>
                </w:r>
              </w:smartTag>
              <w:r w:rsidRPr="00DD158A">
                <w:rPr>
                  <w:sz w:val="18"/>
                  <w:szCs w:val="18"/>
                </w:rPr>
                <w:t xml:space="preserve"> </w:t>
              </w:r>
              <w:smartTag w:uri="urn:schemas-microsoft-com:office:smarttags" w:element="PlaceName">
                <w:r w:rsidRPr="00DD158A">
                  <w:rPr>
                    <w:sz w:val="18"/>
                    <w:szCs w:val="18"/>
                  </w:rPr>
                  <w:t>Resource</w:t>
                </w:r>
              </w:smartTag>
              <w:r w:rsidRPr="00DD158A">
                <w:rPr>
                  <w:sz w:val="18"/>
                  <w:szCs w:val="18"/>
                </w:rPr>
                <w:t xml:space="preserve"> </w:t>
              </w:r>
              <w:smartTag w:uri="urn:schemas-microsoft-com:office:smarttags" w:element="PlaceType">
                <w:r w:rsidRPr="00DD158A">
                  <w:rPr>
                    <w:sz w:val="18"/>
                    <w:szCs w:val="18"/>
                  </w:rPr>
                  <w:t>Center</w:t>
                </w:r>
              </w:smartTag>
            </w:smartTag>
            <w:r w:rsidRPr="00DD158A">
              <w:rPr>
                <w:sz w:val="18"/>
                <w:szCs w:val="18"/>
              </w:rPr>
              <w:t xml:space="preserve"> managers, Other investigators)</w:t>
            </w:r>
          </w:p>
        </w:tc>
        <w:tc>
          <w:tcPr>
            <w:tcW w:w="1440" w:type="dxa"/>
            <w:tcBorders>
              <w:top w:val="single" w:sz="8" w:space="0" w:color="999999"/>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88</w:t>
            </w:r>
          </w:p>
        </w:tc>
      </w:tr>
      <w:tr w:rsidR="00A03C81" w:rsidRPr="00DD158A" w:rsidTr="00DD158A">
        <w:trPr>
          <w:trHeight w:val="259"/>
        </w:trPr>
        <w:tc>
          <w:tcPr>
            <w:tcW w:w="7560" w:type="dxa"/>
            <w:tcBorders>
              <w:top w:val="single" w:sz="8" w:space="0" w:color="999999"/>
              <w:left w:val="single" w:sz="4" w:space="0" w:color="auto"/>
              <w:bottom w:val="single" w:sz="8" w:space="0" w:color="999999"/>
            </w:tcBorders>
            <w:vAlign w:val="center"/>
          </w:tcPr>
          <w:p w:rsidR="00A03C81" w:rsidRPr="00DD158A" w:rsidRDefault="00A03C81" w:rsidP="00301D24">
            <w:pPr>
              <w:numPr>
                <w:ilvl w:val="0"/>
                <w:numId w:val="6"/>
              </w:numPr>
              <w:tabs>
                <w:tab w:val="clear" w:pos="720"/>
                <w:tab w:val="num" w:pos="360"/>
              </w:tabs>
              <w:ind w:left="360" w:hanging="270"/>
              <w:jc w:val="both"/>
              <w:rPr>
                <w:sz w:val="18"/>
                <w:szCs w:val="18"/>
              </w:rPr>
            </w:pPr>
            <w:r w:rsidRPr="00DD158A">
              <w:rPr>
                <w:sz w:val="18"/>
                <w:szCs w:val="18"/>
              </w:rPr>
              <w:t>DEcIDE Center Staff (PIs, Other Investigators)</w:t>
            </w:r>
          </w:p>
        </w:tc>
        <w:tc>
          <w:tcPr>
            <w:tcW w:w="1440" w:type="dxa"/>
            <w:tcBorders>
              <w:top w:val="single" w:sz="8" w:space="0" w:color="999999"/>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36</w:t>
            </w:r>
          </w:p>
        </w:tc>
      </w:tr>
      <w:tr w:rsidR="00A03C81" w:rsidRPr="00DD158A" w:rsidTr="00DD158A">
        <w:tc>
          <w:tcPr>
            <w:tcW w:w="7560" w:type="dxa"/>
            <w:tcBorders>
              <w:top w:val="single" w:sz="8" w:space="0" w:color="999999"/>
              <w:left w:val="single" w:sz="4" w:space="0" w:color="auto"/>
            </w:tcBorders>
            <w:vAlign w:val="center"/>
          </w:tcPr>
          <w:p w:rsidR="00A03C81" w:rsidRPr="00DD158A" w:rsidRDefault="00A03C81" w:rsidP="00301D24">
            <w:pPr>
              <w:numPr>
                <w:ilvl w:val="0"/>
                <w:numId w:val="6"/>
              </w:numPr>
              <w:tabs>
                <w:tab w:val="clear" w:pos="720"/>
                <w:tab w:val="num" w:pos="360"/>
              </w:tabs>
              <w:ind w:left="360" w:hanging="270"/>
              <w:jc w:val="both"/>
              <w:rPr>
                <w:sz w:val="18"/>
                <w:szCs w:val="18"/>
              </w:rPr>
            </w:pPr>
            <w:smartTag w:uri="urn:schemas-microsoft-com:office:smarttags" w:element="PlaceName">
              <w:r w:rsidRPr="00DD158A">
                <w:rPr>
                  <w:sz w:val="18"/>
                  <w:szCs w:val="18"/>
                </w:rPr>
                <w:t>CERTs</w:t>
              </w:r>
            </w:smartTag>
            <w:r w:rsidRPr="00DD158A">
              <w:rPr>
                <w:sz w:val="18"/>
                <w:szCs w:val="18"/>
              </w:rPr>
              <w:t xml:space="preserve"> </w:t>
            </w:r>
            <w:smartTag w:uri="urn:schemas-microsoft-com:office:smarttags" w:element="PlaceType">
              <w:r w:rsidRPr="00DD158A">
                <w:rPr>
                  <w:sz w:val="18"/>
                  <w:szCs w:val="18"/>
                </w:rPr>
                <w:t>Center</w:t>
              </w:r>
            </w:smartTag>
            <w:r w:rsidRPr="00DD158A">
              <w:rPr>
                <w:sz w:val="18"/>
                <w:szCs w:val="18"/>
              </w:rPr>
              <w:t xml:space="preserve"> Staff (PIs, </w:t>
            </w:r>
            <w:smartTag w:uri="urn:schemas-microsoft-com:office:smarttags" w:element="PlaceName">
              <w:smartTag w:uri="urn:schemas-microsoft-com:office:smarttags" w:element="place">
                <w:smartTag w:uri="urn:schemas-microsoft-com:office:smarttags" w:element="PlaceName">
                  <w:r w:rsidRPr="00DD158A">
                    <w:rPr>
                      <w:sz w:val="18"/>
                      <w:szCs w:val="18"/>
                    </w:rPr>
                    <w:t>Coordinating</w:t>
                  </w:r>
                </w:smartTag>
                <w:r w:rsidRPr="00DD158A">
                  <w:rPr>
                    <w:sz w:val="18"/>
                    <w:szCs w:val="18"/>
                  </w:rPr>
                  <w:t xml:space="preserve"> </w:t>
                </w:r>
                <w:smartTag w:uri="urn:schemas-microsoft-com:office:smarttags" w:element="PostalCode">
                  <w:smartTag w:uri="urn:schemas-microsoft-com:office:smarttags" w:element="PlaceType">
                    <w:r w:rsidRPr="00DD158A">
                      <w:rPr>
                        <w:sz w:val="18"/>
                        <w:szCs w:val="18"/>
                      </w:rPr>
                      <w:t>Center</w:t>
                    </w:r>
                  </w:smartTag>
                </w:smartTag>
              </w:smartTag>
            </w:smartTag>
            <w:r w:rsidRPr="00DD158A">
              <w:rPr>
                <w:sz w:val="18"/>
                <w:szCs w:val="18"/>
              </w:rPr>
              <w:t xml:space="preserve"> managers, Other investigators)</w:t>
            </w:r>
          </w:p>
        </w:tc>
        <w:tc>
          <w:tcPr>
            <w:tcW w:w="1440" w:type="dxa"/>
            <w:tcBorders>
              <w:top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12</w:t>
            </w:r>
          </w:p>
        </w:tc>
      </w:tr>
      <w:tr w:rsidR="00A03C81" w:rsidRPr="00DD158A" w:rsidTr="00DD158A">
        <w:tc>
          <w:tcPr>
            <w:tcW w:w="7560" w:type="dxa"/>
            <w:tcBorders>
              <w:left w:val="single" w:sz="4" w:space="0" w:color="auto"/>
            </w:tcBorders>
            <w:shd w:val="clear" w:color="auto" w:fill="808000"/>
            <w:vAlign w:val="center"/>
          </w:tcPr>
          <w:p w:rsidR="00A03C81" w:rsidRPr="00DD158A" w:rsidRDefault="00A03C81" w:rsidP="00720EF7">
            <w:pPr>
              <w:spacing w:before="60" w:after="60"/>
              <w:jc w:val="right"/>
              <w:rPr>
                <w:b/>
                <w:color w:val="FFFFFF"/>
                <w:sz w:val="18"/>
                <w:szCs w:val="18"/>
              </w:rPr>
            </w:pPr>
            <w:r w:rsidRPr="00DD158A">
              <w:rPr>
                <w:b/>
                <w:color w:val="FFFFFF"/>
                <w:sz w:val="18"/>
                <w:szCs w:val="18"/>
              </w:rPr>
              <w:t>Subtotal</w:t>
            </w:r>
          </w:p>
        </w:tc>
        <w:tc>
          <w:tcPr>
            <w:tcW w:w="1440" w:type="dxa"/>
            <w:tcBorders>
              <w:right w:val="single" w:sz="4" w:space="0" w:color="auto"/>
            </w:tcBorders>
            <w:shd w:val="clear" w:color="auto" w:fill="808000"/>
            <w:vAlign w:val="center"/>
          </w:tcPr>
          <w:p w:rsidR="00A03C81" w:rsidRPr="00DD158A" w:rsidRDefault="00A03C81" w:rsidP="00720EF7">
            <w:pPr>
              <w:pStyle w:val="BodyText"/>
              <w:tabs>
                <w:tab w:val="left" w:pos="720"/>
                <w:tab w:val="left" w:pos="1080"/>
                <w:tab w:val="left" w:pos="1440"/>
                <w:tab w:val="left" w:pos="1800"/>
              </w:tabs>
              <w:spacing w:before="60" w:after="60"/>
              <w:jc w:val="center"/>
              <w:rPr>
                <w:b/>
                <w:color w:val="FFFFFF"/>
                <w:sz w:val="18"/>
                <w:szCs w:val="18"/>
              </w:rPr>
            </w:pPr>
            <w:r>
              <w:rPr>
                <w:b/>
                <w:color w:val="FFFFFF"/>
                <w:sz w:val="18"/>
                <w:szCs w:val="18"/>
              </w:rPr>
              <w:t>144</w:t>
            </w:r>
          </w:p>
        </w:tc>
      </w:tr>
      <w:tr w:rsidR="00A03C81" w:rsidRPr="00DD158A" w:rsidTr="00DD158A">
        <w:trPr>
          <w:trHeight w:val="350"/>
        </w:trPr>
        <w:tc>
          <w:tcPr>
            <w:tcW w:w="7560" w:type="dxa"/>
            <w:tcBorders>
              <w:left w:val="single" w:sz="4" w:space="0" w:color="auto"/>
              <w:right w:val="nil"/>
            </w:tcBorders>
            <w:shd w:val="clear" w:color="auto" w:fill="660000"/>
            <w:vAlign w:val="center"/>
          </w:tcPr>
          <w:p w:rsidR="00A03C81" w:rsidRPr="00DD158A" w:rsidRDefault="00A03C81" w:rsidP="00720EF7">
            <w:pPr>
              <w:pStyle w:val="BodyText"/>
              <w:tabs>
                <w:tab w:val="left" w:pos="720"/>
                <w:tab w:val="left" w:pos="1080"/>
                <w:tab w:val="left" w:pos="1440"/>
                <w:tab w:val="left" w:pos="1800"/>
              </w:tabs>
              <w:spacing w:before="60" w:after="60"/>
              <w:rPr>
                <w:b/>
                <w:color w:val="FFFFFF"/>
                <w:sz w:val="20"/>
              </w:rPr>
            </w:pPr>
            <w:r w:rsidRPr="00DD158A">
              <w:rPr>
                <w:b/>
                <w:color w:val="FFFFFF"/>
                <w:sz w:val="20"/>
              </w:rPr>
              <w:t xml:space="preserve">EHC Program </w:t>
            </w:r>
            <w:r>
              <w:rPr>
                <w:b/>
                <w:color w:val="FFFFFF"/>
                <w:sz w:val="20"/>
              </w:rPr>
              <w:t xml:space="preserve">Users and </w:t>
            </w:r>
            <w:r w:rsidRPr="00DD158A">
              <w:rPr>
                <w:b/>
                <w:color w:val="FFFFFF"/>
                <w:sz w:val="20"/>
              </w:rPr>
              <w:t>Stakeholders</w:t>
            </w:r>
          </w:p>
        </w:tc>
        <w:tc>
          <w:tcPr>
            <w:tcW w:w="1440" w:type="dxa"/>
            <w:tcBorders>
              <w:left w:val="nil"/>
              <w:right w:val="single" w:sz="4" w:space="0" w:color="auto"/>
            </w:tcBorders>
            <w:shd w:val="clear" w:color="auto" w:fill="660000"/>
            <w:vAlign w:val="center"/>
          </w:tcPr>
          <w:p w:rsidR="00A03C81" w:rsidRPr="00DD158A" w:rsidRDefault="00A03C81" w:rsidP="00720EF7">
            <w:pPr>
              <w:pStyle w:val="BodyText"/>
              <w:tabs>
                <w:tab w:val="left" w:pos="720"/>
                <w:tab w:val="left" w:pos="1080"/>
                <w:tab w:val="left" w:pos="1440"/>
                <w:tab w:val="left" w:pos="1800"/>
              </w:tabs>
              <w:spacing w:before="60" w:after="60"/>
              <w:jc w:val="center"/>
              <w:rPr>
                <w:color w:val="FFFFFF"/>
                <w:sz w:val="20"/>
                <w:szCs w:val="20"/>
              </w:rPr>
            </w:pP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The EHC Program Stakeholder Group</w:t>
            </w:r>
          </w:p>
        </w:tc>
        <w:tc>
          <w:tcPr>
            <w:tcW w:w="1440" w:type="dxa"/>
            <w:tcBorders>
              <w:bottom w:val="single" w:sz="8" w:space="0" w:color="999999"/>
              <w:right w:val="single" w:sz="4" w:space="0" w:color="auto"/>
            </w:tcBorders>
            <w:vAlign w:val="center"/>
          </w:tcPr>
          <w:p w:rsidR="00A03C81" w:rsidRPr="00DD158A" w:rsidRDefault="00A03C81" w:rsidP="00BB77A2">
            <w:pPr>
              <w:pStyle w:val="BodyText"/>
              <w:tabs>
                <w:tab w:val="left" w:pos="720"/>
                <w:tab w:val="left" w:pos="1080"/>
                <w:tab w:val="left" w:pos="1440"/>
                <w:tab w:val="left" w:pos="1800"/>
              </w:tabs>
              <w:spacing w:after="0"/>
              <w:jc w:val="center"/>
              <w:rPr>
                <w:sz w:val="18"/>
                <w:szCs w:val="18"/>
              </w:rPr>
            </w:pPr>
            <w:r>
              <w:rPr>
                <w:sz w:val="18"/>
                <w:szCs w:val="18"/>
              </w:rPr>
              <w:t>13</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Employers &amp; Health Related Business Groups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4</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Federal Partners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8</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Healthcare Industry</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31</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Healthcare Providers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32</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Patient/ Consumer/ Advocacy Organization</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51</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Pharmacy &amp; Therapeutic</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7</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Policy Makers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13</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Professional Organizations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58</w:t>
            </w:r>
          </w:p>
        </w:tc>
      </w:tr>
      <w:tr w:rsidR="00A03C81" w:rsidRPr="00DD158A" w:rsidTr="00DD158A">
        <w:tc>
          <w:tcPr>
            <w:tcW w:w="7560" w:type="dxa"/>
            <w:tcBorders>
              <w:left w:val="single" w:sz="4" w:space="0" w:color="auto"/>
              <w:bottom w:val="single" w:sz="8" w:space="0" w:color="999999"/>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Researchers</w:t>
            </w:r>
          </w:p>
        </w:tc>
        <w:tc>
          <w:tcPr>
            <w:tcW w:w="1440" w:type="dxa"/>
            <w:tcBorders>
              <w:bottom w:val="single" w:sz="8" w:space="0" w:color="999999"/>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25</w:t>
            </w:r>
          </w:p>
        </w:tc>
      </w:tr>
      <w:tr w:rsidR="00A03C81" w:rsidRPr="00DD158A" w:rsidTr="00DD158A">
        <w:tc>
          <w:tcPr>
            <w:tcW w:w="7560" w:type="dxa"/>
            <w:tcBorders>
              <w:left w:val="single" w:sz="4" w:space="0" w:color="auto"/>
            </w:tcBorders>
            <w:vAlign w:val="center"/>
          </w:tcPr>
          <w:p w:rsidR="00A03C81" w:rsidRPr="00DD158A" w:rsidRDefault="00A03C81" w:rsidP="00301D24">
            <w:pPr>
              <w:numPr>
                <w:ilvl w:val="0"/>
                <w:numId w:val="7"/>
              </w:numPr>
              <w:tabs>
                <w:tab w:val="clear" w:pos="720"/>
                <w:tab w:val="num" w:pos="360"/>
                <w:tab w:val="num" w:pos="450"/>
              </w:tabs>
              <w:ind w:left="360" w:hanging="270"/>
              <w:jc w:val="both"/>
              <w:rPr>
                <w:sz w:val="18"/>
                <w:szCs w:val="18"/>
              </w:rPr>
            </w:pPr>
            <w:r w:rsidRPr="00DD158A">
              <w:rPr>
                <w:sz w:val="18"/>
                <w:szCs w:val="18"/>
              </w:rPr>
              <w:t>Third Party Healthcare Payers</w:t>
            </w:r>
          </w:p>
        </w:tc>
        <w:tc>
          <w:tcPr>
            <w:tcW w:w="1440" w:type="dxa"/>
            <w:tcBorders>
              <w:right w:val="single" w:sz="4" w:space="0" w:color="auto"/>
            </w:tcBorders>
            <w:vAlign w:val="center"/>
          </w:tcPr>
          <w:p w:rsidR="00A03C81" w:rsidRPr="00DD158A" w:rsidRDefault="00A03C81" w:rsidP="00720EF7">
            <w:pPr>
              <w:pStyle w:val="BodyText"/>
              <w:tabs>
                <w:tab w:val="left" w:pos="720"/>
                <w:tab w:val="left" w:pos="1080"/>
                <w:tab w:val="left" w:pos="1440"/>
                <w:tab w:val="left" w:pos="1800"/>
              </w:tabs>
              <w:spacing w:after="0"/>
              <w:jc w:val="center"/>
              <w:rPr>
                <w:sz w:val="18"/>
                <w:szCs w:val="18"/>
              </w:rPr>
            </w:pPr>
            <w:r>
              <w:rPr>
                <w:sz w:val="18"/>
                <w:szCs w:val="18"/>
              </w:rPr>
              <w:t>13</w:t>
            </w:r>
          </w:p>
        </w:tc>
      </w:tr>
      <w:tr w:rsidR="00A03C81" w:rsidRPr="00DD158A" w:rsidTr="00DD158A">
        <w:tc>
          <w:tcPr>
            <w:tcW w:w="7560" w:type="dxa"/>
            <w:tcBorders>
              <w:left w:val="single" w:sz="4" w:space="0" w:color="auto"/>
            </w:tcBorders>
            <w:shd w:val="clear" w:color="auto" w:fill="808000"/>
            <w:vAlign w:val="center"/>
          </w:tcPr>
          <w:p w:rsidR="00A03C81" w:rsidRPr="00DD158A" w:rsidRDefault="00A03C81" w:rsidP="00720EF7">
            <w:pPr>
              <w:spacing w:before="60" w:after="60"/>
              <w:jc w:val="right"/>
              <w:rPr>
                <w:b/>
                <w:color w:val="FFFFFF"/>
                <w:sz w:val="18"/>
                <w:szCs w:val="18"/>
              </w:rPr>
            </w:pPr>
            <w:r w:rsidRPr="00DD158A">
              <w:rPr>
                <w:b/>
                <w:color w:val="FFFFFF"/>
                <w:sz w:val="18"/>
                <w:szCs w:val="18"/>
              </w:rPr>
              <w:t>Subtotal</w:t>
            </w:r>
          </w:p>
        </w:tc>
        <w:tc>
          <w:tcPr>
            <w:tcW w:w="1440" w:type="dxa"/>
            <w:tcBorders>
              <w:right w:val="single" w:sz="4" w:space="0" w:color="auto"/>
            </w:tcBorders>
            <w:shd w:val="clear" w:color="auto" w:fill="808000"/>
            <w:vAlign w:val="center"/>
          </w:tcPr>
          <w:p w:rsidR="00A03C81" w:rsidRPr="00DD158A" w:rsidRDefault="00A03C81" w:rsidP="00720EF7">
            <w:pPr>
              <w:pStyle w:val="BodyText"/>
              <w:tabs>
                <w:tab w:val="left" w:pos="720"/>
                <w:tab w:val="left" w:pos="1080"/>
                <w:tab w:val="left" w:pos="1440"/>
                <w:tab w:val="left" w:pos="1800"/>
              </w:tabs>
              <w:spacing w:before="60" w:after="60"/>
              <w:jc w:val="center"/>
              <w:rPr>
                <w:b/>
                <w:color w:val="FFFFFF"/>
                <w:sz w:val="18"/>
                <w:szCs w:val="18"/>
              </w:rPr>
            </w:pPr>
            <w:r>
              <w:rPr>
                <w:b/>
                <w:color w:val="FFFFFF"/>
                <w:sz w:val="18"/>
                <w:szCs w:val="18"/>
              </w:rPr>
              <w:t>256</w:t>
            </w:r>
          </w:p>
        </w:tc>
      </w:tr>
      <w:tr w:rsidR="00A03C81" w:rsidRPr="00DD158A" w:rsidTr="00DD158A">
        <w:tc>
          <w:tcPr>
            <w:tcW w:w="7560" w:type="dxa"/>
            <w:tcBorders>
              <w:left w:val="single" w:sz="4" w:space="0" w:color="auto"/>
            </w:tcBorders>
            <w:shd w:val="clear" w:color="auto" w:fill="660000"/>
            <w:vAlign w:val="center"/>
          </w:tcPr>
          <w:p w:rsidR="00A03C81" w:rsidRPr="0064564D" w:rsidRDefault="00A03C81" w:rsidP="00720EF7">
            <w:pPr>
              <w:pStyle w:val="BodyText"/>
              <w:tabs>
                <w:tab w:val="left" w:pos="720"/>
                <w:tab w:val="left" w:pos="1080"/>
                <w:tab w:val="left" w:pos="1440"/>
                <w:tab w:val="left" w:pos="1800"/>
              </w:tabs>
              <w:spacing w:after="0"/>
              <w:jc w:val="center"/>
              <w:rPr>
                <w:b/>
                <w:color w:val="FFFFFF"/>
                <w:sz w:val="20"/>
                <w:szCs w:val="20"/>
              </w:rPr>
            </w:pPr>
            <w:r w:rsidRPr="0064564D">
              <w:rPr>
                <w:b/>
                <w:color w:val="FFFFFF"/>
                <w:sz w:val="20"/>
                <w:szCs w:val="20"/>
              </w:rPr>
              <w:t>TOTAL</w:t>
            </w:r>
            <w:r>
              <w:rPr>
                <w:b/>
                <w:color w:val="FFFFFF"/>
                <w:sz w:val="20"/>
                <w:szCs w:val="20"/>
              </w:rPr>
              <w:t xml:space="preserve"> ESTIMATED UNIVERSE OF THE </w:t>
            </w:r>
            <w:r w:rsidRPr="0064564D">
              <w:rPr>
                <w:b/>
                <w:color w:val="FFFFFF"/>
                <w:sz w:val="20"/>
                <w:szCs w:val="20"/>
              </w:rPr>
              <w:t xml:space="preserve"> SURVEY</w:t>
            </w:r>
            <w:r>
              <w:rPr>
                <w:b/>
                <w:color w:val="FFFFFF"/>
                <w:sz w:val="20"/>
                <w:szCs w:val="20"/>
              </w:rPr>
              <w:t xml:space="preserve"> RESPONDENTS*</w:t>
            </w:r>
          </w:p>
        </w:tc>
        <w:tc>
          <w:tcPr>
            <w:tcW w:w="1440" w:type="dxa"/>
            <w:tcBorders>
              <w:right w:val="single" w:sz="4" w:space="0" w:color="auto"/>
            </w:tcBorders>
            <w:shd w:val="clear" w:color="auto" w:fill="660000"/>
            <w:vAlign w:val="center"/>
          </w:tcPr>
          <w:p w:rsidR="00A03C81" w:rsidRPr="0064564D" w:rsidRDefault="00A03C81" w:rsidP="00720EF7">
            <w:pPr>
              <w:pStyle w:val="BodyText"/>
              <w:tabs>
                <w:tab w:val="left" w:pos="720"/>
                <w:tab w:val="left" w:pos="1080"/>
                <w:tab w:val="left" w:pos="1440"/>
                <w:tab w:val="left" w:pos="1800"/>
              </w:tabs>
              <w:spacing w:after="0"/>
              <w:jc w:val="center"/>
              <w:rPr>
                <w:b/>
                <w:color w:val="FFFFFF"/>
                <w:sz w:val="20"/>
                <w:szCs w:val="20"/>
              </w:rPr>
            </w:pPr>
            <w:r>
              <w:rPr>
                <w:b/>
                <w:color w:val="FFFFFF"/>
                <w:sz w:val="20"/>
                <w:szCs w:val="20"/>
              </w:rPr>
              <w:t>400</w:t>
            </w:r>
          </w:p>
        </w:tc>
      </w:tr>
    </w:tbl>
    <w:p w:rsidR="00A03C81" w:rsidRDefault="00A03C81" w:rsidP="00464196">
      <w:pPr>
        <w:pStyle w:val="Heading2"/>
        <w:tabs>
          <w:tab w:val="clear" w:pos="547"/>
          <w:tab w:val="left" w:pos="0"/>
        </w:tabs>
        <w:rPr>
          <w:rFonts w:cs="Times New Roman"/>
        </w:rPr>
      </w:pPr>
      <w:bookmarkStart w:id="10" w:name="_Toc151782200"/>
      <w:bookmarkStart w:id="11" w:name="_Toc158526236"/>
      <w:bookmarkStart w:id="12" w:name="_Toc220311471"/>
      <w:bookmarkEnd w:id="6"/>
      <w:bookmarkEnd w:id="7"/>
      <w:bookmarkEnd w:id="8"/>
      <w:bookmarkEnd w:id="9"/>
      <w:r>
        <w:t>*</w:t>
      </w:r>
      <w:r w:rsidRPr="00EA5FCE">
        <w:rPr>
          <w:sz w:val="20"/>
          <w:szCs w:val="20"/>
        </w:rPr>
        <w:t xml:space="preserve">Note: The numbers reflected in this table </w:t>
      </w:r>
      <w:r>
        <w:rPr>
          <w:sz w:val="20"/>
          <w:szCs w:val="20"/>
        </w:rPr>
        <w:t>are</w:t>
      </w:r>
      <w:r w:rsidRPr="00EA5FCE">
        <w:rPr>
          <w:sz w:val="20"/>
          <w:szCs w:val="20"/>
        </w:rPr>
        <w:t xml:space="preserve"> based on AHRQ</w:t>
      </w:r>
      <w:r w:rsidRPr="005236C7">
        <w:rPr>
          <w:sz w:val="20"/>
          <w:szCs w:val="20"/>
        </w:rPr>
        <w:t>’</w:t>
      </w:r>
      <w:r w:rsidRPr="00EA5FCE">
        <w:rPr>
          <w:sz w:val="20"/>
          <w:szCs w:val="20"/>
        </w:rPr>
        <w:t xml:space="preserve">s </w:t>
      </w:r>
      <w:r>
        <w:rPr>
          <w:sz w:val="20"/>
          <w:szCs w:val="20"/>
        </w:rPr>
        <w:t xml:space="preserve">most updated </w:t>
      </w:r>
      <w:r w:rsidRPr="00EA5FCE">
        <w:rPr>
          <w:sz w:val="20"/>
          <w:szCs w:val="20"/>
        </w:rPr>
        <w:t>estimates</w:t>
      </w:r>
      <w:r>
        <w:rPr>
          <w:sz w:val="20"/>
          <w:szCs w:val="20"/>
        </w:rPr>
        <w:t xml:space="preserve"> of the contacts database size and content. The numbers for each subgroup may slightly vary at the time of the survey. </w:t>
      </w:r>
    </w:p>
    <w:p w:rsidR="00A03C81" w:rsidRDefault="00A03C81" w:rsidP="00EA5FCE">
      <w:pPr>
        <w:rPr>
          <w:b/>
          <w:bCs/>
          <w:iCs/>
        </w:rPr>
      </w:pPr>
    </w:p>
    <w:p w:rsidR="00A03C81" w:rsidRPr="00CF1B20" w:rsidRDefault="00A03C81" w:rsidP="00DD158A">
      <w:pPr>
        <w:pStyle w:val="Heading2"/>
        <w:tabs>
          <w:tab w:val="clear" w:pos="547"/>
          <w:tab w:val="left" w:pos="540"/>
        </w:tabs>
        <w:ind w:left="540" w:hanging="540"/>
        <w:rPr>
          <w:rFonts w:cs="Times New Roman"/>
        </w:rPr>
      </w:pPr>
      <w:r>
        <w:rPr>
          <w:rFonts w:cs="Times New Roman"/>
        </w:rPr>
        <w:t xml:space="preserve">2. </w:t>
      </w:r>
      <w:r w:rsidRPr="00CF1B20">
        <w:rPr>
          <w:rFonts w:cs="Times New Roman"/>
        </w:rPr>
        <w:t xml:space="preserve"> </w:t>
      </w:r>
      <w:r>
        <w:rPr>
          <w:rFonts w:cs="Times New Roman"/>
        </w:rPr>
        <w:tab/>
      </w:r>
      <w:r w:rsidRPr="00CF1B20">
        <w:rPr>
          <w:rFonts w:cs="Times New Roman"/>
        </w:rPr>
        <w:t>Information Collection Procedures</w:t>
      </w:r>
      <w:bookmarkEnd w:id="10"/>
      <w:bookmarkEnd w:id="11"/>
      <w:bookmarkEnd w:id="12"/>
    </w:p>
    <w:p w:rsidR="00A03C81" w:rsidRDefault="00A03C81" w:rsidP="00C909F8">
      <w:pPr>
        <w:rPr>
          <w:u w:val="single"/>
        </w:rPr>
      </w:pPr>
    </w:p>
    <w:p w:rsidR="00A03C81" w:rsidRPr="00CF1B20" w:rsidRDefault="00A03C81" w:rsidP="00C909F8">
      <w:pPr>
        <w:jc w:val="both"/>
      </w:pPr>
      <w:r w:rsidRPr="00C909F8">
        <w:rPr>
          <w:b/>
          <w:i/>
        </w:rPr>
        <w:t>Information Collection Procedures for the Online Survey</w:t>
      </w:r>
      <w:r>
        <w:rPr>
          <w:b/>
          <w:i/>
        </w:rPr>
        <w:t xml:space="preserve">.  </w:t>
      </w:r>
      <w:r w:rsidRPr="00CF1B20">
        <w:t>The online survey will be created and conducted using Survey Monkey, an intelligent survey software designed to create professional online surveys quickly and easily</w:t>
      </w:r>
      <w:r>
        <w:t xml:space="preserve">, </w:t>
      </w:r>
      <w:r w:rsidRPr="00CF1B20">
        <w:t>and at low cost.  The software provides encryption capabilities for ensuring confidential responses and for the exporting of responses for future analyses.  The software also allows for the identification of responders and non-responders without compromising the confidentiality of responses.</w:t>
      </w:r>
    </w:p>
    <w:p w:rsidR="00A03C81" w:rsidRDefault="00A03C81" w:rsidP="00C909F8">
      <w:pPr>
        <w:jc w:val="both"/>
        <w:rPr>
          <w:rFonts w:eastAsia="SimSun"/>
          <w:lang w:eastAsia="zh-CN"/>
        </w:rPr>
      </w:pPr>
    </w:p>
    <w:p w:rsidR="00A03C81" w:rsidRDefault="00A03C81" w:rsidP="00C909F8">
      <w:pPr>
        <w:jc w:val="both"/>
        <w:rPr>
          <w:rFonts w:eastAsia="SimSun"/>
          <w:lang w:eastAsia="zh-CN"/>
        </w:rPr>
      </w:pPr>
      <w:r>
        <w:rPr>
          <w:rFonts w:eastAsia="SimSun"/>
          <w:lang w:eastAsia="zh-CN"/>
        </w:rPr>
        <w:t>The survey will include a variety of types of questions.</w:t>
      </w:r>
    </w:p>
    <w:p w:rsidR="00A03C81" w:rsidRDefault="00A03C81" w:rsidP="00C909F8">
      <w:pPr>
        <w:numPr>
          <w:ilvl w:val="0"/>
          <w:numId w:val="14"/>
        </w:numPr>
        <w:spacing w:before="120"/>
        <w:jc w:val="both"/>
        <w:rPr>
          <w:rFonts w:eastAsia="SimSun"/>
          <w:lang w:eastAsia="zh-CN"/>
        </w:rPr>
      </w:pPr>
      <w:r>
        <w:rPr>
          <w:rFonts w:eastAsia="SimSun"/>
          <w:lang w:eastAsia="zh-CN"/>
        </w:rPr>
        <w:t xml:space="preserve">Multiple choice questions </w:t>
      </w:r>
    </w:p>
    <w:p w:rsidR="00A03C81" w:rsidRDefault="00A03C81" w:rsidP="00C909F8">
      <w:pPr>
        <w:numPr>
          <w:ilvl w:val="0"/>
          <w:numId w:val="14"/>
        </w:numPr>
        <w:spacing w:before="120"/>
        <w:jc w:val="both"/>
        <w:rPr>
          <w:rFonts w:eastAsia="SimSun"/>
          <w:lang w:eastAsia="zh-CN"/>
        </w:rPr>
      </w:pPr>
      <w:r>
        <w:rPr>
          <w:rFonts w:eastAsia="SimSun"/>
          <w:lang w:eastAsia="zh-CN"/>
        </w:rPr>
        <w:t>True/false questions</w:t>
      </w:r>
    </w:p>
    <w:p w:rsidR="00A03C81" w:rsidRDefault="00A03C81" w:rsidP="00C909F8">
      <w:pPr>
        <w:numPr>
          <w:ilvl w:val="0"/>
          <w:numId w:val="14"/>
        </w:numPr>
        <w:spacing w:before="120"/>
        <w:jc w:val="both"/>
        <w:rPr>
          <w:rFonts w:eastAsia="SimSun"/>
          <w:lang w:eastAsia="zh-CN"/>
        </w:rPr>
      </w:pPr>
      <w:r>
        <w:rPr>
          <w:rFonts w:eastAsia="SimSun"/>
          <w:lang w:eastAsia="zh-CN"/>
        </w:rPr>
        <w:t>Rating scale-type questions</w:t>
      </w:r>
    </w:p>
    <w:p w:rsidR="00A03C81" w:rsidRDefault="00A03C81" w:rsidP="00C909F8">
      <w:pPr>
        <w:numPr>
          <w:ilvl w:val="0"/>
          <w:numId w:val="14"/>
        </w:numPr>
        <w:spacing w:before="120"/>
        <w:jc w:val="both"/>
        <w:rPr>
          <w:rFonts w:eastAsia="SimSun"/>
          <w:lang w:eastAsia="zh-CN"/>
        </w:rPr>
      </w:pPr>
      <w:r>
        <w:rPr>
          <w:rFonts w:eastAsia="SimSun"/>
          <w:lang w:eastAsia="zh-CN"/>
        </w:rPr>
        <w:t>Open-ended response questions</w:t>
      </w:r>
    </w:p>
    <w:p w:rsidR="00A03C81" w:rsidRDefault="00A03C81" w:rsidP="00C909F8">
      <w:pPr>
        <w:ind w:left="360"/>
        <w:jc w:val="both"/>
        <w:rPr>
          <w:rFonts w:eastAsia="SimSun"/>
          <w:lang w:eastAsia="zh-CN"/>
        </w:rPr>
      </w:pPr>
    </w:p>
    <w:p w:rsidR="00A03C81" w:rsidRDefault="00A03C81" w:rsidP="00C909F8">
      <w:pPr>
        <w:pStyle w:val="CommentText"/>
        <w:jc w:val="both"/>
        <w:rPr>
          <w:sz w:val="24"/>
          <w:szCs w:val="24"/>
        </w:rPr>
      </w:pPr>
      <w:r w:rsidRPr="008A5B37">
        <w:rPr>
          <w:sz w:val="24"/>
          <w:szCs w:val="24"/>
        </w:rPr>
        <w:t>Data will be analyzed using</w:t>
      </w:r>
      <w:r>
        <w:rPr>
          <w:sz w:val="24"/>
          <w:szCs w:val="24"/>
        </w:rPr>
        <w:t xml:space="preserve"> a combination of Microsoft Excel,</w:t>
      </w:r>
      <w:r w:rsidRPr="008A5B37">
        <w:rPr>
          <w:sz w:val="24"/>
          <w:szCs w:val="24"/>
        </w:rPr>
        <w:t xml:space="preserve"> </w:t>
      </w:r>
      <w:r>
        <w:rPr>
          <w:sz w:val="24"/>
          <w:szCs w:val="24"/>
        </w:rPr>
        <w:t xml:space="preserve">Microsoft Access, </w:t>
      </w:r>
      <w:r w:rsidRPr="008A5B37">
        <w:rPr>
          <w:sz w:val="24"/>
          <w:szCs w:val="24"/>
        </w:rPr>
        <w:t>SAS (</w:t>
      </w:r>
      <w:smartTag w:uri="urn:schemas-microsoft-com:office:smarttags" w:element="country-region">
        <w:smartTag w:uri="urn:schemas-microsoft-com:office:smarttags" w:element="country-region">
          <w:r w:rsidRPr="008A5B37">
            <w:rPr>
              <w:sz w:val="24"/>
              <w:szCs w:val="24"/>
            </w:rPr>
            <w:t>Cary</w:t>
          </w:r>
        </w:smartTag>
        <w:r w:rsidRPr="008A5B37">
          <w:rPr>
            <w:sz w:val="24"/>
            <w:szCs w:val="24"/>
          </w:rPr>
          <w:t xml:space="preserve">, </w:t>
        </w:r>
        <w:smartTag w:uri="urn:schemas-microsoft-com:office:smarttags" w:element="country-region">
          <w:r w:rsidRPr="008A5B37">
            <w:rPr>
              <w:sz w:val="24"/>
              <w:szCs w:val="24"/>
            </w:rPr>
            <w:t>NC</w:t>
          </w:r>
        </w:smartTag>
        <w:r w:rsidRPr="008A5B37">
          <w:rPr>
            <w:sz w:val="24"/>
            <w:szCs w:val="24"/>
          </w:rPr>
          <w:t xml:space="preserve">, </w:t>
        </w:r>
        <w:smartTag w:uri="urn:schemas-microsoft-com:office:smarttags" w:element="country-region">
          <w:r w:rsidRPr="008A5B37">
            <w:rPr>
              <w:sz w:val="24"/>
              <w:szCs w:val="24"/>
            </w:rPr>
            <w:t>USA</w:t>
          </w:r>
        </w:smartTag>
      </w:smartTag>
      <w:r w:rsidRPr="008A5B37">
        <w:rPr>
          <w:sz w:val="24"/>
          <w:szCs w:val="24"/>
        </w:rPr>
        <w:t>)</w:t>
      </w:r>
      <w:r>
        <w:rPr>
          <w:sz w:val="24"/>
          <w:szCs w:val="24"/>
        </w:rPr>
        <w:t xml:space="preserve"> and/or STATA software programs</w:t>
      </w:r>
      <w:r w:rsidRPr="008A5B37">
        <w:rPr>
          <w:sz w:val="24"/>
          <w:szCs w:val="24"/>
        </w:rPr>
        <w:t xml:space="preserve">. Quality control procedures such as consistency and out-of-range value checks will be performed prior to analysis. If more than half of the required item responses are missing on a questionnaire, the participant who submitted it will be excluded from the analysis.  However, if the respondent provides more than </w:t>
      </w:r>
      <w:r>
        <w:rPr>
          <w:sz w:val="24"/>
          <w:szCs w:val="24"/>
        </w:rPr>
        <w:t xml:space="preserve">three quarters </w:t>
      </w:r>
      <w:r w:rsidRPr="008A5B37">
        <w:rPr>
          <w:sz w:val="24"/>
          <w:szCs w:val="24"/>
        </w:rPr>
        <w:t xml:space="preserve">of the required responses, then the missing responses will be </w:t>
      </w:r>
      <w:r>
        <w:rPr>
          <w:sz w:val="24"/>
          <w:szCs w:val="24"/>
        </w:rPr>
        <w:t xml:space="preserve">imputed using </w:t>
      </w:r>
      <w:r w:rsidRPr="008A5B37">
        <w:rPr>
          <w:sz w:val="24"/>
          <w:szCs w:val="24"/>
        </w:rPr>
        <w:t>imput</w:t>
      </w:r>
      <w:r>
        <w:rPr>
          <w:sz w:val="24"/>
          <w:szCs w:val="24"/>
        </w:rPr>
        <w:t xml:space="preserve">ation techniques (such as mean response imputation or </w:t>
      </w:r>
      <w:r w:rsidRPr="008A5B37">
        <w:rPr>
          <w:sz w:val="24"/>
          <w:szCs w:val="24"/>
        </w:rPr>
        <w:t>hot-deck imputation method</w:t>
      </w:r>
      <w:r>
        <w:rPr>
          <w:sz w:val="24"/>
          <w:szCs w:val="24"/>
        </w:rPr>
        <w:t>)</w:t>
      </w:r>
      <w:r w:rsidRPr="008A5B37">
        <w:rPr>
          <w:sz w:val="24"/>
          <w:szCs w:val="24"/>
        </w:rPr>
        <w:t xml:space="preserve">.  </w:t>
      </w:r>
      <w:r>
        <w:rPr>
          <w:sz w:val="24"/>
          <w:szCs w:val="24"/>
        </w:rPr>
        <w:t xml:space="preserve">If the respondent provides less than three quarters, but more than half, of the required responses, missing items will not be imputed, but the responses may included as deemed appropriate.  </w:t>
      </w:r>
      <w:r w:rsidRPr="008A5B37">
        <w:rPr>
          <w:sz w:val="24"/>
          <w:szCs w:val="24"/>
        </w:rPr>
        <w:t xml:space="preserve">The pool of potential donors </w:t>
      </w:r>
      <w:r>
        <w:rPr>
          <w:sz w:val="24"/>
          <w:szCs w:val="24"/>
        </w:rPr>
        <w:t xml:space="preserve">in the imputation </w:t>
      </w:r>
      <w:r w:rsidRPr="008A5B37">
        <w:rPr>
          <w:sz w:val="24"/>
          <w:szCs w:val="24"/>
        </w:rPr>
        <w:t xml:space="preserve">will include respondents deemed to be similar to the respondent who provided incomplete responses. </w:t>
      </w:r>
      <w:r>
        <w:rPr>
          <w:sz w:val="24"/>
          <w:szCs w:val="24"/>
        </w:rPr>
        <w:t xml:space="preserve">We will determine the exact imputation techniques upon the analysis of reasons for receiving the missing responses. </w:t>
      </w:r>
    </w:p>
    <w:p w:rsidR="00A03C81" w:rsidRDefault="00A03C81" w:rsidP="00C909F8">
      <w:pPr>
        <w:pStyle w:val="CommentText"/>
        <w:jc w:val="both"/>
        <w:rPr>
          <w:sz w:val="24"/>
          <w:szCs w:val="24"/>
        </w:rPr>
      </w:pPr>
    </w:p>
    <w:p w:rsidR="00A03C81" w:rsidRPr="00413A9E" w:rsidRDefault="00A03C81" w:rsidP="00C909F8">
      <w:pPr>
        <w:pStyle w:val="TOC3"/>
        <w:spacing w:line="240" w:lineRule="auto"/>
      </w:pPr>
      <w:r w:rsidRPr="00C909F8">
        <w:rPr>
          <w:b/>
          <w:i/>
        </w:rPr>
        <w:t>Protecting Confidentiality</w:t>
      </w:r>
      <w:r>
        <w:t xml:space="preserve">.  </w:t>
      </w:r>
      <w:r w:rsidRPr="00413A9E">
        <w:t>In the survey invitation and introduction, respondents will be fully informed and assured that their answers will be kept strictly confidential</w:t>
      </w:r>
      <w:r>
        <w:t xml:space="preserve"> to the extent permitted by law</w:t>
      </w:r>
      <w:r w:rsidRPr="00413A9E">
        <w:t xml:space="preserve">.  They will also be informed that participation is entirely voluntary.  The survey will </w:t>
      </w:r>
      <w:r>
        <w:t>omit</w:t>
      </w:r>
      <w:r w:rsidRPr="00413A9E">
        <w:t xml:space="preserve"> names, addresses, telephone numbers and other </w:t>
      </w:r>
      <w:r>
        <w:t>key informant</w:t>
      </w:r>
      <w:r w:rsidRPr="00413A9E">
        <w:t xml:space="preserve"> identifiers in the final data file.  The steps that we will employ to protect respondents’ confidentiality will include:</w:t>
      </w:r>
    </w:p>
    <w:p w:rsidR="00A03C81" w:rsidRPr="00C04B02" w:rsidRDefault="00A03C81" w:rsidP="00C909F8">
      <w:pPr>
        <w:numPr>
          <w:ilvl w:val="0"/>
          <w:numId w:val="15"/>
        </w:numPr>
        <w:tabs>
          <w:tab w:val="clear" w:pos="1440"/>
          <w:tab w:val="num" w:pos="720"/>
        </w:tabs>
        <w:autoSpaceDE w:val="0"/>
        <w:autoSpaceDN w:val="0"/>
        <w:adjustRightInd w:val="0"/>
        <w:spacing w:before="120"/>
        <w:ind w:left="720" w:hanging="360"/>
        <w:rPr>
          <w:color w:val="000000"/>
        </w:rPr>
      </w:pPr>
      <w:r>
        <w:rPr>
          <w:color w:val="000000"/>
        </w:rPr>
        <w:t>M</w:t>
      </w:r>
      <w:r w:rsidRPr="00C04B02">
        <w:rPr>
          <w:color w:val="000000"/>
        </w:rPr>
        <w:t>inimiz</w:t>
      </w:r>
      <w:r>
        <w:rPr>
          <w:color w:val="000000"/>
        </w:rPr>
        <w:t>e</w:t>
      </w:r>
      <w:r w:rsidRPr="00C04B02">
        <w:rPr>
          <w:color w:val="000000"/>
        </w:rPr>
        <w:t xml:space="preserve"> the use of names or other identifiers</w:t>
      </w:r>
    </w:p>
    <w:p w:rsidR="00A03C81" w:rsidRPr="00C04B02" w:rsidRDefault="00A03C81" w:rsidP="00C909F8">
      <w:pPr>
        <w:numPr>
          <w:ilvl w:val="0"/>
          <w:numId w:val="15"/>
        </w:numPr>
        <w:tabs>
          <w:tab w:val="clear" w:pos="1440"/>
          <w:tab w:val="num" w:pos="720"/>
        </w:tabs>
        <w:autoSpaceDE w:val="0"/>
        <w:autoSpaceDN w:val="0"/>
        <w:adjustRightInd w:val="0"/>
        <w:spacing w:before="120"/>
        <w:ind w:left="720" w:hanging="360"/>
        <w:rPr>
          <w:color w:val="000000"/>
        </w:rPr>
      </w:pPr>
      <w:r>
        <w:rPr>
          <w:color w:val="000000"/>
        </w:rPr>
        <w:t>D</w:t>
      </w:r>
      <w:r w:rsidRPr="00C04B02">
        <w:rPr>
          <w:color w:val="000000"/>
        </w:rPr>
        <w:t>issociat</w:t>
      </w:r>
      <w:r>
        <w:rPr>
          <w:color w:val="000000"/>
        </w:rPr>
        <w:t>e</w:t>
      </w:r>
      <w:r w:rsidRPr="00C04B02">
        <w:rPr>
          <w:color w:val="000000"/>
        </w:rPr>
        <w:t xml:space="preserve"> identifiers from survey responses</w:t>
      </w:r>
    </w:p>
    <w:p w:rsidR="00A03C81" w:rsidRDefault="00A03C81" w:rsidP="00C909F8">
      <w:pPr>
        <w:numPr>
          <w:ilvl w:val="0"/>
          <w:numId w:val="15"/>
        </w:numPr>
        <w:tabs>
          <w:tab w:val="clear" w:pos="1440"/>
          <w:tab w:val="num" w:pos="720"/>
        </w:tabs>
        <w:autoSpaceDE w:val="0"/>
        <w:autoSpaceDN w:val="0"/>
        <w:adjustRightInd w:val="0"/>
        <w:spacing w:before="120"/>
        <w:ind w:left="720" w:hanging="360"/>
        <w:rPr>
          <w:color w:val="000000"/>
        </w:rPr>
      </w:pPr>
      <w:r>
        <w:rPr>
          <w:color w:val="000000"/>
        </w:rPr>
        <w:t>Present the findings in a way that knowledgeable observers cannot identify a respondent based on background/demographic strata or tabular presentation of results</w:t>
      </w:r>
    </w:p>
    <w:p w:rsidR="00A03C81" w:rsidRDefault="00A03C81" w:rsidP="00C909F8">
      <w:pPr>
        <w:numPr>
          <w:ilvl w:val="0"/>
          <w:numId w:val="15"/>
        </w:numPr>
        <w:tabs>
          <w:tab w:val="clear" w:pos="1440"/>
          <w:tab w:val="num" w:pos="720"/>
        </w:tabs>
        <w:autoSpaceDE w:val="0"/>
        <w:autoSpaceDN w:val="0"/>
        <w:adjustRightInd w:val="0"/>
        <w:spacing w:before="120"/>
        <w:ind w:left="720" w:hanging="360"/>
        <w:rPr>
          <w:color w:val="000000"/>
        </w:rPr>
      </w:pPr>
      <w:r>
        <w:rPr>
          <w:color w:val="000000"/>
        </w:rPr>
        <w:t>K</w:t>
      </w:r>
      <w:r w:rsidRPr="00C04B02">
        <w:rPr>
          <w:color w:val="000000"/>
        </w:rPr>
        <w:t xml:space="preserve">eep </w:t>
      </w:r>
      <w:r>
        <w:rPr>
          <w:color w:val="000000"/>
        </w:rPr>
        <w:t xml:space="preserve">the </w:t>
      </w:r>
      <w:r w:rsidRPr="00C04B02">
        <w:rPr>
          <w:color w:val="000000"/>
        </w:rPr>
        <w:t>survey data secure</w:t>
      </w:r>
      <w:r>
        <w:rPr>
          <w:color w:val="000000"/>
        </w:rPr>
        <w:t xml:space="preserve">. </w:t>
      </w:r>
    </w:p>
    <w:p w:rsidR="00A03C81" w:rsidRDefault="00A03C81" w:rsidP="00C909F8">
      <w:pPr>
        <w:autoSpaceDE w:val="0"/>
        <w:autoSpaceDN w:val="0"/>
        <w:adjustRightInd w:val="0"/>
        <w:jc w:val="both"/>
        <w:rPr>
          <w:color w:val="000000"/>
        </w:rPr>
      </w:pPr>
    </w:p>
    <w:p w:rsidR="00A03C81" w:rsidRDefault="00A03C81" w:rsidP="00C909F8">
      <w:pPr>
        <w:autoSpaceDE w:val="0"/>
        <w:autoSpaceDN w:val="0"/>
        <w:adjustRightInd w:val="0"/>
        <w:jc w:val="both"/>
        <w:rPr>
          <w:color w:val="000000"/>
        </w:rPr>
      </w:pPr>
      <w:r w:rsidRPr="00C04B02">
        <w:rPr>
          <w:color w:val="000000"/>
        </w:rPr>
        <w:t>To minimize the use of names or other identifiers, we will compile a list of emails</w:t>
      </w:r>
      <w:r>
        <w:rPr>
          <w:color w:val="000000"/>
        </w:rPr>
        <w:t>,</w:t>
      </w:r>
      <w:r w:rsidRPr="00C04B02">
        <w:rPr>
          <w:color w:val="000000"/>
        </w:rPr>
        <w:t xml:space="preserve"> randomly selected from the list</w:t>
      </w:r>
      <w:r>
        <w:rPr>
          <w:color w:val="000000"/>
        </w:rPr>
        <w:t>,</w:t>
      </w:r>
      <w:r w:rsidRPr="00C04B02">
        <w:rPr>
          <w:color w:val="000000"/>
        </w:rPr>
        <w:t xml:space="preserve"> and separately email each potential respondent the UR</w:t>
      </w:r>
      <w:r>
        <w:rPr>
          <w:color w:val="000000"/>
        </w:rPr>
        <w:t>L for the on-line survey</w:t>
      </w:r>
      <w:r w:rsidRPr="00C04B02">
        <w:rPr>
          <w:color w:val="000000"/>
        </w:rPr>
        <w:t xml:space="preserve">.  </w:t>
      </w:r>
      <w:r>
        <w:rPr>
          <w:color w:val="000000"/>
        </w:rPr>
        <w:t xml:space="preserve">When the survey is complete, we will remove all email addresses from our files, so that there is no link between respondents and their email addresses.  </w:t>
      </w:r>
    </w:p>
    <w:p w:rsidR="00A03C81" w:rsidRDefault="00A03C81" w:rsidP="00C909F8">
      <w:pPr>
        <w:autoSpaceDE w:val="0"/>
        <w:autoSpaceDN w:val="0"/>
        <w:adjustRightInd w:val="0"/>
        <w:jc w:val="both"/>
        <w:rPr>
          <w:color w:val="000000"/>
        </w:rPr>
      </w:pPr>
    </w:p>
    <w:p w:rsidR="00A03C81" w:rsidRDefault="00A03C81" w:rsidP="00C909F8">
      <w:pPr>
        <w:autoSpaceDE w:val="0"/>
        <w:autoSpaceDN w:val="0"/>
        <w:adjustRightInd w:val="0"/>
        <w:jc w:val="both"/>
        <w:rPr>
          <w:color w:val="000000"/>
        </w:rPr>
      </w:pPr>
      <w:r>
        <w:rPr>
          <w:color w:val="000000"/>
        </w:rPr>
        <w:t xml:space="preserve">When presenting the analysis results, if any of the categorical “cells” in presentation tables have such a small number of respondents that a knowledgeable person could infer the identity of a respondent, we will collapse categories (rows and/or columns) in the tables so that each cell in the table holds a larger number of respondents.  We will also present survey results for the group as a whole. For example, we will present the results for the center/network as a whole (e.g. the DEcIDE network), but not at the level of the 13 individual DEcIDE centers.  If, however, a question is asked that only individuals from one of the 13 centers could possibly answer, the categories will be collapsed to show </w:t>
      </w:r>
      <w:r>
        <w:rPr>
          <w:i/>
          <w:color w:val="000000"/>
        </w:rPr>
        <w:t>all respondents</w:t>
      </w:r>
      <w:r>
        <w:rPr>
          <w:color w:val="000000"/>
        </w:rPr>
        <w:t xml:space="preserve"> together for all programs/centers. Similarly, results for stakeholders will be presented as coming from Federal government, healthcare providers or other sectors, but will not indicate which part of the Federal government (e.g. FDA, NIH) or sector respondents come from.</w:t>
      </w:r>
    </w:p>
    <w:p w:rsidR="00A03C81" w:rsidRDefault="00A03C81" w:rsidP="008A5B37">
      <w:pPr>
        <w:autoSpaceDE w:val="0"/>
        <w:autoSpaceDN w:val="0"/>
        <w:adjustRightInd w:val="0"/>
        <w:spacing w:line="276" w:lineRule="auto"/>
        <w:jc w:val="both"/>
        <w:rPr>
          <w:color w:val="000000"/>
        </w:rPr>
      </w:pPr>
    </w:p>
    <w:p w:rsidR="00A03C81" w:rsidRDefault="00A03C81" w:rsidP="00C909F8">
      <w:pPr>
        <w:autoSpaceDE w:val="0"/>
        <w:autoSpaceDN w:val="0"/>
        <w:adjustRightInd w:val="0"/>
        <w:jc w:val="both"/>
        <w:rPr>
          <w:color w:val="000000"/>
        </w:rPr>
      </w:pPr>
      <w:r w:rsidRPr="00C04B02">
        <w:rPr>
          <w:color w:val="000000"/>
        </w:rPr>
        <w:t xml:space="preserve">Lastly, the assurance that the survey data are secure is a final step in protecting confidentiality.  IMPAQ </w:t>
      </w:r>
      <w:r>
        <w:rPr>
          <w:color w:val="000000"/>
        </w:rPr>
        <w:t xml:space="preserve">International (IMPAQ) </w:t>
      </w:r>
      <w:r w:rsidRPr="00C04B02">
        <w:rPr>
          <w:color w:val="000000"/>
        </w:rPr>
        <w:t>has implemented stringent systems, protocols</w:t>
      </w:r>
      <w:r>
        <w:rPr>
          <w:color w:val="000000"/>
        </w:rPr>
        <w:t>,</w:t>
      </w:r>
      <w:r w:rsidRPr="00C04B02">
        <w:rPr>
          <w:color w:val="000000"/>
        </w:rPr>
        <w:t xml:space="preserve"> and procedures to ensure security of our offices, computers</w:t>
      </w:r>
      <w:r>
        <w:rPr>
          <w:color w:val="000000"/>
        </w:rPr>
        <w:t xml:space="preserve">, </w:t>
      </w:r>
      <w:r w:rsidRPr="00C04B02">
        <w:rPr>
          <w:color w:val="000000"/>
        </w:rPr>
        <w:t xml:space="preserve">and data. </w:t>
      </w:r>
      <w:r>
        <w:rPr>
          <w:color w:val="000000"/>
        </w:rPr>
        <w:t xml:space="preserve">Our </w:t>
      </w:r>
      <w:r w:rsidRPr="00C04B02">
        <w:rPr>
          <w:color w:val="000000"/>
        </w:rPr>
        <w:t xml:space="preserve">resources include state-of-the-art server hardware, uninterruptible power supplies, fiber optics switches, extensive physical security measures, and wide-ranging redundancy.  To prevent access to the data by unauthorized users, IMPAQ utilizes data encryption, strict access control policies for sensitive data files, closing unnecessary ports into servers, and training staff in security issues.  We also work closely with an independent security firm that performs regular scans of our network, audits our procedures, and continually updates our in-house security team with current security best practices.  These policies and procedures are monitored by IMPAQ staff </w:t>
      </w:r>
      <w:r>
        <w:rPr>
          <w:color w:val="000000"/>
        </w:rPr>
        <w:t>members that</w:t>
      </w:r>
      <w:r w:rsidRPr="00C04B02">
        <w:rPr>
          <w:color w:val="000000"/>
        </w:rPr>
        <w:t xml:space="preserve"> ha</w:t>
      </w:r>
      <w:r>
        <w:rPr>
          <w:color w:val="000000"/>
        </w:rPr>
        <w:t>ve</w:t>
      </w:r>
      <w:r w:rsidRPr="00C04B02">
        <w:rPr>
          <w:color w:val="000000"/>
        </w:rPr>
        <w:t xml:space="preserve"> completed network security certifications.  </w:t>
      </w:r>
      <w:r>
        <w:rPr>
          <w:color w:val="000000"/>
        </w:rPr>
        <w:t xml:space="preserve">The IMPAQ </w:t>
      </w:r>
      <w:r w:rsidRPr="00C04B02">
        <w:rPr>
          <w:color w:val="000000"/>
        </w:rPr>
        <w:t xml:space="preserve">team’s databases and computers are password protected, with only the data administrators having </w:t>
      </w:r>
      <w:r>
        <w:rPr>
          <w:color w:val="000000"/>
        </w:rPr>
        <w:t>“</w:t>
      </w:r>
      <w:r w:rsidRPr="00C04B02">
        <w:rPr>
          <w:color w:val="000000"/>
        </w:rPr>
        <w:t>write</w:t>
      </w:r>
      <w:r>
        <w:rPr>
          <w:color w:val="000000"/>
        </w:rPr>
        <w:t>”</w:t>
      </w:r>
      <w:r w:rsidRPr="00C04B02">
        <w:rPr>
          <w:color w:val="000000"/>
        </w:rPr>
        <w:t xml:space="preserve"> authority over files.  Electronic data transferred via diskette or CD-ROM to clients is encrypted and password-protected before shipping via a bonded courier.</w:t>
      </w:r>
      <w:r w:rsidRPr="00C04B02">
        <w:rPr>
          <w:color w:val="000000"/>
          <w:highlight w:val="cyan"/>
        </w:rPr>
        <w:t xml:space="preserve"> </w:t>
      </w:r>
    </w:p>
    <w:p w:rsidR="00A03C81" w:rsidRPr="009F6BE4" w:rsidRDefault="00A03C81" w:rsidP="00C909F8">
      <w:pPr>
        <w:autoSpaceDE w:val="0"/>
        <w:autoSpaceDN w:val="0"/>
        <w:adjustRightInd w:val="0"/>
        <w:jc w:val="both"/>
        <w:rPr>
          <w:color w:val="000000"/>
        </w:rPr>
      </w:pPr>
    </w:p>
    <w:p w:rsidR="00A03C81" w:rsidRPr="00413A9E" w:rsidRDefault="00A03C81" w:rsidP="00C909F8">
      <w:pPr>
        <w:pStyle w:val="TOC3"/>
        <w:spacing w:line="240" w:lineRule="auto"/>
      </w:pPr>
      <w:r w:rsidRPr="00C909F8">
        <w:rPr>
          <w:b/>
          <w:i/>
        </w:rPr>
        <w:t>Minimizing or Mitigating Bias</w:t>
      </w:r>
      <w:r>
        <w:t xml:space="preserve">.  </w:t>
      </w:r>
      <w:r w:rsidRPr="00413A9E">
        <w:t xml:space="preserve">Internal AHRQ staff may be more inclined to report favorably on the program because of their roles.  Additionally, because there are few internal AHRQ staff who would be included in the online survey sample, it will be difficult to sufficiently mask their identity and responses in the reported results.  Therefore, we have decided to remove these individuals from the list of potential online survey respondents and instead only conduct key informant interviews with </w:t>
      </w:r>
      <w:r>
        <w:t>this group of AHRQ staff</w:t>
      </w:r>
      <w:r w:rsidRPr="00413A9E">
        <w:t xml:space="preserve">.  We also anticipate minimizing bias in the survey by ensuring respondents that their confidentiality will be protected </w:t>
      </w:r>
      <w:r>
        <w:t xml:space="preserve">to the extent permitted by law </w:t>
      </w:r>
      <w:r w:rsidRPr="00413A9E">
        <w:t xml:space="preserve">(as described above).  </w:t>
      </w:r>
    </w:p>
    <w:p w:rsidR="00A03C81" w:rsidRDefault="00A03C81" w:rsidP="00C909F8">
      <w:pPr>
        <w:autoSpaceDE w:val="0"/>
        <w:autoSpaceDN w:val="0"/>
        <w:adjustRightInd w:val="0"/>
        <w:spacing w:before="200"/>
        <w:jc w:val="both"/>
        <w:rPr>
          <w:color w:val="000000"/>
        </w:rPr>
      </w:pPr>
      <w:r>
        <w:rPr>
          <w:color w:val="000000"/>
        </w:rPr>
        <w:t xml:space="preserve">As another step to prevent response bias, we have conducted a small-scale pre-test of the online survey instrument with a small number of people (no more than nine) who are familiar with the EHC program to detect and correct any potential problems with the content, terminology, phrasing, and structure of the survey instrument, the appropriate use of skip patterns, and other survey implementation issues that may bias the responses or response rates of particular respondent groups.  For example, we will consider </w:t>
      </w:r>
      <w:r w:rsidRPr="00663220">
        <w:rPr>
          <w:color w:val="000000"/>
        </w:rPr>
        <w:t>open</w:t>
      </w:r>
      <w:r>
        <w:rPr>
          <w:color w:val="000000"/>
        </w:rPr>
        <w:t>-</w:t>
      </w:r>
      <w:r w:rsidRPr="00663220">
        <w:rPr>
          <w:color w:val="000000"/>
        </w:rPr>
        <w:t>ended items to ask about both what is working well and what can be improved. That way,</w:t>
      </w:r>
      <w:r>
        <w:rPr>
          <w:color w:val="000000"/>
        </w:rPr>
        <w:t xml:space="preserve"> respondents are much less likely to</w:t>
      </w:r>
      <w:r w:rsidRPr="00663220">
        <w:rPr>
          <w:color w:val="000000"/>
        </w:rPr>
        <w:t xml:space="preserve"> feel like they are just providing the negative, but are encouraged to provide both what is and is not working. </w:t>
      </w:r>
      <w:r>
        <w:rPr>
          <w:color w:val="000000"/>
        </w:rPr>
        <w:t xml:space="preserve">Also, the IMPAQ team will </w:t>
      </w:r>
      <w:r w:rsidRPr="00663220">
        <w:rPr>
          <w:color w:val="000000"/>
        </w:rPr>
        <w:t>use relatively short, straight forward questions, use neutrally worded questions that are not leading, and avoid “double barreled” items</w:t>
      </w:r>
      <w:r>
        <w:rPr>
          <w:color w:val="000000"/>
        </w:rPr>
        <w:t xml:space="preserve">. </w:t>
      </w:r>
    </w:p>
    <w:p w:rsidR="00A03C81" w:rsidRDefault="00A03C81" w:rsidP="00C909F8"/>
    <w:p w:rsidR="00A03C81" w:rsidRPr="001D0454" w:rsidRDefault="00A03C81" w:rsidP="00C909F8">
      <w:pPr>
        <w:pStyle w:val="Heading2"/>
        <w:tabs>
          <w:tab w:val="clear" w:pos="547"/>
          <w:tab w:val="left" w:pos="540"/>
        </w:tabs>
        <w:ind w:left="540" w:hanging="540"/>
      </w:pPr>
      <w:bookmarkStart w:id="13" w:name="_Toc151782201"/>
      <w:bookmarkStart w:id="14" w:name="_Toc158526237"/>
      <w:bookmarkStart w:id="15" w:name="_Toc220311472"/>
      <w:r w:rsidRPr="00905886">
        <w:rPr>
          <w:rFonts w:cs="Times New Roman"/>
        </w:rPr>
        <w:t xml:space="preserve">3. </w:t>
      </w:r>
      <w:r>
        <w:rPr>
          <w:rFonts w:cs="Times New Roman"/>
        </w:rPr>
        <w:tab/>
      </w:r>
      <w:r w:rsidRPr="00905886">
        <w:rPr>
          <w:rFonts w:cs="Times New Roman"/>
        </w:rPr>
        <w:t>Methods to Maximize Response Rates</w:t>
      </w:r>
      <w:bookmarkEnd w:id="13"/>
      <w:bookmarkEnd w:id="14"/>
      <w:bookmarkEnd w:id="15"/>
    </w:p>
    <w:p w:rsidR="00A03C81" w:rsidRDefault="00A03C81" w:rsidP="00C909F8">
      <w:pPr>
        <w:jc w:val="both"/>
        <w:rPr>
          <w:rFonts w:eastAsia="SimSun"/>
          <w:lang w:eastAsia="zh-CN"/>
        </w:rPr>
      </w:pPr>
    </w:p>
    <w:p w:rsidR="00A03C81" w:rsidRPr="00C8570B" w:rsidRDefault="00A03C81" w:rsidP="00464196">
      <w:r>
        <w:rPr>
          <w:rFonts w:eastAsia="SimSun"/>
          <w:lang w:eastAsia="zh-CN"/>
        </w:rPr>
        <w:t>To ensure a high response rate, we will: (1) give presentations about the evaluation to EHC program researchers to raise awareness about the survey before the data collection; (2) send an official invitation letter from the Director of the Center for Outcomes and Evidence at AHRQ, Jean Slutsky, to potential survey respondents; (3)</w:t>
      </w:r>
      <w:r w:rsidRPr="00D2264F">
        <w:rPr>
          <w:rFonts w:eastAsia="SimSun"/>
          <w:lang w:eastAsia="zh-CN"/>
        </w:rPr>
        <w:t xml:space="preserve"> </w:t>
      </w:r>
      <w:r>
        <w:rPr>
          <w:rFonts w:eastAsia="SimSun"/>
          <w:lang w:eastAsia="zh-CN"/>
        </w:rPr>
        <w:t xml:space="preserve">send an EHC program-sponsored cover letter to the selected sample; (4) inform participants that the survey will take approximately 20 minutes in the pre-invitation and official invitation; (5) monitor the response rates; and (6) e-mail non-respondents with two reminder emails to encourage their participation.  </w:t>
      </w:r>
      <w:r w:rsidRPr="00F46039">
        <w:t>If the response rate becomes concerning during the data collection stage, AHRQ will assess whether providing some incentives will boost the response rate.</w:t>
      </w:r>
      <w:r>
        <w:t xml:space="preserve"> </w:t>
      </w:r>
    </w:p>
    <w:p w:rsidR="00A03C81" w:rsidRDefault="00A03C81" w:rsidP="00464196">
      <w:r>
        <w:t xml:space="preserve"> </w:t>
      </w:r>
    </w:p>
    <w:p w:rsidR="00A03C81" w:rsidRDefault="00A03C81" w:rsidP="00C909F8">
      <w:pPr>
        <w:jc w:val="both"/>
        <w:rPr>
          <w:rFonts w:eastAsia="SimSun"/>
          <w:lang w:eastAsia="zh-CN"/>
        </w:rPr>
      </w:pPr>
      <w:r>
        <w:rPr>
          <w:rFonts w:eastAsia="SimSun"/>
          <w:lang w:eastAsia="zh-CN"/>
        </w:rPr>
        <w:t xml:space="preserve">Additionally, most respondents are involved in the EHC program and therefore have a vested interest in participating in the survey.  All respondents have email addresses and presumably regular internet access.  </w:t>
      </w:r>
      <w:r>
        <w:t xml:space="preserve">The expected response rate for the online survey is </w:t>
      </w:r>
      <w:r w:rsidRPr="008263C8">
        <w:t>80%.</w:t>
      </w:r>
      <w:r>
        <w:t xml:space="preserve"> </w:t>
      </w:r>
      <w:r>
        <w:rPr>
          <w:rFonts w:eastAsia="SimSun"/>
          <w:lang w:eastAsia="zh-CN"/>
        </w:rPr>
        <w:t xml:space="preserve"> </w:t>
      </w:r>
    </w:p>
    <w:p w:rsidR="00A03C81" w:rsidRPr="0064564D" w:rsidRDefault="00A03C81" w:rsidP="0064564D">
      <w:pPr>
        <w:jc w:val="both"/>
        <w:rPr>
          <w:bCs/>
          <w:iCs/>
          <w:szCs w:val="28"/>
        </w:rPr>
      </w:pPr>
    </w:p>
    <w:p w:rsidR="00A03C81" w:rsidRPr="000637BE" w:rsidRDefault="00A03C81" w:rsidP="0064564D">
      <w:pPr>
        <w:pStyle w:val="Heading2"/>
        <w:tabs>
          <w:tab w:val="clear" w:pos="547"/>
          <w:tab w:val="left" w:pos="540"/>
        </w:tabs>
        <w:ind w:left="540" w:hanging="540"/>
        <w:rPr>
          <w:rFonts w:cs="Times New Roman"/>
        </w:rPr>
      </w:pPr>
      <w:bookmarkStart w:id="16" w:name="_Toc151782202"/>
      <w:bookmarkStart w:id="17" w:name="_Toc158526238"/>
      <w:bookmarkStart w:id="18" w:name="_Toc220311473"/>
      <w:r w:rsidRPr="000637BE">
        <w:rPr>
          <w:rFonts w:cs="Times New Roman"/>
        </w:rPr>
        <w:t xml:space="preserve">4. </w:t>
      </w:r>
      <w:r>
        <w:rPr>
          <w:rFonts w:cs="Times New Roman"/>
        </w:rPr>
        <w:tab/>
        <w:t>Pre-t</w:t>
      </w:r>
      <w:r w:rsidRPr="000637BE">
        <w:rPr>
          <w:rFonts w:cs="Times New Roman"/>
        </w:rPr>
        <w:t>ests of Procedures</w:t>
      </w:r>
      <w:bookmarkStart w:id="19" w:name="_Toc151782203"/>
      <w:bookmarkStart w:id="20" w:name="_Toc158526239"/>
      <w:bookmarkEnd w:id="16"/>
      <w:bookmarkEnd w:id="17"/>
      <w:bookmarkEnd w:id="18"/>
    </w:p>
    <w:p w:rsidR="00A03C81" w:rsidRDefault="00A03C81" w:rsidP="0064564D">
      <w:pPr>
        <w:jc w:val="both"/>
      </w:pPr>
    </w:p>
    <w:p w:rsidR="00A03C81" w:rsidRDefault="00A03C81" w:rsidP="0064564D">
      <w:pPr>
        <w:jc w:val="both"/>
      </w:pPr>
      <w:r>
        <w:t>Pretesting of the online survey has been conducted by not more than nine (9) federal staff involved with the EHC program at AHRQ to refine the data collection instrument contents and survey length, thereby minimizing the burdens on respondents and improving utility of the instrument. Minor changes have been made to the survey as a result of pretesting, in which case the final, revised version of the data collection instrument will be further pilot-tested and submitted in a memorandum to OMB prior to implementation of the survey.</w:t>
      </w:r>
    </w:p>
    <w:p w:rsidR="00A03C81" w:rsidRDefault="00A03C81" w:rsidP="0064564D"/>
    <w:p w:rsidR="00A03C81" w:rsidRPr="000637BE" w:rsidRDefault="00A03C81" w:rsidP="0064564D">
      <w:pPr>
        <w:pStyle w:val="Heading2"/>
        <w:rPr>
          <w:rFonts w:cs="Times New Roman"/>
        </w:rPr>
      </w:pPr>
      <w:r w:rsidRPr="000637BE">
        <w:rPr>
          <w:rFonts w:cs="Times New Roman"/>
        </w:rPr>
        <w:t xml:space="preserve"> </w:t>
      </w:r>
      <w:bookmarkStart w:id="21" w:name="_Toc220311474"/>
      <w:r w:rsidRPr="000637BE">
        <w:rPr>
          <w:rFonts w:cs="Times New Roman"/>
        </w:rPr>
        <w:t xml:space="preserve">5. </w:t>
      </w:r>
      <w:r>
        <w:rPr>
          <w:rFonts w:cs="Times New Roman"/>
        </w:rPr>
        <w:tab/>
      </w:r>
      <w:r w:rsidRPr="000637BE">
        <w:rPr>
          <w:rFonts w:cs="Times New Roman"/>
        </w:rPr>
        <w:t>Statistical Consultants</w:t>
      </w:r>
      <w:bookmarkEnd w:id="19"/>
      <w:bookmarkEnd w:id="20"/>
      <w:bookmarkEnd w:id="21"/>
    </w:p>
    <w:p w:rsidR="00A03C81" w:rsidRDefault="00A03C81" w:rsidP="0064564D"/>
    <w:p w:rsidR="00A03C81" w:rsidRPr="00A620A6" w:rsidRDefault="00A03C81" w:rsidP="0064564D">
      <w:r w:rsidRPr="00433F40">
        <w:t xml:space="preserve">AHRQ has contracted with IMPAQ International and Abt Associates </w:t>
      </w:r>
      <w:r w:rsidRPr="00A620A6">
        <w:rPr>
          <w:color w:val="000000"/>
        </w:rPr>
        <w:t>to collect and analyze the</w:t>
      </w:r>
      <w:r>
        <w:rPr>
          <w:color w:val="000000"/>
        </w:rPr>
        <w:t xml:space="preserve"> survey</w:t>
      </w:r>
      <w:r w:rsidRPr="00A620A6">
        <w:rPr>
          <w:color w:val="000000"/>
        </w:rPr>
        <w:t xml:space="preserve"> information.</w:t>
      </w:r>
    </w:p>
    <w:p w:rsidR="00A03C81" w:rsidRDefault="00A03C81" w:rsidP="0064564D">
      <w:pPr>
        <w:rPr>
          <w:color w:val="000000"/>
        </w:rPr>
      </w:pPr>
    </w:p>
    <w:p w:rsidR="00A03C81" w:rsidRPr="00A620A6" w:rsidRDefault="00A03C81" w:rsidP="0064564D">
      <w:pPr>
        <w:rPr>
          <w:color w:val="000000"/>
        </w:rPr>
      </w:pPr>
      <w:r w:rsidRPr="00A620A6">
        <w:rPr>
          <w:color w:val="000000"/>
        </w:rPr>
        <w:t>Philippe Gwet</w:t>
      </w:r>
      <w:r>
        <w:rPr>
          <w:color w:val="000000"/>
        </w:rPr>
        <w:t>, PhD, (phone: 301-326-9001)</w:t>
      </w:r>
      <w:r w:rsidRPr="00A620A6">
        <w:rPr>
          <w:color w:val="000000"/>
        </w:rPr>
        <w:t>, a statistician e</w:t>
      </w:r>
      <w:r>
        <w:rPr>
          <w:color w:val="000000"/>
        </w:rPr>
        <w:t>mployed by IMPAQ International,</w:t>
      </w:r>
      <w:r w:rsidRPr="00A620A6">
        <w:rPr>
          <w:color w:val="000000"/>
        </w:rPr>
        <w:t xml:space="preserve"> provided input</w:t>
      </w:r>
      <w:r>
        <w:rPr>
          <w:color w:val="000000"/>
        </w:rPr>
        <w:t>s</w:t>
      </w:r>
      <w:r w:rsidRPr="00A620A6">
        <w:rPr>
          <w:color w:val="000000"/>
        </w:rPr>
        <w:t xml:space="preserve"> regarding the development, design, conduct</w:t>
      </w:r>
      <w:r>
        <w:rPr>
          <w:color w:val="000000"/>
        </w:rPr>
        <w:t>, and analysis of the online survey.</w:t>
      </w:r>
    </w:p>
    <w:p w:rsidR="00A03C81" w:rsidRPr="00A620A6" w:rsidRDefault="00A03C81"/>
    <w:sectPr w:rsidR="00A03C81" w:rsidRPr="00A620A6" w:rsidSect="0064564D">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C81" w:rsidRDefault="00A03C81" w:rsidP="00A373E4">
      <w:r>
        <w:separator/>
      </w:r>
    </w:p>
  </w:endnote>
  <w:endnote w:type="continuationSeparator" w:id="1">
    <w:p w:rsidR="00A03C81" w:rsidRDefault="00A03C81" w:rsidP="00A373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1" w:rsidRDefault="00A03C81" w:rsidP="00993E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03C81" w:rsidRDefault="00A03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1" w:rsidRPr="0064564D" w:rsidRDefault="00A03C81" w:rsidP="0064564D">
    <w:pPr>
      <w:pStyle w:val="Footer"/>
      <w:jc w:val="center"/>
      <w:rPr>
        <w:sz w:val="20"/>
        <w:szCs w:val="20"/>
      </w:rPr>
    </w:pPr>
    <w:r w:rsidRPr="0064564D">
      <w:rPr>
        <w:rStyle w:val="PageNumber"/>
        <w:sz w:val="20"/>
        <w:szCs w:val="20"/>
      </w:rPr>
      <w:t xml:space="preserve">Page </w:t>
    </w:r>
    <w:r w:rsidRPr="0064564D">
      <w:rPr>
        <w:rStyle w:val="PageNumber"/>
        <w:sz w:val="20"/>
        <w:szCs w:val="20"/>
      </w:rPr>
      <w:fldChar w:fldCharType="begin"/>
    </w:r>
    <w:r w:rsidRPr="0064564D">
      <w:rPr>
        <w:rStyle w:val="PageNumber"/>
        <w:sz w:val="20"/>
        <w:szCs w:val="20"/>
      </w:rPr>
      <w:instrText xml:space="preserve"> PAGE   \* MERGEFORMAT </w:instrText>
    </w:r>
    <w:r w:rsidRPr="0064564D">
      <w:rPr>
        <w:rStyle w:val="PageNumber"/>
        <w:sz w:val="20"/>
        <w:szCs w:val="20"/>
      </w:rPr>
      <w:fldChar w:fldCharType="separate"/>
    </w:r>
    <w:r>
      <w:rPr>
        <w:rStyle w:val="PageNumber"/>
        <w:noProof/>
        <w:sz w:val="20"/>
        <w:szCs w:val="20"/>
      </w:rPr>
      <w:t>3</w:t>
    </w:r>
    <w:r w:rsidRPr="0064564D">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1" w:rsidRPr="0064564D" w:rsidRDefault="00A03C81" w:rsidP="0064564D">
    <w:pPr>
      <w:pStyle w:val="Footer"/>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1" w:rsidRPr="0064564D" w:rsidRDefault="00A03C81" w:rsidP="0064564D">
    <w:pPr>
      <w:pStyle w:val="Footer"/>
      <w:jc w:val="center"/>
      <w:rPr>
        <w:sz w:val="20"/>
        <w:szCs w:val="20"/>
      </w:rPr>
    </w:pPr>
    <w:r w:rsidRPr="0064564D">
      <w:rPr>
        <w:sz w:val="20"/>
        <w:szCs w:val="20"/>
      </w:rPr>
      <w:t xml:space="preserve">Page </w:t>
    </w:r>
    <w:r w:rsidRPr="0064564D">
      <w:rPr>
        <w:sz w:val="20"/>
        <w:szCs w:val="20"/>
      </w:rPr>
      <w:fldChar w:fldCharType="begin"/>
    </w:r>
    <w:r w:rsidRPr="0064564D">
      <w:rPr>
        <w:sz w:val="20"/>
        <w:szCs w:val="20"/>
      </w:rPr>
      <w:instrText xml:space="preserve"> PAGE   \* MERGEFORMAT </w:instrText>
    </w:r>
    <w:r w:rsidRPr="0064564D">
      <w:rPr>
        <w:sz w:val="20"/>
        <w:szCs w:val="20"/>
      </w:rPr>
      <w:fldChar w:fldCharType="separate"/>
    </w:r>
    <w:r>
      <w:rPr>
        <w:noProof/>
        <w:sz w:val="20"/>
        <w:szCs w:val="20"/>
      </w:rPr>
      <w:t>2</w:t>
    </w:r>
    <w:r w:rsidRPr="0064564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C81" w:rsidRDefault="00A03C81" w:rsidP="00A373E4">
      <w:r>
        <w:separator/>
      </w:r>
    </w:p>
  </w:footnote>
  <w:footnote w:type="continuationSeparator" w:id="1">
    <w:p w:rsidR="00A03C81" w:rsidRDefault="00A03C81" w:rsidP="00A37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93C72"/>
    <w:multiLevelType w:val="hybridMultilevel"/>
    <w:tmpl w:val="2BA24724"/>
    <w:lvl w:ilvl="0" w:tplc="EFA637F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367136"/>
    <w:multiLevelType w:val="hybridMultilevel"/>
    <w:tmpl w:val="F056A9AE"/>
    <w:lvl w:ilvl="0" w:tplc="EFA637F4">
      <w:start w:val="1"/>
      <w:numFmt w:val="bullet"/>
      <w:lvlText w:val=""/>
      <w:lvlJc w:val="left"/>
      <w:pPr>
        <w:tabs>
          <w:tab w:val="num" w:pos="792"/>
        </w:tabs>
        <w:ind w:left="936" w:hanging="216"/>
      </w:pPr>
      <w:rPr>
        <w:rFonts w:ascii="Wingdings" w:hAnsi="Wingdings" w:hint="default"/>
        <w:color w:val="auto"/>
        <w:sz w:val="16"/>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nsid w:val="2DE9117C"/>
    <w:multiLevelType w:val="hybridMultilevel"/>
    <w:tmpl w:val="03563634"/>
    <w:lvl w:ilvl="0" w:tplc="EFA637F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654AC"/>
    <w:multiLevelType w:val="hybridMultilevel"/>
    <w:tmpl w:val="D93C59DC"/>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0D6B9A"/>
    <w:multiLevelType w:val="hybridMultilevel"/>
    <w:tmpl w:val="94529DAA"/>
    <w:lvl w:ilvl="0" w:tplc="EFA637F4">
      <w:start w:val="1"/>
      <w:numFmt w:val="bullet"/>
      <w:lvlText w:val=""/>
      <w:lvlJc w:val="left"/>
      <w:pPr>
        <w:tabs>
          <w:tab w:val="num" w:pos="792"/>
        </w:tabs>
        <w:ind w:left="936" w:hanging="216"/>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01633"/>
    <w:multiLevelType w:val="hybridMultilevel"/>
    <w:tmpl w:val="14A208F6"/>
    <w:lvl w:ilvl="0" w:tplc="3B0E06D6">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686B25"/>
    <w:multiLevelType w:val="hybridMultilevel"/>
    <w:tmpl w:val="07B4BE1C"/>
    <w:lvl w:ilvl="0" w:tplc="EFA637F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44EAB"/>
    <w:multiLevelType w:val="hybridMultilevel"/>
    <w:tmpl w:val="6842125C"/>
    <w:lvl w:ilvl="0" w:tplc="EFA637F4">
      <w:start w:val="1"/>
      <w:numFmt w:val="bullet"/>
      <w:lvlText w:val=""/>
      <w:lvlJc w:val="left"/>
      <w:pPr>
        <w:tabs>
          <w:tab w:val="num" w:pos="1440"/>
        </w:tabs>
        <w:ind w:left="1440" w:hanging="720"/>
      </w:pPr>
      <w:rPr>
        <w:rFonts w:ascii="Wingdings" w:hAnsi="Wingdings" w:hint="default"/>
        <w:color w:val="auto"/>
        <w:sz w:val="16"/>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6FDF7D78"/>
    <w:multiLevelType w:val="hybridMultilevel"/>
    <w:tmpl w:val="4D9A6F2A"/>
    <w:lvl w:ilvl="0" w:tplc="EFA637F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3D4966"/>
    <w:multiLevelType w:val="hybridMultilevel"/>
    <w:tmpl w:val="3C3C13F4"/>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0"/>
  </w:num>
  <w:num w:numId="5">
    <w:abstractNumId w:val="8"/>
  </w:num>
  <w:num w:numId="6">
    <w:abstractNumId w:val="13"/>
  </w:num>
  <w:num w:numId="7">
    <w:abstractNumId w:val="4"/>
  </w:num>
  <w:num w:numId="8">
    <w:abstractNumId w:val="6"/>
  </w:num>
  <w:num w:numId="9">
    <w:abstractNumId w:val="9"/>
  </w:num>
  <w:num w:numId="10">
    <w:abstractNumId w:val="14"/>
  </w:num>
  <w:num w:numId="11">
    <w:abstractNumId w:val="2"/>
  </w:num>
  <w:num w:numId="12">
    <w:abstractNumId w:val="3"/>
  </w:num>
  <w:num w:numId="13">
    <w:abstractNumId w:val="7"/>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F12"/>
    <w:rsid w:val="00011409"/>
    <w:rsid w:val="000637BE"/>
    <w:rsid w:val="00074942"/>
    <w:rsid w:val="000D4113"/>
    <w:rsid w:val="001435EF"/>
    <w:rsid w:val="00160B7F"/>
    <w:rsid w:val="00166923"/>
    <w:rsid w:val="0019677D"/>
    <w:rsid w:val="001D0454"/>
    <w:rsid w:val="001E3B81"/>
    <w:rsid w:val="001E5039"/>
    <w:rsid w:val="002061D6"/>
    <w:rsid w:val="00206C45"/>
    <w:rsid w:val="00225DD7"/>
    <w:rsid w:val="00232B6E"/>
    <w:rsid w:val="00247E22"/>
    <w:rsid w:val="002606E7"/>
    <w:rsid w:val="002729F7"/>
    <w:rsid w:val="00274149"/>
    <w:rsid w:val="00281CB1"/>
    <w:rsid w:val="00290038"/>
    <w:rsid w:val="00293BD7"/>
    <w:rsid w:val="002B2AD7"/>
    <w:rsid w:val="002D19E6"/>
    <w:rsid w:val="002E4BDE"/>
    <w:rsid w:val="002E5553"/>
    <w:rsid w:val="002F3E04"/>
    <w:rsid w:val="002F6747"/>
    <w:rsid w:val="00301D24"/>
    <w:rsid w:val="00323CED"/>
    <w:rsid w:val="00325490"/>
    <w:rsid w:val="00336E4B"/>
    <w:rsid w:val="003760A2"/>
    <w:rsid w:val="003B2605"/>
    <w:rsid w:val="003C0552"/>
    <w:rsid w:val="003D499E"/>
    <w:rsid w:val="00413A9E"/>
    <w:rsid w:val="00415323"/>
    <w:rsid w:val="0042253A"/>
    <w:rsid w:val="00433F40"/>
    <w:rsid w:val="0043596B"/>
    <w:rsid w:val="00436F12"/>
    <w:rsid w:val="0045137D"/>
    <w:rsid w:val="00451FCF"/>
    <w:rsid w:val="00456179"/>
    <w:rsid w:val="00464196"/>
    <w:rsid w:val="0046772B"/>
    <w:rsid w:val="004A0077"/>
    <w:rsid w:val="004A2363"/>
    <w:rsid w:val="004A4C0A"/>
    <w:rsid w:val="00503666"/>
    <w:rsid w:val="005236C7"/>
    <w:rsid w:val="00530AA2"/>
    <w:rsid w:val="00564C91"/>
    <w:rsid w:val="00571CA8"/>
    <w:rsid w:val="005773C8"/>
    <w:rsid w:val="005911BD"/>
    <w:rsid w:val="005F173A"/>
    <w:rsid w:val="00613979"/>
    <w:rsid w:val="00615356"/>
    <w:rsid w:val="00615A2A"/>
    <w:rsid w:val="0064564D"/>
    <w:rsid w:val="00663220"/>
    <w:rsid w:val="00677A0B"/>
    <w:rsid w:val="006B0F92"/>
    <w:rsid w:val="006B5EB5"/>
    <w:rsid w:val="006C3672"/>
    <w:rsid w:val="006C6A28"/>
    <w:rsid w:val="006D3515"/>
    <w:rsid w:val="006F64DA"/>
    <w:rsid w:val="00712CCF"/>
    <w:rsid w:val="00720EF7"/>
    <w:rsid w:val="007845C8"/>
    <w:rsid w:val="007C0E06"/>
    <w:rsid w:val="007D1366"/>
    <w:rsid w:val="007D5D93"/>
    <w:rsid w:val="007F277B"/>
    <w:rsid w:val="008263C8"/>
    <w:rsid w:val="008273B9"/>
    <w:rsid w:val="008564CC"/>
    <w:rsid w:val="00861479"/>
    <w:rsid w:val="00886AEB"/>
    <w:rsid w:val="00894425"/>
    <w:rsid w:val="008A5B37"/>
    <w:rsid w:val="008A7BED"/>
    <w:rsid w:val="008B2B49"/>
    <w:rsid w:val="00905886"/>
    <w:rsid w:val="00915DB7"/>
    <w:rsid w:val="00950851"/>
    <w:rsid w:val="00964A7F"/>
    <w:rsid w:val="009655F1"/>
    <w:rsid w:val="0097063B"/>
    <w:rsid w:val="00977ADE"/>
    <w:rsid w:val="00986D09"/>
    <w:rsid w:val="00993E2A"/>
    <w:rsid w:val="0099665E"/>
    <w:rsid w:val="009A66F2"/>
    <w:rsid w:val="009B4A41"/>
    <w:rsid w:val="009C522A"/>
    <w:rsid w:val="009C6F1F"/>
    <w:rsid w:val="009D54C3"/>
    <w:rsid w:val="009D59B2"/>
    <w:rsid w:val="009E714E"/>
    <w:rsid w:val="009F08A9"/>
    <w:rsid w:val="009F2817"/>
    <w:rsid w:val="009F6BE4"/>
    <w:rsid w:val="00A03C81"/>
    <w:rsid w:val="00A115D1"/>
    <w:rsid w:val="00A158A6"/>
    <w:rsid w:val="00A373E4"/>
    <w:rsid w:val="00A51116"/>
    <w:rsid w:val="00A620A6"/>
    <w:rsid w:val="00A62F5C"/>
    <w:rsid w:val="00A735BC"/>
    <w:rsid w:val="00AA5B9F"/>
    <w:rsid w:val="00AA7E48"/>
    <w:rsid w:val="00AF16AE"/>
    <w:rsid w:val="00B00988"/>
    <w:rsid w:val="00B0493A"/>
    <w:rsid w:val="00B11FF8"/>
    <w:rsid w:val="00B25C7A"/>
    <w:rsid w:val="00B51D58"/>
    <w:rsid w:val="00B63BAD"/>
    <w:rsid w:val="00B85E71"/>
    <w:rsid w:val="00BB77A2"/>
    <w:rsid w:val="00BC5E44"/>
    <w:rsid w:val="00BD29EA"/>
    <w:rsid w:val="00BF0331"/>
    <w:rsid w:val="00BF572C"/>
    <w:rsid w:val="00C04B02"/>
    <w:rsid w:val="00C04D3D"/>
    <w:rsid w:val="00C24EDA"/>
    <w:rsid w:val="00C4006D"/>
    <w:rsid w:val="00C51E8E"/>
    <w:rsid w:val="00C63CB8"/>
    <w:rsid w:val="00C8570B"/>
    <w:rsid w:val="00C86A37"/>
    <w:rsid w:val="00C909F8"/>
    <w:rsid w:val="00CA6A0D"/>
    <w:rsid w:val="00CF1B20"/>
    <w:rsid w:val="00D2264F"/>
    <w:rsid w:val="00D31739"/>
    <w:rsid w:val="00D424C7"/>
    <w:rsid w:val="00D7564B"/>
    <w:rsid w:val="00D84017"/>
    <w:rsid w:val="00DA3796"/>
    <w:rsid w:val="00DA3977"/>
    <w:rsid w:val="00DD158A"/>
    <w:rsid w:val="00DF77C6"/>
    <w:rsid w:val="00E277ED"/>
    <w:rsid w:val="00E96196"/>
    <w:rsid w:val="00EA2166"/>
    <w:rsid w:val="00EA5FCE"/>
    <w:rsid w:val="00EC4788"/>
    <w:rsid w:val="00EE5C9C"/>
    <w:rsid w:val="00F13AC9"/>
    <w:rsid w:val="00F25E79"/>
    <w:rsid w:val="00F35736"/>
    <w:rsid w:val="00F46039"/>
    <w:rsid w:val="00F671D4"/>
    <w:rsid w:val="00F81C41"/>
    <w:rsid w:val="00FA0EBF"/>
    <w:rsid w:val="00FB028B"/>
    <w:rsid w:val="00FB0D37"/>
    <w:rsid w:val="00FC633E"/>
    <w:rsid w:val="00FC7409"/>
    <w:rsid w:val="00FD7DBD"/>
    <w:rsid w:val="00FE33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36F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D7564B"/>
    <w:pPr>
      <w:keepNext/>
      <w:tabs>
        <w:tab w:val="left" w:pos="547"/>
      </w:tabs>
      <w:outlineLvl w:val="0"/>
    </w:pPr>
    <w:rPr>
      <w:rFonts w:cs="Arial"/>
      <w:b/>
      <w:bCs/>
      <w:kern w:val="32"/>
      <w:sz w:val="28"/>
      <w:szCs w:val="32"/>
    </w:rPr>
  </w:style>
  <w:style w:type="paragraph" w:styleId="Heading2">
    <w:name w:val="heading 2"/>
    <w:basedOn w:val="Normal"/>
    <w:next w:val="Normal"/>
    <w:link w:val="Heading2Char"/>
    <w:uiPriority w:val="99"/>
    <w:qFormat/>
    <w:rsid w:val="0064564D"/>
    <w:pPr>
      <w:keepNext/>
      <w:tabs>
        <w:tab w:val="left" w:pos="547"/>
      </w:tabs>
      <w:outlineLvl w:val="1"/>
    </w:pPr>
    <w:rPr>
      <w:rFonts w:cs="Arial"/>
      <w:b/>
      <w:bCs/>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64B"/>
    <w:rPr>
      <w:rFonts w:ascii="Times New Roman" w:hAnsi="Times New Roman" w:cs="Arial"/>
      <w:b/>
      <w:bCs/>
      <w:kern w:val="32"/>
      <w:sz w:val="32"/>
      <w:szCs w:val="32"/>
    </w:rPr>
  </w:style>
  <w:style w:type="character" w:customStyle="1" w:styleId="Heading2Char">
    <w:name w:val="Heading 2 Char"/>
    <w:basedOn w:val="DefaultParagraphFont"/>
    <w:link w:val="Heading2"/>
    <w:uiPriority w:val="99"/>
    <w:locked/>
    <w:rsid w:val="0064564D"/>
    <w:rPr>
      <w:rFonts w:ascii="Times New Roman" w:hAnsi="Times New Roman" w:cs="Arial"/>
      <w:b/>
      <w:bCs/>
      <w:iCs/>
      <w:sz w:val="28"/>
      <w:szCs w:val="28"/>
    </w:rPr>
  </w:style>
  <w:style w:type="character" w:styleId="Emphasis">
    <w:name w:val="Emphasis"/>
    <w:basedOn w:val="DefaultParagraphFont"/>
    <w:uiPriority w:val="99"/>
    <w:qFormat/>
    <w:rsid w:val="00436F12"/>
    <w:rPr>
      <w:rFonts w:cs="Times New Roman"/>
      <w:i/>
      <w:iCs/>
    </w:rPr>
  </w:style>
  <w:style w:type="paragraph" w:styleId="Footer">
    <w:name w:val="footer"/>
    <w:basedOn w:val="Normal"/>
    <w:link w:val="FooterChar"/>
    <w:uiPriority w:val="99"/>
    <w:rsid w:val="00436F12"/>
    <w:pPr>
      <w:tabs>
        <w:tab w:val="center" w:pos="4320"/>
        <w:tab w:val="right" w:pos="8640"/>
      </w:tabs>
    </w:pPr>
  </w:style>
  <w:style w:type="character" w:customStyle="1" w:styleId="FooterChar">
    <w:name w:val="Footer Char"/>
    <w:basedOn w:val="DefaultParagraphFont"/>
    <w:link w:val="Footer"/>
    <w:uiPriority w:val="99"/>
    <w:locked/>
    <w:rsid w:val="00436F12"/>
    <w:rPr>
      <w:rFonts w:ascii="Times New Roman" w:hAnsi="Times New Roman" w:cs="Times New Roman"/>
      <w:sz w:val="24"/>
      <w:szCs w:val="24"/>
    </w:rPr>
  </w:style>
  <w:style w:type="character" w:styleId="PageNumber">
    <w:name w:val="page number"/>
    <w:basedOn w:val="DefaultParagraphFont"/>
    <w:uiPriority w:val="99"/>
    <w:rsid w:val="00436F12"/>
    <w:rPr>
      <w:rFonts w:cs="Times New Roman"/>
    </w:rPr>
  </w:style>
  <w:style w:type="character" w:styleId="Strong">
    <w:name w:val="Strong"/>
    <w:basedOn w:val="DefaultParagraphFont"/>
    <w:uiPriority w:val="99"/>
    <w:qFormat/>
    <w:rsid w:val="00436F12"/>
    <w:rPr>
      <w:rFonts w:cs="Times New Roman"/>
      <w:b/>
      <w:bCs/>
    </w:rPr>
  </w:style>
  <w:style w:type="paragraph" w:styleId="Caption">
    <w:name w:val="caption"/>
    <w:aliases w:val="c + Before:  0 pt,After:  0 pt,c"/>
    <w:basedOn w:val="Normal"/>
    <w:next w:val="Normal"/>
    <w:uiPriority w:val="99"/>
    <w:qFormat/>
    <w:rsid w:val="002D19E6"/>
    <w:pPr>
      <w:keepNext/>
      <w:spacing w:before="240" w:after="180"/>
      <w:jc w:val="center"/>
    </w:pPr>
    <w:rPr>
      <w:rFonts w:ascii="Arial" w:eastAsia="SimSun" w:hAnsi="Arial" w:cs="Arial"/>
      <w:b/>
      <w:bCs/>
      <w:sz w:val="18"/>
      <w:szCs w:val="20"/>
    </w:rPr>
  </w:style>
  <w:style w:type="paragraph" w:styleId="CommentText">
    <w:name w:val="annotation text"/>
    <w:basedOn w:val="Normal"/>
    <w:link w:val="CommentTextChar"/>
    <w:uiPriority w:val="99"/>
    <w:semiHidden/>
    <w:rsid w:val="002D19E6"/>
    <w:rPr>
      <w:sz w:val="20"/>
      <w:szCs w:val="20"/>
    </w:rPr>
  </w:style>
  <w:style w:type="character" w:customStyle="1" w:styleId="CommentTextChar">
    <w:name w:val="Comment Text Char"/>
    <w:basedOn w:val="DefaultParagraphFont"/>
    <w:link w:val="CommentText"/>
    <w:uiPriority w:val="99"/>
    <w:semiHidden/>
    <w:locked/>
    <w:rsid w:val="002D19E6"/>
    <w:rPr>
      <w:rFonts w:ascii="Times New Roman" w:hAnsi="Times New Roman" w:cs="Times New Roman"/>
      <w:sz w:val="20"/>
      <w:szCs w:val="20"/>
    </w:rPr>
  </w:style>
  <w:style w:type="paragraph" w:styleId="BodyText">
    <w:name w:val="Body Text"/>
    <w:basedOn w:val="Normal"/>
    <w:link w:val="BodyTextChar"/>
    <w:uiPriority w:val="99"/>
    <w:rsid w:val="002D19E6"/>
    <w:pPr>
      <w:spacing w:after="120"/>
    </w:pPr>
  </w:style>
  <w:style w:type="character" w:customStyle="1" w:styleId="BodyTextChar">
    <w:name w:val="Body Text Char"/>
    <w:basedOn w:val="DefaultParagraphFont"/>
    <w:link w:val="BodyText"/>
    <w:uiPriority w:val="99"/>
    <w:locked/>
    <w:rsid w:val="002D19E6"/>
    <w:rPr>
      <w:rFonts w:ascii="Times New Roman" w:hAnsi="Times New Roman" w:cs="Times New Roman"/>
      <w:sz w:val="24"/>
      <w:szCs w:val="24"/>
    </w:rPr>
  </w:style>
  <w:style w:type="character" w:styleId="CommentReference">
    <w:name w:val="annotation reference"/>
    <w:basedOn w:val="DefaultParagraphFont"/>
    <w:uiPriority w:val="99"/>
    <w:rsid w:val="002D19E6"/>
    <w:rPr>
      <w:rFonts w:cs="Times New Roman"/>
      <w:sz w:val="16"/>
      <w:szCs w:val="16"/>
    </w:rPr>
  </w:style>
  <w:style w:type="paragraph" w:styleId="BalloonText">
    <w:name w:val="Balloon Text"/>
    <w:basedOn w:val="Normal"/>
    <w:link w:val="BalloonTextChar"/>
    <w:uiPriority w:val="99"/>
    <w:semiHidden/>
    <w:rsid w:val="002D19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19E6"/>
    <w:rPr>
      <w:rFonts w:ascii="Tahoma" w:hAnsi="Tahoma" w:cs="Tahoma"/>
      <w:sz w:val="16"/>
      <w:szCs w:val="16"/>
    </w:rPr>
  </w:style>
  <w:style w:type="paragraph" w:styleId="FootnoteText">
    <w:name w:val="footnote text"/>
    <w:basedOn w:val="Normal"/>
    <w:link w:val="FootnoteTextChar"/>
    <w:autoRedefine/>
    <w:uiPriority w:val="99"/>
    <w:semiHidden/>
    <w:rsid w:val="002D19E6"/>
    <w:pPr>
      <w:tabs>
        <w:tab w:val="left" w:pos="360"/>
      </w:tabs>
      <w:spacing w:before="120"/>
      <w:ind w:left="360" w:hanging="360"/>
      <w:jc w:val="both"/>
    </w:pPr>
    <w:rPr>
      <w:rFonts w:ascii="Calibri" w:hAnsi="Calibri"/>
      <w:sz w:val="16"/>
      <w:szCs w:val="22"/>
    </w:rPr>
  </w:style>
  <w:style w:type="character" w:customStyle="1" w:styleId="FootnoteTextChar">
    <w:name w:val="Footnote Text Char"/>
    <w:basedOn w:val="DefaultParagraphFont"/>
    <w:link w:val="FootnoteText"/>
    <w:uiPriority w:val="99"/>
    <w:semiHidden/>
    <w:locked/>
    <w:rsid w:val="002D19E6"/>
    <w:rPr>
      <w:rFonts w:ascii="Calibri" w:hAnsi="Calibri" w:cs="Times New Roman"/>
      <w:sz w:val="16"/>
    </w:rPr>
  </w:style>
  <w:style w:type="character" w:styleId="FootnoteReference">
    <w:name w:val="footnote reference"/>
    <w:basedOn w:val="DefaultParagraphFont"/>
    <w:uiPriority w:val="99"/>
    <w:semiHidden/>
    <w:rsid w:val="002D19E6"/>
    <w:rPr>
      <w:rFonts w:cs="Times New Roman"/>
      <w:vertAlign w:val="superscript"/>
    </w:rPr>
  </w:style>
  <w:style w:type="paragraph" w:styleId="CommentSubject">
    <w:name w:val="annotation subject"/>
    <w:basedOn w:val="CommentText"/>
    <w:next w:val="CommentText"/>
    <w:link w:val="CommentSubjectChar"/>
    <w:uiPriority w:val="99"/>
    <w:semiHidden/>
    <w:rsid w:val="002D19E6"/>
    <w:rPr>
      <w:b/>
      <w:bCs/>
    </w:rPr>
  </w:style>
  <w:style w:type="character" w:customStyle="1" w:styleId="CommentSubjectChar">
    <w:name w:val="Comment Subject Char"/>
    <w:basedOn w:val="CommentTextChar"/>
    <w:link w:val="CommentSubject"/>
    <w:uiPriority w:val="99"/>
    <w:semiHidden/>
    <w:locked/>
    <w:rsid w:val="002D19E6"/>
    <w:rPr>
      <w:b/>
      <w:bCs/>
    </w:rPr>
  </w:style>
  <w:style w:type="paragraph" w:styleId="NormalWeb">
    <w:name w:val="Normal (Web)"/>
    <w:basedOn w:val="Normal"/>
    <w:uiPriority w:val="99"/>
    <w:rsid w:val="003C0552"/>
    <w:pPr>
      <w:spacing w:before="100" w:beforeAutospacing="1" w:after="100" w:afterAutospacing="1"/>
    </w:pPr>
  </w:style>
  <w:style w:type="paragraph" w:styleId="TOC3">
    <w:name w:val="toc 3"/>
    <w:basedOn w:val="Normal"/>
    <w:next w:val="Normal"/>
    <w:autoRedefine/>
    <w:uiPriority w:val="99"/>
    <w:rsid w:val="00074942"/>
    <w:pPr>
      <w:spacing w:line="276" w:lineRule="auto"/>
      <w:jc w:val="both"/>
    </w:pPr>
    <w:rPr>
      <w:rFonts w:eastAsia="Calibri"/>
      <w:lang w:eastAsia="zh-CN"/>
    </w:rPr>
  </w:style>
  <w:style w:type="paragraph" w:styleId="TOCHeading">
    <w:name w:val="TOC Heading"/>
    <w:basedOn w:val="Heading1"/>
    <w:next w:val="Normal"/>
    <w:uiPriority w:val="99"/>
    <w:qFormat/>
    <w:rsid w:val="00977ADE"/>
    <w:pPr>
      <w:keepLines/>
      <w:spacing w:before="480" w:line="276" w:lineRule="auto"/>
      <w:outlineLvl w:val="9"/>
    </w:pPr>
    <w:rPr>
      <w:rFonts w:ascii="Cambria" w:hAnsi="Cambria" w:cs="Times New Roman"/>
      <w:color w:val="365F91"/>
      <w:kern w:val="0"/>
      <w:szCs w:val="28"/>
    </w:rPr>
  </w:style>
  <w:style w:type="paragraph" w:styleId="TOC1">
    <w:name w:val="toc 1"/>
    <w:basedOn w:val="Normal"/>
    <w:next w:val="Normal"/>
    <w:autoRedefine/>
    <w:uiPriority w:val="99"/>
    <w:rsid w:val="00977ADE"/>
    <w:pPr>
      <w:spacing w:after="100"/>
    </w:pPr>
  </w:style>
  <w:style w:type="paragraph" w:styleId="TOC2">
    <w:name w:val="toc 2"/>
    <w:basedOn w:val="Normal"/>
    <w:next w:val="Normal"/>
    <w:autoRedefine/>
    <w:uiPriority w:val="99"/>
    <w:rsid w:val="00977ADE"/>
    <w:pPr>
      <w:spacing w:after="100"/>
      <w:ind w:left="240"/>
    </w:pPr>
  </w:style>
  <w:style w:type="character" w:styleId="Hyperlink">
    <w:name w:val="Hyperlink"/>
    <w:basedOn w:val="DefaultParagraphFont"/>
    <w:uiPriority w:val="99"/>
    <w:rsid w:val="00977ADE"/>
    <w:rPr>
      <w:rFonts w:cs="Times New Roman"/>
      <w:color w:val="0000FF"/>
      <w:u w:val="single"/>
    </w:rPr>
  </w:style>
  <w:style w:type="paragraph" w:styleId="Header">
    <w:name w:val="header"/>
    <w:basedOn w:val="Normal"/>
    <w:link w:val="HeaderChar"/>
    <w:uiPriority w:val="99"/>
    <w:semiHidden/>
    <w:rsid w:val="0064564D"/>
    <w:pPr>
      <w:tabs>
        <w:tab w:val="center" w:pos="4680"/>
        <w:tab w:val="right" w:pos="9360"/>
      </w:tabs>
    </w:pPr>
  </w:style>
  <w:style w:type="character" w:customStyle="1" w:styleId="HeaderChar">
    <w:name w:val="Header Char"/>
    <w:basedOn w:val="DefaultParagraphFont"/>
    <w:link w:val="Header"/>
    <w:uiPriority w:val="99"/>
    <w:semiHidden/>
    <w:locked/>
    <w:rsid w:val="0064564D"/>
    <w:rPr>
      <w:rFonts w:ascii="Times New Roman" w:hAnsi="Times New Roman" w:cs="Times New Roman"/>
      <w:sz w:val="24"/>
      <w:szCs w:val="24"/>
    </w:rPr>
  </w:style>
  <w:style w:type="paragraph" w:styleId="Revision">
    <w:name w:val="Revision"/>
    <w:hidden/>
    <w:uiPriority w:val="99"/>
    <w:semiHidden/>
    <w:rsid w:val="007C0E0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84860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1758</Words>
  <Characters>10024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msacchetti</dc:creator>
  <cp:keywords/>
  <dc:description/>
  <cp:lastModifiedBy>DHHS</cp:lastModifiedBy>
  <cp:revision>2</cp:revision>
  <cp:lastPrinted>2009-01-21T19:41:00Z</cp:lastPrinted>
  <dcterms:created xsi:type="dcterms:W3CDTF">2010-02-19T19:44:00Z</dcterms:created>
  <dcterms:modified xsi:type="dcterms:W3CDTF">2010-02-19T19:44:00Z</dcterms:modified>
</cp:coreProperties>
</file>