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72" w:rsidRDefault="00EF4972" w:rsidP="009D4398">
      <w:pPr>
        <w:ind w:left="1440" w:firstLine="720"/>
      </w:pPr>
    </w:p>
    <w:p w:rsidR="00EF4972" w:rsidRDefault="00EF4972" w:rsidP="009D4398">
      <w:pPr>
        <w:ind w:left="1440" w:firstLine="720"/>
      </w:pPr>
      <w:r>
        <w:t xml:space="preserve">      </w:t>
      </w:r>
    </w:p>
    <w:p w:rsidR="00EF4972" w:rsidRPr="008D07FC" w:rsidRDefault="00EF4972" w:rsidP="009D4398">
      <w:pPr>
        <w:ind w:left="1440" w:firstLine="720"/>
        <w:rPr>
          <w:sz w:val="36"/>
          <w:szCs w:val="36"/>
        </w:rPr>
      </w:pPr>
      <w:r>
        <w:t xml:space="preserve">    </w:t>
      </w:r>
      <w:r w:rsidRPr="008D07FC">
        <w:rPr>
          <w:sz w:val="36"/>
          <w:szCs w:val="36"/>
        </w:rPr>
        <w:t xml:space="preserve"> Supporting Statement </w:t>
      </w:r>
      <w:r w:rsidRPr="008D07FC">
        <w:rPr>
          <w:b/>
          <w:sz w:val="36"/>
          <w:szCs w:val="36"/>
        </w:rPr>
        <w:t>A</w:t>
      </w:r>
      <w:r w:rsidRPr="008D07FC">
        <w:rPr>
          <w:sz w:val="36"/>
          <w:szCs w:val="36"/>
        </w:rPr>
        <w:t xml:space="preserve"> for</w:t>
      </w:r>
    </w:p>
    <w:p w:rsidR="00EF4972" w:rsidRPr="00AF6EE5" w:rsidRDefault="00EF4972" w:rsidP="009D4398">
      <w:pPr>
        <w:ind w:left="1440" w:firstLine="720"/>
        <w:rPr>
          <w:sz w:val="32"/>
          <w:szCs w:val="32"/>
        </w:rPr>
      </w:pPr>
    </w:p>
    <w:p w:rsidR="00EF4972" w:rsidRPr="00AF6EE5" w:rsidRDefault="00EF4972" w:rsidP="009D4398">
      <w:pPr>
        <w:ind w:left="1440" w:firstLine="720"/>
        <w:rPr>
          <w:sz w:val="32"/>
          <w:szCs w:val="32"/>
        </w:rPr>
      </w:pPr>
      <w:r w:rsidRPr="00AF6EE5">
        <w:rPr>
          <w:sz w:val="32"/>
          <w:szCs w:val="32"/>
        </w:rPr>
        <w:t xml:space="preserve">         </w:t>
      </w:r>
    </w:p>
    <w:p w:rsidR="00EF4972" w:rsidRPr="00AF6EE5" w:rsidRDefault="00EF4972" w:rsidP="009D4398">
      <w:pPr>
        <w:rPr>
          <w:sz w:val="32"/>
          <w:szCs w:val="32"/>
        </w:rPr>
      </w:pPr>
    </w:p>
    <w:p w:rsidR="00EF4972" w:rsidRDefault="00EF4972" w:rsidP="009D4398">
      <w:pPr>
        <w:rPr>
          <w:b/>
          <w:sz w:val="36"/>
          <w:szCs w:val="36"/>
        </w:rPr>
      </w:pPr>
    </w:p>
    <w:p w:rsidR="00EF4972" w:rsidRDefault="00EF4972" w:rsidP="006C69F7">
      <w:pPr>
        <w:ind w:left="1440"/>
        <w:rPr>
          <w:b/>
          <w:sz w:val="36"/>
          <w:szCs w:val="36"/>
        </w:rPr>
      </w:pPr>
      <w:r>
        <w:rPr>
          <w:b/>
          <w:sz w:val="36"/>
          <w:szCs w:val="36"/>
        </w:rPr>
        <w:t>Request for G</w:t>
      </w:r>
      <w:r w:rsidRPr="009D4398">
        <w:rPr>
          <w:b/>
          <w:sz w:val="36"/>
          <w:szCs w:val="36"/>
        </w:rPr>
        <w:t xml:space="preserve">eneric Clearance to Conduct Voluntary Customer/Partner Surveys </w:t>
      </w:r>
      <w:r>
        <w:rPr>
          <w:b/>
          <w:sz w:val="36"/>
          <w:szCs w:val="36"/>
        </w:rPr>
        <w:t>(NLM)</w:t>
      </w:r>
    </w:p>
    <w:p w:rsidR="00EF4972" w:rsidRDefault="00EF4972" w:rsidP="006C69F7">
      <w:pPr>
        <w:ind w:left="1440"/>
        <w:rPr>
          <w:b/>
          <w:sz w:val="36"/>
          <w:szCs w:val="36"/>
        </w:rPr>
      </w:pPr>
    </w:p>
    <w:p w:rsidR="00EF4972" w:rsidRPr="009D4398" w:rsidRDefault="00EF4972" w:rsidP="009D4398">
      <w:pPr>
        <w:ind w:left="1440" w:firstLine="720"/>
        <w:rPr>
          <w:sz w:val="36"/>
          <w:szCs w:val="36"/>
        </w:rPr>
      </w:pPr>
    </w:p>
    <w:p w:rsidR="00EF4972" w:rsidRDefault="00EF4972" w:rsidP="009D4398">
      <w:pPr>
        <w:ind w:left="1440" w:firstLine="720"/>
        <w:rPr>
          <w:sz w:val="28"/>
          <w:szCs w:val="28"/>
        </w:rPr>
      </w:pPr>
    </w:p>
    <w:p w:rsidR="00EF4972" w:rsidRPr="00680E77" w:rsidRDefault="00EF4972" w:rsidP="009D4398">
      <w:pPr>
        <w:rPr>
          <w:color w:val="FF0000"/>
          <w:sz w:val="32"/>
          <w:szCs w:val="32"/>
        </w:rPr>
      </w:pPr>
      <w:r>
        <w:t xml:space="preserve">     </w:t>
      </w:r>
      <w:r>
        <w:tab/>
      </w:r>
      <w:r>
        <w:tab/>
      </w:r>
      <w:r>
        <w:tab/>
      </w:r>
      <w:r>
        <w:tab/>
        <w:t xml:space="preserve">        </w:t>
      </w:r>
      <w:r w:rsidRPr="00C376D0">
        <w:rPr>
          <w:sz w:val="32"/>
          <w:szCs w:val="32"/>
        </w:rPr>
        <w:t>June 1, 2009</w:t>
      </w: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Pr="009B3D1B" w:rsidRDefault="00EF4972" w:rsidP="009D4398">
      <w:pPr>
        <w:rPr>
          <w:sz w:val="28"/>
          <w:szCs w:val="28"/>
        </w:rPr>
      </w:pPr>
      <w:r w:rsidRPr="009B3D1B">
        <w:rPr>
          <w:sz w:val="28"/>
          <w:szCs w:val="28"/>
        </w:rPr>
        <w:t xml:space="preserve">Name: </w:t>
      </w:r>
      <w:r w:rsidRPr="009B3D1B">
        <w:rPr>
          <w:sz w:val="28"/>
          <w:szCs w:val="28"/>
        </w:rPr>
        <w:tab/>
        <w:t xml:space="preserve">  David Sharlip</w:t>
      </w:r>
      <w:r w:rsidRPr="009B3D1B">
        <w:rPr>
          <w:sz w:val="28"/>
          <w:szCs w:val="28"/>
        </w:rPr>
        <w:tab/>
      </w:r>
    </w:p>
    <w:p w:rsidR="00EF4972" w:rsidRPr="009B3D1B" w:rsidRDefault="00EF4972" w:rsidP="009D4398">
      <w:pPr>
        <w:rPr>
          <w:sz w:val="28"/>
          <w:szCs w:val="28"/>
        </w:rPr>
      </w:pPr>
      <w:r w:rsidRPr="009B3D1B">
        <w:rPr>
          <w:sz w:val="28"/>
          <w:szCs w:val="28"/>
        </w:rPr>
        <w:t xml:space="preserve">Address:  </w:t>
      </w:r>
      <w:r w:rsidRPr="009B3D1B">
        <w:rPr>
          <w:sz w:val="28"/>
          <w:szCs w:val="28"/>
        </w:rPr>
        <w:tab/>
        <w:t xml:space="preserve">  National Library of Medicine</w:t>
      </w:r>
    </w:p>
    <w:p w:rsidR="00EF4972" w:rsidRPr="009B3D1B" w:rsidRDefault="00EF4972" w:rsidP="009D4398">
      <w:pPr>
        <w:ind w:left="720" w:firstLine="720"/>
        <w:rPr>
          <w:sz w:val="28"/>
          <w:szCs w:val="28"/>
        </w:rPr>
      </w:pPr>
      <w:r w:rsidRPr="009B3D1B">
        <w:rPr>
          <w:sz w:val="28"/>
          <w:szCs w:val="28"/>
        </w:rPr>
        <w:t xml:space="preserve">  8600 Rockville Pike</w:t>
      </w:r>
    </w:p>
    <w:p w:rsidR="00EF4972" w:rsidRPr="009B3D1B" w:rsidRDefault="00EF4972" w:rsidP="009D4398">
      <w:pPr>
        <w:ind w:left="720" w:firstLine="720"/>
        <w:rPr>
          <w:sz w:val="28"/>
          <w:szCs w:val="28"/>
        </w:rPr>
      </w:pPr>
      <w:r w:rsidRPr="009B3D1B">
        <w:rPr>
          <w:sz w:val="28"/>
          <w:szCs w:val="28"/>
        </w:rPr>
        <w:t xml:space="preserve">  Bldg. 38A, Rm. B2N12</w:t>
      </w:r>
    </w:p>
    <w:p w:rsidR="00EF4972" w:rsidRPr="009B3D1B" w:rsidRDefault="00EF4972" w:rsidP="009D4398">
      <w:pPr>
        <w:ind w:left="720" w:firstLine="720"/>
        <w:rPr>
          <w:sz w:val="28"/>
          <w:szCs w:val="28"/>
        </w:rPr>
      </w:pPr>
      <w:r w:rsidRPr="009B3D1B">
        <w:rPr>
          <w:sz w:val="28"/>
          <w:szCs w:val="28"/>
        </w:rPr>
        <w:t xml:space="preserve">  </w:t>
      </w:r>
      <w:smartTag w:uri="urn:schemas-microsoft-com:office:smarttags" w:element="City">
        <w:smartTag w:uri="urn:schemas-microsoft-com:office:smarttags" w:element="place">
          <w:r w:rsidRPr="009B3D1B">
            <w:rPr>
              <w:sz w:val="28"/>
              <w:szCs w:val="28"/>
            </w:rPr>
            <w:t>Bethesda</w:t>
          </w:r>
        </w:smartTag>
        <w:r w:rsidRPr="009B3D1B">
          <w:rPr>
            <w:sz w:val="28"/>
            <w:szCs w:val="28"/>
          </w:rPr>
          <w:t xml:space="preserve">, </w:t>
        </w:r>
        <w:smartTag w:uri="urn:schemas-microsoft-com:office:smarttags" w:element="PostalCode">
          <w:smartTag w:uri="urn:schemas-microsoft-com:office:smarttags" w:element="State">
            <w:r w:rsidRPr="009B3D1B">
              <w:rPr>
                <w:sz w:val="28"/>
                <w:szCs w:val="28"/>
              </w:rPr>
              <w:t>MD</w:t>
            </w:r>
          </w:smartTag>
        </w:smartTag>
        <w:r w:rsidRPr="009B3D1B">
          <w:rPr>
            <w:sz w:val="28"/>
            <w:szCs w:val="28"/>
          </w:rPr>
          <w:t xml:space="preserve"> </w:t>
        </w:r>
        <w:smartTag w:uri="urn:schemas-microsoft-com:office:smarttags" w:element="PostalCode">
          <w:r w:rsidRPr="009B3D1B">
            <w:rPr>
              <w:sz w:val="28"/>
              <w:szCs w:val="28"/>
            </w:rPr>
            <w:t>20894-3844</w:t>
          </w:r>
        </w:smartTag>
      </w:smartTag>
    </w:p>
    <w:p w:rsidR="00EF4972" w:rsidRPr="009B3D1B" w:rsidRDefault="00EF4972" w:rsidP="009D4398">
      <w:pPr>
        <w:rPr>
          <w:sz w:val="28"/>
          <w:szCs w:val="28"/>
        </w:rPr>
      </w:pPr>
      <w:r w:rsidRPr="009B3D1B">
        <w:rPr>
          <w:sz w:val="28"/>
          <w:szCs w:val="28"/>
        </w:rPr>
        <w:t xml:space="preserve">Telephone:  </w:t>
      </w:r>
      <w:r>
        <w:rPr>
          <w:sz w:val="28"/>
          <w:szCs w:val="28"/>
        </w:rPr>
        <w:t xml:space="preserve">   </w:t>
      </w:r>
      <w:r w:rsidRPr="009B3D1B">
        <w:rPr>
          <w:sz w:val="28"/>
          <w:szCs w:val="28"/>
        </w:rPr>
        <w:t>301-402-9680</w:t>
      </w:r>
    </w:p>
    <w:p w:rsidR="00EF4972" w:rsidRPr="009B3D1B" w:rsidRDefault="00EF4972" w:rsidP="009D4398">
      <w:pPr>
        <w:rPr>
          <w:sz w:val="28"/>
          <w:szCs w:val="28"/>
        </w:rPr>
      </w:pPr>
      <w:r w:rsidRPr="009B3D1B">
        <w:rPr>
          <w:sz w:val="28"/>
          <w:szCs w:val="28"/>
        </w:rPr>
        <w:t>Fax:</w:t>
      </w:r>
      <w:r w:rsidRPr="009B3D1B">
        <w:rPr>
          <w:sz w:val="28"/>
          <w:szCs w:val="28"/>
        </w:rPr>
        <w:tab/>
      </w:r>
      <w:r w:rsidRPr="009B3D1B">
        <w:rPr>
          <w:sz w:val="28"/>
          <w:szCs w:val="28"/>
        </w:rPr>
        <w:tab/>
        <w:t xml:space="preserve">  301-402-0871</w:t>
      </w:r>
    </w:p>
    <w:p w:rsidR="00EF4972" w:rsidRPr="009B3D1B" w:rsidRDefault="00EF4972" w:rsidP="009D4398">
      <w:pPr>
        <w:rPr>
          <w:sz w:val="28"/>
          <w:szCs w:val="28"/>
        </w:rPr>
      </w:pPr>
      <w:r w:rsidRPr="009B3D1B">
        <w:rPr>
          <w:sz w:val="28"/>
          <w:szCs w:val="28"/>
        </w:rPr>
        <w:t>Email:</w:t>
      </w:r>
      <w:r w:rsidRPr="009B3D1B">
        <w:rPr>
          <w:sz w:val="28"/>
          <w:szCs w:val="28"/>
        </w:rPr>
        <w:tab/>
        <w:t xml:space="preserve">  </w:t>
      </w:r>
      <w:hyperlink r:id="rId7" w:history="1">
        <w:r w:rsidRPr="009B3D1B">
          <w:rPr>
            <w:rStyle w:val="Hyperlink"/>
            <w:sz w:val="28"/>
            <w:szCs w:val="28"/>
          </w:rPr>
          <w:t>sharlipd@nlm.nih.gov</w:t>
        </w:r>
      </w:hyperlink>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Pr="00144914" w:rsidRDefault="00EF4972" w:rsidP="00144914">
      <w:pPr>
        <w:tabs>
          <w:tab w:val="left" w:pos="3510"/>
        </w:tabs>
        <w:jc w:val="center"/>
        <w:rPr>
          <w:b/>
          <w:sz w:val="28"/>
          <w:szCs w:val="28"/>
        </w:rPr>
      </w:pPr>
      <w:bookmarkStart w:id="0" w:name="OLE_LINK3"/>
      <w:bookmarkStart w:id="1" w:name="OLE_LINK4"/>
      <w:r w:rsidRPr="00144914">
        <w:rPr>
          <w:b/>
          <w:sz w:val="28"/>
          <w:szCs w:val="28"/>
        </w:rPr>
        <w:t>Generic Clearance to Conduct Voluntary Customer/Partner Surveys (NLM)</w:t>
      </w:r>
    </w:p>
    <w:p w:rsidR="00EF4972" w:rsidRPr="00144914" w:rsidRDefault="00EF4972" w:rsidP="00144914">
      <w:pPr>
        <w:tabs>
          <w:tab w:val="left" w:pos="3510"/>
        </w:tabs>
        <w:jc w:val="center"/>
        <w:rPr>
          <w:b/>
          <w:sz w:val="28"/>
          <w:szCs w:val="28"/>
        </w:rPr>
      </w:pPr>
    </w:p>
    <w:bookmarkEnd w:id="0"/>
    <w:bookmarkEnd w:id="1"/>
    <w:p w:rsidR="00EF4972" w:rsidRPr="00B56A08" w:rsidRDefault="00EF4972" w:rsidP="009D4398">
      <w:pPr>
        <w:tabs>
          <w:tab w:val="left" w:pos="3510"/>
        </w:tabs>
        <w:jc w:val="center"/>
        <w:rPr>
          <w:b/>
          <w:sz w:val="36"/>
          <w:szCs w:val="36"/>
        </w:rPr>
      </w:pPr>
      <w:r w:rsidRPr="00B56A08">
        <w:rPr>
          <w:b/>
          <w:sz w:val="36"/>
          <w:szCs w:val="36"/>
        </w:rPr>
        <w:t>Table of contents</w:t>
      </w:r>
    </w:p>
    <w:p w:rsidR="00EF4972" w:rsidRDefault="00EF4972" w:rsidP="009D4398">
      <w:pPr>
        <w:tabs>
          <w:tab w:val="left" w:pos="3510"/>
        </w:tabs>
        <w:jc w:val="center"/>
        <w:rPr>
          <w:color w:val="C0504D"/>
          <w:sz w:val="28"/>
          <w:szCs w:val="28"/>
        </w:rPr>
      </w:pPr>
    </w:p>
    <w:p w:rsidR="00EF4972" w:rsidRPr="00015DF8" w:rsidRDefault="00EF4972" w:rsidP="009D4398">
      <w:pPr>
        <w:tabs>
          <w:tab w:val="left" w:pos="3510"/>
        </w:tabs>
        <w:jc w:val="center"/>
        <w:rPr>
          <w:color w:val="C0504D"/>
          <w:sz w:val="28"/>
          <w:szCs w:val="28"/>
        </w:rPr>
      </w:pPr>
    </w:p>
    <w:p w:rsidR="00EF4972" w:rsidRPr="005B07A6" w:rsidRDefault="00EF4972" w:rsidP="009D4398">
      <w:pPr>
        <w:pStyle w:val="TOC1"/>
      </w:pPr>
      <w:r w:rsidRPr="005B07A6">
        <w:fldChar w:fldCharType="begin"/>
      </w:r>
      <w:r w:rsidRPr="005B07A6">
        <w:instrText xml:space="preserve"> TOC \o "1-2" \u </w:instrText>
      </w:r>
      <w:r w:rsidRPr="005B07A6">
        <w:fldChar w:fldCharType="separate"/>
      </w:r>
      <w:r w:rsidRPr="005B07A6">
        <w:t>A.</w:t>
      </w:r>
      <w:r>
        <w:tab/>
      </w:r>
      <w:r w:rsidRPr="005B07A6">
        <w:t>JUSTIFICATION</w:t>
      </w:r>
      <w:r w:rsidRPr="005B07A6">
        <w:tab/>
      </w:r>
      <w:r>
        <w:t>3</w:t>
      </w:r>
    </w:p>
    <w:p w:rsidR="00EF4972" w:rsidRPr="005B04FF" w:rsidRDefault="00EF4972" w:rsidP="009D439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Pr="005B04FF">
        <w:rPr>
          <w:noProof/>
          <w:sz w:val="24"/>
          <w:szCs w:val="24"/>
        </w:rPr>
        <w:t>3</w:t>
      </w:r>
    </w:p>
    <w:p w:rsidR="00EF4972" w:rsidRPr="005B04FF" w:rsidRDefault="00EF4972" w:rsidP="009D4398">
      <w:pPr>
        <w:pStyle w:val="TOC2"/>
        <w:rPr>
          <w:noProof/>
          <w:sz w:val="24"/>
          <w:szCs w:val="24"/>
        </w:rPr>
      </w:pPr>
      <w:r w:rsidRPr="005B07A6">
        <w:rPr>
          <w:noProof/>
          <w:sz w:val="24"/>
          <w:szCs w:val="24"/>
        </w:rPr>
        <w:t>A.2.</w:t>
      </w:r>
      <w:r w:rsidRPr="005B07A6">
        <w:rPr>
          <w:noProof/>
          <w:sz w:val="24"/>
          <w:szCs w:val="24"/>
        </w:rPr>
        <w:tab/>
        <w:t xml:space="preserve">Purpose and Use of the Information </w:t>
      </w:r>
      <w:r>
        <w:rPr>
          <w:noProof/>
          <w:sz w:val="24"/>
          <w:szCs w:val="24"/>
        </w:rPr>
        <w:t>collection</w:t>
      </w:r>
      <w:r w:rsidRPr="005B07A6">
        <w:rPr>
          <w:noProof/>
          <w:sz w:val="24"/>
          <w:szCs w:val="24"/>
        </w:rPr>
        <w:tab/>
      </w:r>
      <w:r w:rsidRPr="005B04FF">
        <w:rPr>
          <w:noProof/>
          <w:sz w:val="24"/>
          <w:szCs w:val="24"/>
        </w:rPr>
        <w:t>4</w:t>
      </w:r>
    </w:p>
    <w:p w:rsidR="00EF4972" w:rsidRPr="005B07A6" w:rsidRDefault="00EF4972" w:rsidP="009D439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Pr>
          <w:noProof/>
          <w:sz w:val="24"/>
          <w:szCs w:val="24"/>
        </w:rPr>
        <w:t>6</w:t>
      </w:r>
    </w:p>
    <w:p w:rsidR="00EF4972" w:rsidRPr="005B07A6" w:rsidRDefault="00EF4972" w:rsidP="009D439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Pr="005B04FF">
        <w:rPr>
          <w:noProof/>
          <w:sz w:val="24"/>
          <w:szCs w:val="24"/>
        </w:rPr>
        <w:t>7</w:t>
      </w:r>
    </w:p>
    <w:p w:rsidR="00EF4972" w:rsidRPr="005B04FF" w:rsidRDefault="00EF4972" w:rsidP="009D439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Pr="005B04FF">
        <w:rPr>
          <w:noProof/>
          <w:sz w:val="24"/>
          <w:szCs w:val="24"/>
        </w:rPr>
        <w:t>7</w:t>
      </w:r>
    </w:p>
    <w:p w:rsidR="00EF4972" w:rsidRPr="005B07A6" w:rsidRDefault="00EF4972" w:rsidP="009D439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Pr="005B04FF">
        <w:rPr>
          <w:noProof/>
          <w:sz w:val="24"/>
          <w:szCs w:val="24"/>
        </w:rPr>
        <w:t>7</w:t>
      </w:r>
    </w:p>
    <w:p w:rsidR="00EF4972" w:rsidRPr="005B04FF" w:rsidRDefault="00EF4972" w:rsidP="009D439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Pr="005B04FF">
        <w:rPr>
          <w:noProof/>
          <w:sz w:val="24"/>
          <w:szCs w:val="24"/>
        </w:rPr>
        <w:t>7</w:t>
      </w:r>
    </w:p>
    <w:p w:rsidR="00EF4972" w:rsidRPr="005B04FF" w:rsidRDefault="00EF4972" w:rsidP="009D4398">
      <w:pPr>
        <w:pStyle w:val="TOC2"/>
        <w:rPr>
          <w:noProof/>
          <w:sz w:val="24"/>
          <w:szCs w:val="24"/>
        </w:rPr>
      </w:pPr>
      <w:r w:rsidRPr="005B07A6">
        <w:rPr>
          <w:noProof/>
          <w:sz w:val="24"/>
          <w:szCs w:val="24"/>
        </w:rPr>
        <w:t>A.8</w:t>
      </w:r>
      <w:r w:rsidRPr="005B07A6">
        <w:rPr>
          <w:noProof/>
          <w:sz w:val="24"/>
          <w:szCs w:val="24"/>
        </w:rPr>
        <w:tab/>
        <w:t xml:space="preserve">Comments in Response to the Federal Register Notice and Efforts to Consult </w:t>
      </w:r>
      <w:r w:rsidRPr="00C966D2">
        <w:rPr>
          <w:noProof/>
          <w:sz w:val="24"/>
          <w:szCs w:val="24"/>
        </w:rPr>
        <w:t>Outside Agency</w:t>
      </w:r>
      <w:r w:rsidRPr="00C966D2">
        <w:rPr>
          <w:noProof/>
          <w:sz w:val="24"/>
          <w:szCs w:val="24"/>
        </w:rPr>
        <w:tab/>
      </w:r>
      <w:r w:rsidRPr="005B04FF">
        <w:rPr>
          <w:noProof/>
          <w:sz w:val="24"/>
          <w:szCs w:val="24"/>
        </w:rPr>
        <w:t>7</w:t>
      </w:r>
    </w:p>
    <w:p w:rsidR="00EF4972" w:rsidRPr="005B04FF" w:rsidRDefault="00EF4972" w:rsidP="009D439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Pr="005B04FF">
        <w:rPr>
          <w:noProof/>
          <w:sz w:val="24"/>
          <w:szCs w:val="24"/>
        </w:rPr>
        <w:t>8</w:t>
      </w:r>
    </w:p>
    <w:p w:rsidR="00EF4972" w:rsidRPr="005B07A6" w:rsidRDefault="00EF4972" w:rsidP="009D439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Pr="005B04FF">
        <w:rPr>
          <w:noProof/>
          <w:sz w:val="24"/>
          <w:szCs w:val="24"/>
        </w:rPr>
        <w:t>8</w:t>
      </w:r>
    </w:p>
    <w:p w:rsidR="00EF4972" w:rsidRPr="005B07A6" w:rsidRDefault="00EF4972" w:rsidP="009D439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Pr="005B04FF">
        <w:rPr>
          <w:noProof/>
          <w:sz w:val="24"/>
          <w:szCs w:val="24"/>
        </w:rPr>
        <w:t>8</w:t>
      </w:r>
    </w:p>
    <w:p w:rsidR="00EF4972" w:rsidRPr="005B04FF" w:rsidRDefault="00EF4972" w:rsidP="009D439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Pr="005B04FF">
        <w:rPr>
          <w:noProof/>
          <w:sz w:val="24"/>
          <w:szCs w:val="24"/>
        </w:rPr>
        <w:t>8</w:t>
      </w:r>
    </w:p>
    <w:p w:rsidR="00EF4972" w:rsidRPr="005B07A6" w:rsidRDefault="00EF4972" w:rsidP="009D439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EF4972" w:rsidRPr="005B07A6" w:rsidRDefault="00EF4972" w:rsidP="009D4398">
      <w:pPr>
        <w:pStyle w:val="TOC2"/>
        <w:rPr>
          <w:noProof/>
          <w:sz w:val="24"/>
          <w:szCs w:val="24"/>
        </w:rPr>
      </w:pPr>
      <w:r w:rsidRPr="005B07A6">
        <w:rPr>
          <w:noProof/>
          <w:sz w:val="24"/>
          <w:szCs w:val="24"/>
        </w:rPr>
        <w:tab/>
        <w:t xml:space="preserve"> keepers</w:t>
      </w:r>
      <w:r w:rsidRPr="005B07A6">
        <w:rPr>
          <w:noProof/>
          <w:sz w:val="24"/>
          <w:szCs w:val="24"/>
        </w:rPr>
        <w:tab/>
      </w:r>
      <w:r w:rsidRPr="005B04FF">
        <w:rPr>
          <w:noProof/>
          <w:sz w:val="24"/>
          <w:szCs w:val="24"/>
        </w:rPr>
        <w:t>9</w:t>
      </w:r>
    </w:p>
    <w:p w:rsidR="00EF4972" w:rsidRPr="005B07A6" w:rsidRDefault="00EF4972" w:rsidP="009D439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sidRPr="005B04FF">
        <w:rPr>
          <w:noProof/>
          <w:sz w:val="24"/>
          <w:szCs w:val="24"/>
        </w:rPr>
        <w:t>9</w:t>
      </w:r>
    </w:p>
    <w:p w:rsidR="00EF4972" w:rsidRPr="005B07A6" w:rsidRDefault="00EF4972" w:rsidP="009D439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sidRPr="005B04FF">
        <w:rPr>
          <w:noProof/>
          <w:sz w:val="24"/>
          <w:szCs w:val="24"/>
        </w:rPr>
        <w:t>9</w:t>
      </w:r>
    </w:p>
    <w:p w:rsidR="00EF4972" w:rsidRPr="005B07A6" w:rsidRDefault="00EF4972" w:rsidP="009D439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Pr>
          <w:noProof/>
          <w:sz w:val="24"/>
          <w:szCs w:val="24"/>
        </w:rPr>
        <w:t>10</w:t>
      </w:r>
    </w:p>
    <w:p w:rsidR="00EF4972" w:rsidRPr="005B07A6" w:rsidRDefault="00EF4972" w:rsidP="009D439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sidRPr="005B04FF">
        <w:rPr>
          <w:noProof/>
          <w:sz w:val="24"/>
          <w:szCs w:val="24"/>
        </w:rPr>
        <w:t>10</w:t>
      </w:r>
    </w:p>
    <w:p w:rsidR="00EF4972" w:rsidRPr="005B04FF" w:rsidRDefault="00EF4972" w:rsidP="009D439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sidRPr="005B04FF">
        <w:rPr>
          <w:noProof/>
          <w:sz w:val="24"/>
          <w:szCs w:val="24"/>
        </w:rPr>
        <w:t>10</w:t>
      </w:r>
    </w:p>
    <w:p w:rsidR="00EF4972" w:rsidRDefault="00EF4972" w:rsidP="009D4398">
      <w:pPr>
        <w:rPr>
          <w:caps/>
          <w:noProof/>
        </w:rPr>
      </w:pPr>
      <w:r w:rsidRPr="005B07A6">
        <w:fldChar w:fldCharType="end"/>
      </w:r>
    </w:p>
    <w:p w:rsidR="00EF4972" w:rsidRPr="00895EDA" w:rsidRDefault="00EF4972" w:rsidP="009D4398">
      <w:pPr>
        <w:rPr>
          <w:b/>
          <w:caps/>
          <w:noProof/>
        </w:rPr>
      </w:pPr>
      <w:r w:rsidRPr="00FF3269">
        <w:rPr>
          <w:b/>
          <w:caps/>
          <w:noProof/>
        </w:rPr>
        <w:t>List of Attachments</w:t>
      </w:r>
      <w:r w:rsidRPr="00895EDA">
        <w:rPr>
          <w:b/>
          <w:caps/>
          <w:noProof/>
        </w:rPr>
        <w:t xml:space="preserve">: </w:t>
      </w:r>
    </w:p>
    <w:p w:rsidR="00EF4972" w:rsidRDefault="00EF4972" w:rsidP="009D4398">
      <w:pPr>
        <w:rPr>
          <w:caps/>
          <w:noProof/>
          <w:sz w:val="28"/>
        </w:rPr>
      </w:pPr>
    </w:p>
    <w:p w:rsidR="00EF4972" w:rsidRDefault="00EF4972" w:rsidP="009D4398">
      <w:r w:rsidRPr="00601521">
        <w:t xml:space="preserve">Attachment </w:t>
      </w:r>
      <w:r>
        <w:t>1</w:t>
      </w:r>
      <w:r w:rsidRPr="00601521">
        <w:t xml:space="preserve"> -   </w:t>
      </w:r>
      <w:r>
        <w:t xml:space="preserve">Example of previously approved NLM Customer/Partner Surveys Request </w:t>
      </w:r>
    </w:p>
    <w:p w:rsidR="00EF4972" w:rsidRDefault="00EF4972" w:rsidP="009D4398">
      <w:r>
        <w:t>Attachment 2 -   Example of previously approved NLM Survey Instrument</w:t>
      </w:r>
    </w:p>
    <w:p w:rsidR="00EF4972" w:rsidRDefault="00EF4972" w:rsidP="009D4398">
      <w:r>
        <w:t xml:space="preserve">Attachment 3 -   Proposed NLM Customer/Partner Surveys </w:t>
      </w:r>
    </w:p>
    <w:p w:rsidR="00EF4972" w:rsidRDefault="00EF4972" w:rsidP="009D4398"/>
    <w:p w:rsidR="00EF4972" w:rsidRDefault="00EF4972" w:rsidP="009D4398"/>
    <w:p w:rsidR="00EF4972" w:rsidRDefault="00EF4972" w:rsidP="009D4398"/>
    <w:p w:rsidR="00EF4972" w:rsidRPr="00144914" w:rsidRDefault="00EF4972" w:rsidP="00144914">
      <w:pPr>
        <w:tabs>
          <w:tab w:val="left" w:pos="3510"/>
        </w:tabs>
        <w:jc w:val="center"/>
        <w:rPr>
          <w:b/>
          <w:sz w:val="28"/>
          <w:szCs w:val="28"/>
        </w:rPr>
      </w:pPr>
      <w:r w:rsidRPr="00144914">
        <w:rPr>
          <w:b/>
          <w:sz w:val="28"/>
          <w:szCs w:val="28"/>
        </w:rPr>
        <w:t>Generic Clearance to Conduct Voluntary Customer/Partner Surveys (NLM)</w:t>
      </w:r>
    </w:p>
    <w:p w:rsidR="00EF4972" w:rsidRPr="00144914" w:rsidRDefault="00EF4972" w:rsidP="00144914">
      <w:pPr>
        <w:tabs>
          <w:tab w:val="left" w:pos="3510"/>
        </w:tabs>
        <w:jc w:val="center"/>
        <w:rPr>
          <w:b/>
          <w:sz w:val="28"/>
          <w:szCs w:val="28"/>
        </w:rPr>
      </w:pPr>
    </w:p>
    <w:p w:rsidR="00EF4972" w:rsidRDefault="00EF4972" w:rsidP="00275ECF">
      <w:pPr>
        <w:spacing w:after="240"/>
        <w:rPr>
          <w:rStyle w:val="Strong"/>
        </w:rPr>
      </w:pPr>
    </w:p>
    <w:p w:rsidR="00EF4972" w:rsidRPr="00973C55" w:rsidRDefault="00EF4972" w:rsidP="00275ECF">
      <w:pPr>
        <w:spacing w:after="240"/>
        <w:rPr>
          <w:b/>
        </w:rPr>
      </w:pPr>
      <w:r w:rsidRPr="009170C5">
        <w:rPr>
          <w:b/>
        </w:rPr>
        <w:t xml:space="preserve">A. </w:t>
      </w:r>
      <w:r w:rsidRPr="009170C5">
        <w:rPr>
          <w:b/>
        </w:rPr>
        <w:tab/>
      </w:r>
      <w:r>
        <w:rPr>
          <w:b/>
        </w:rPr>
        <w:t>JUSTIFICATION</w:t>
      </w:r>
    </w:p>
    <w:p w:rsidR="00EF4972" w:rsidRDefault="00EF4972" w:rsidP="00973C55">
      <w:pPr>
        <w:spacing w:after="240"/>
        <w:ind w:firstLine="720"/>
      </w:pPr>
      <w:r>
        <w:br/>
      </w:r>
      <w:r>
        <w:rPr>
          <w:rStyle w:val="Strong"/>
        </w:rPr>
        <w:t>A.1</w:t>
      </w:r>
      <w:r>
        <w:rPr>
          <w:rStyle w:val="Strong"/>
        </w:rPr>
        <w:tab/>
        <w:t>Circumstances Making the Collection of Information Necessary</w:t>
      </w:r>
    </w:p>
    <w:p w:rsidR="00EF4972" w:rsidRDefault="00EF4972" w:rsidP="00973C55">
      <w:pPr>
        <w:pStyle w:val="NormalWeb"/>
        <w:ind w:left="720"/>
      </w:pPr>
      <w:r>
        <w:t xml:space="preserve">This is a request that the Office of Management and Budget (OMB) approve, under the Paperwork Reduction Act, </w:t>
      </w:r>
      <w:r w:rsidRPr="00D229E8">
        <w:t xml:space="preserve">an extension of generic clearance </w:t>
      </w:r>
      <w:r w:rsidRPr="005B4106">
        <w:rPr>
          <w:b/>
        </w:rPr>
        <w:t>OMB 0925-0476</w:t>
      </w:r>
      <w:r>
        <w:t xml:space="preserve"> for the National Library of Medicine (NLM) to conduct a number of customer satisfaction surveys to implement Executive Order 12862.  This order directs federal agencies that provide significant services directly to the public to survey customers to determine the kind and quality of services they want and their level of satisfaction with existing services.  The order also requires future surveys to continually assess the level of customer satisfaction.  </w:t>
      </w:r>
      <w:r w:rsidRPr="00D229E8">
        <w:t>The current OMB authorization to conduct surveys approved under this generic clearance will expire on July 31, 2009.</w:t>
      </w:r>
      <w:r>
        <w:t xml:space="preserve">    </w:t>
      </w:r>
    </w:p>
    <w:p w:rsidR="00EF4972" w:rsidRDefault="00EF4972" w:rsidP="00973C55">
      <w:pPr>
        <w:pStyle w:val="NormalWeb"/>
        <w:ind w:left="720"/>
      </w:pPr>
      <w:r>
        <w:t>In addition to the Executive Order, the NLM is legislatively mandated by 42 USC 286 to assist the advancement of medical and related sciences and to aid the dissemination and exchange of scientific and other information important to the progress of medicine and to the public health</w:t>
      </w:r>
      <w:r w:rsidRPr="007E458F">
        <w:t>.</w:t>
      </w:r>
      <w:r>
        <w:t xml:space="preserve">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rsidR="00EF4972" w:rsidRDefault="00EF4972" w:rsidP="00973C55">
      <w:pPr>
        <w:pStyle w:val="NormalWeb"/>
        <w:ind w:left="720"/>
      </w:pPr>
      <w:r>
        <w:t xml:space="preserve">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 minority groups, 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 </w:t>
      </w:r>
    </w:p>
    <w:p w:rsidR="00EF4972" w:rsidRDefault="00EF4972" w:rsidP="00973C55">
      <w:pPr>
        <w:pStyle w:val="NormalWeb"/>
        <w:ind w:left="720"/>
      </w:pPr>
      <w:r>
        <w:t xml:space="preserve">NLM has become an international leader in health informatics research and development, especially in consumer health informatics. As a result, NLM needs to remain contemporary in consumer health informatics research by utilizing research methods that yield a better understanding of the predictors of consumer satisfaction. Without ongoing insights into the predictors of consumer satisfaction, NLM will lack the research findings to make evidence-based changes in the content, design and editorial management of its consumer Web sites and will not optimally serve the public. </w:t>
      </w:r>
    </w:p>
    <w:p w:rsidR="00EF4972" w:rsidRDefault="00EF4972" w:rsidP="00973C55">
      <w:pPr>
        <w:pStyle w:val="NormalWeb"/>
        <w:ind w:left="720"/>
      </w:pPr>
      <w:bookmarkStart w:id="2" w:name="OLE_LINK1"/>
      <w:bookmarkStart w:id="3" w:name="OLE_LINK2"/>
      <w:r>
        <w:t>One of the most effective means of determining if NLM is providing satisfactory services to its customers or partners is through periodic voluntary satisfaction surveys that can be activated quickly.  Getting customer/partner input has and will continue to facilitate resource allocation.  </w:t>
      </w:r>
    </w:p>
    <w:p w:rsidR="00EF4972" w:rsidRDefault="00EF4972" w:rsidP="00E160DA">
      <w:pPr>
        <w:ind w:left="720"/>
      </w:pPr>
      <w:r w:rsidRPr="00462815">
        <w:t>Th</w:t>
      </w:r>
      <w:r>
        <w:t>e requested extension of this</w:t>
      </w:r>
      <w:r w:rsidRPr="00462815">
        <w:t xml:space="preserve"> information collection was </w:t>
      </w:r>
      <w:r>
        <w:t>published</w:t>
      </w:r>
      <w:r w:rsidRPr="00462815">
        <w:t xml:space="preserve"> in the </w:t>
      </w:r>
      <w:r w:rsidRPr="00E61805">
        <w:t>Federal Register</w:t>
      </w:r>
      <w:r w:rsidRPr="00462815">
        <w:t xml:space="preserve"> on </w:t>
      </w:r>
      <w:r>
        <w:t xml:space="preserve">March 30, 2009 </w:t>
      </w:r>
      <w:r w:rsidRPr="00462815">
        <w:t>(</w:t>
      </w:r>
      <w:r>
        <w:t>Vol. 74, No. 59, p. 14137)</w:t>
      </w:r>
      <w:r w:rsidRPr="00462815">
        <w:t xml:space="preserve"> and allowed 60</w:t>
      </w:r>
      <w:r>
        <w:t xml:space="preserve"> </w:t>
      </w:r>
      <w:r w:rsidRPr="00462815">
        <w:t xml:space="preserve">days for public comment.  </w:t>
      </w:r>
      <w:r w:rsidRPr="00A802C3">
        <w:t>One public comment was received</w:t>
      </w:r>
      <w:r>
        <w:t xml:space="preserve"> which was non-substantive</w:t>
      </w:r>
      <w:r w:rsidRPr="00A802C3">
        <w:t>.</w:t>
      </w:r>
      <w:r w:rsidRPr="00462815">
        <w:t xml:space="preserve"> </w:t>
      </w:r>
    </w:p>
    <w:bookmarkEnd w:id="2"/>
    <w:bookmarkEnd w:id="3"/>
    <w:p w:rsidR="00EF4972" w:rsidRPr="00E929F0" w:rsidRDefault="00EF4972" w:rsidP="00E929F0">
      <w:pPr>
        <w:spacing w:after="240"/>
        <w:rPr>
          <w:b/>
          <w:bCs/>
        </w:rPr>
      </w:pPr>
      <w:r>
        <w:br/>
      </w:r>
      <w:r>
        <w:rPr>
          <w:rStyle w:val="Strong"/>
        </w:rPr>
        <w:t>A.2</w:t>
      </w:r>
      <w:r>
        <w:rPr>
          <w:rStyle w:val="Strong"/>
        </w:rPr>
        <w:tab/>
      </w:r>
      <w:r w:rsidRPr="00E929F0">
        <w:rPr>
          <w:b/>
          <w:bCs/>
        </w:rPr>
        <w:t>Purpose and Use of the Information Collection</w:t>
      </w:r>
    </w:p>
    <w:p w:rsidR="00EF4972" w:rsidRDefault="00EF4972" w:rsidP="00496555">
      <w:pPr>
        <w:pStyle w:val="NormalWeb"/>
        <w:ind w:left="720"/>
      </w:pPr>
      <w:r>
        <w:t>NLM will collect and use information gathered through these surveys to identify strengths and weaknesses in current service provisions and to make improvements that are practical and feasible.  Information from the customer and/or partner surveys will be used to plan and direct resources and efforts to improve or maintain NLM's high quality of service to affected public.  To assess the needs of rurally situated health care providers, NLM needs to conduct periodic surveys to ensure that these providers have the ability to access the wealth of information in the Library's many databases and programs.  If this information is not collected, vital feedback, regarding customer and/or partner satisfaction with various aspects of NLM's services will be unavailable.</w:t>
      </w:r>
    </w:p>
    <w:p w:rsidR="00EF4972" w:rsidRDefault="00EF4972" w:rsidP="00496555">
      <w:pPr>
        <w:pStyle w:val="NormalWeb"/>
        <w:ind w:left="720"/>
      </w:pPr>
      <w:r>
        <w:t xml:space="preserve">Without ongoing insights into the predictors of consumer satisfaction, NLM will lack the research findings to make evidence-based changes in the content, design and editorial management of its consumer Web sites and cannot optimally serve the public. Some of the predictors of consumer satisfaction identified within the current literature include content quality, usability and design; consumer health information seeking habits on the Internet; prior online experience and health knowledge; as well as demographic information. In recent years, the literature has emphasized that assessments of broad consumer attitudes about health, wellness and motivational inclinations are as important to predict consumer satisfaction of consumer informatics websites as more traditional demographic variables such as gender, education level, age and geographic location. </w:t>
      </w:r>
    </w:p>
    <w:p w:rsidR="00EF4972" w:rsidRDefault="00EF4972" w:rsidP="00496555">
      <w:pPr>
        <w:pStyle w:val="NormalWeb"/>
        <w:ind w:left="720"/>
      </w:pPr>
      <w:r>
        <w:t>To explore consumer attitudes as predictors of consumer satisfaction, NLM may employ some social science methods that are widely advocated within the health communication, mass communication and consumer health informatics research literature. These methods may include occasionally asking respondents to sort through opinion statements with which they agree or disagree and then, specify what opinion statements they agree or disagree with the most.  NLM will use a second level discrimination in surveys where the selected sample is derived from experienced computer users.  The discrimination approach to measure attitudes is most simplified by web-based software, therefore NLM will use this approach for online or computer work station-based consumer satisfaction surveys. The use of this approach provides better insights into the attitudes that predict consumer satisfaction of health information Web sites, which keeps NLM at the forefront of consumer health informatics research and development.</w:t>
      </w:r>
    </w:p>
    <w:p w:rsidR="00EF4972" w:rsidRPr="00F84977" w:rsidRDefault="00EF4972" w:rsidP="004B08D3">
      <w:pPr>
        <w:autoSpaceDE w:val="0"/>
        <w:autoSpaceDN w:val="0"/>
        <w:adjustRightInd w:val="0"/>
        <w:ind w:left="720"/>
      </w:pPr>
      <w:r w:rsidRPr="00F84977">
        <w:t>One example</w:t>
      </w:r>
      <w:r w:rsidRPr="00F84977">
        <w:rPr>
          <w:b/>
        </w:rPr>
        <w:t xml:space="preserve"> </w:t>
      </w:r>
      <w:r w:rsidRPr="00B717DB">
        <w:t>of</w:t>
      </w:r>
      <w:r w:rsidRPr="00F84977">
        <w:t xml:space="preserve"> how NLM staff used feedback from customers and partners to improve online services involved an online survey of ClinicalTrials.gov users conducted between October 20 and November 13, 2006.  A link to the survey was posted on the homepage and other key locations so that visitors could click on it if they wanted to participate. Analysis of 1,234 completed surveys provided a preliminary view of key stakeholders and their needs. </w:t>
      </w:r>
    </w:p>
    <w:p w:rsidR="00EF4972" w:rsidRPr="00F84977" w:rsidRDefault="00EF4972" w:rsidP="004B08D3">
      <w:pPr>
        <w:autoSpaceDE w:val="0"/>
        <w:autoSpaceDN w:val="0"/>
        <w:adjustRightInd w:val="0"/>
        <w:ind w:left="720"/>
      </w:pPr>
    </w:p>
    <w:p w:rsidR="00EF4972" w:rsidRPr="00F84977" w:rsidRDefault="00EF4972" w:rsidP="004B08D3">
      <w:pPr>
        <w:autoSpaceDE w:val="0"/>
        <w:autoSpaceDN w:val="0"/>
        <w:adjustRightInd w:val="0"/>
        <w:ind w:left="720"/>
      </w:pPr>
      <w:r w:rsidRPr="00F84977">
        <w:t>Overall, the survey provided a useful snapshot on who was using ClinicalTrials.gov, how often, why, and for what reason. As a result, the ClinicalTrials.gov user interface was updated in 2007, based in part on these findings, to address user needs more effectively. Further, these survey results were used to plan a usability and accessibility study of ClinicalTrials.gov, which was funded through an NIH Evaluation Express Award and completed in early 2008.</w:t>
      </w:r>
    </w:p>
    <w:p w:rsidR="00EF4972" w:rsidRPr="00794251" w:rsidRDefault="00EF4972" w:rsidP="004B08D3">
      <w:pPr>
        <w:pStyle w:val="NormalWeb"/>
        <w:ind w:left="720"/>
      </w:pPr>
      <w:r w:rsidRPr="00794251">
        <w:t>An example of an approved generic survey conducted under the current clearance is provided (</w:t>
      </w:r>
      <w:r>
        <w:t xml:space="preserve">see </w:t>
      </w:r>
      <w:r w:rsidRPr="000A0AAF">
        <w:rPr>
          <w:b/>
        </w:rPr>
        <w:t xml:space="preserve">Attachment </w:t>
      </w:r>
      <w:r>
        <w:rPr>
          <w:b/>
        </w:rPr>
        <w:t>1</w:t>
      </w:r>
      <w:r w:rsidRPr="000A0AAF">
        <w:t>)</w:t>
      </w:r>
      <w:r w:rsidRPr="007E458F">
        <w:t xml:space="preserve"> </w:t>
      </w:r>
      <w:r w:rsidRPr="00794251">
        <w:t xml:space="preserve">as well as a sample survey instrument </w:t>
      </w:r>
      <w:r w:rsidRPr="007E458F">
        <w:rPr>
          <w:b/>
        </w:rPr>
        <w:t xml:space="preserve">(see </w:t>
      </w:r>
      <w:r w:rsidRPr="000A0AAF">
        <w:rPr>
          <w:b/>
        </w:rPr>
        <w:t xml:space="preserve">Attachment </w:t>
      </w:r>
      <w:r>
        <w:rPr>
          <w:b/>
        </w:rPr>
        <w:t>2</w:t>
      </w:r>
      <w:r w:rsidRPr="00A04F19">
        <w:t>). </w:t>
      </w:r>
      <w:r w:rsidRPr="00794251">
        <w:t xml:space="preserve"> </w:t>
      </w:r>
    </w:p>
    <w:p w:rsidR="00EF4972" w:rsidRDefault="00EF4972" w:rsidP="004B08D3">
      <w:pPr>
        <w:pStyle w:val="NormalWeb"/>
        <w:ind w:left="720"/>
      </w:pPr>
      <w:r w:rsidRPr="00794251">
        <w:t xml:space="preserve">NLM has identified </w:t>
      </w:r>
      <w:r>
        <w:t xml:space="preserve">the </w:t>
      </w:r>
      <w:r w:rsidRPr="00794251">
        <w:t xml:space="preserve">potential customer and partner satisfaction surveys </w:t>
      </w:r>
      <w:r w:rsidRPr="000A0AAF">
        <w:t xml:space="preserve">(see </w:t>
      </w:r>
      <w:r w:rsidRPr="000A0AAF">
        <w:rPr>
          <w:b/>
        </w:rPr>
        <w:t xml:space="preserve">Attachment </w:t>
      </w:r>
      <w:r>
        <w:rPr>
          <w:b/>
        </w:rPr>
        <w:t>3</w:t>
      </w:r>
      <w:r w:rsidRPr="000A0AAF">
        <w:rPr>
          <w:b/>
        </w:rPr>
        <w:t>)</w:t>
      </w:r>
      <w:r>
        <w:rPr>
          <w:b/>
        </w:rPr>
        <w:t xml:space="preserve"> </w:t>
      </w:r>
      <w:r w:rsidRPr="00794251">
        <w:t xml:space="preserve">for which it is requesting OMB approval to conduct under the extension of this generic clearance. </w:t>
      </w:r>
      <w:r>
        <w:t xml:space="preserve">According to OMB guidelines for generic clearances for voluntary customer/partner satisfaction surveys, the NLM will establish an independent review process to assure the development and implementation of high quality customer/partner surveys within the NLM.  It is understood that if OMB approves this request for extension of generic clearance, individual survey instruments must be submitted to OMB prior to actual use. </w:t>
      </w:r>
    </w:p>
    <w:p w:rsidR="00EF4972" w:rsidRPr="00CC22B4" w:rsidRDefault="00EF4972" w:rsidP="00496555">
      <w:pPr>
        <w:pStyle w:val="NormalWeb"/>
        <w:ind w:left="720"/>
      </w:pPr>
      <w:r w:rsidRPr="00CC22B4">
        <w:t xml:space="preserve">Following is a synopsis of some of the </w:t>
      </w:r>
      <w:r>
        <w:t xml:space="preserve">current and proposed </w:t>
      </w:r>
      <w:r w:rsidRPr="00CC22B4">
        <w:t>information collections NLM will conduct once OMB approval is granted authorizing the next 3-year clearance extension</w:t>
      </w:r>
      <w:r>
        <w:t>.</w:t>
      </w:r>
      <w:r w:rsidRPr="00CC22B4">
        <w:t xml:space="preserve"> </w:t>
      </w:r>
    </w:p>
    <w:p w:rsidR="00EF4972" w:rsidRPr="00CC22B4" w:rsidRDefault="00EF4972" w:rsidP="00804843">
      <w:pPr>
        <w:pStyle w:val="PlainText"/>
        <w:rPr>
          <w:rFonts w:ascii="Times New Roman" w:hAnsi="Times New Roman"/>
          <w:sz w:val="24"/>
          <w:szCs w:val="24"/>
          <w:u w:val="single"/>
        </w:rPr>
      </w:pPr>
      <w:r w:rsidRPr="00CC22B4">
        <w:rPr>
          <w:rFonts w:ascii="Times New Roman" w:hAnsi="Times New Roman"/>
          <w:sz w:val="24"/>
          <w:szCs w:val="24"/>
        </w:rPr>
        <w:tab/>
      </w:r>
      <w:r w:rsidRPr="00CC22B4">
        <w:rPr>
          <w:rFonts w:ascii="Times New Roman" w:hAnsi="Times New Roman"/>
          <w:sz w:val="24"/>
          <w:szCs w:val="24"/>
          <w:u w:val="single"/>
        </w:rPr>
        <w:t>Public Health Record (PHR) Survey</w:t>
      </w:r>
    </w:p>
    <w:p w:rsidR="00EF4972" w:rsidRPr="00CC22B4" w:rsidRDefault="00EF4972" w:rsidP="00804843">
      <w:pPr>
        <w:pStyle w:val="PlainText"/>
        <w:rPr>
          <w:rFonts w:ascii="Times New Roman" w:hAnsi="Times New Roman"/>
          <w:sz w:val="24"/>
          <w:szCs w:val="24"/>
        </w:rPr>
      </w:pPr>
    </w:p>
    <w:p w:rsidR="00EF4972" w:rsidRPr="00CC22B4" w:rsidRDefault="00EF4972" w:rsidP="00804843">
      <w:pPr>
        <w:pStyle w:val="PlainText"/>
        <w:ind w:left="720"/>
        <w:rPr>
          <w:rFonts w:ascii="Times New Roman" w:hAnsi="Times New Roman"/>
          <w:sz w:val="24"/>
          <w:szCs w:val="24"/>
        </w:rPr>
      </w:pPr>
      <w:r w:rsidRPr="00CC22B4">
        <w:rPr>
          <w:rFonts w:ascii="Times New Roman" w:hAnsi="Times New Roman"/>
          <w:sz w:val="24"/>
          <w:szCs w:val="24"/>
        </w:rPr>
        <w:t xml:space="preserve">NLM will deploy to production a Personal Health Record (PHR) application </w:t>
      </w:r>
      <w:r>
        <w:rPr>
          <w:rFonts w:ascii="Times New Roman" w:hAnsi="Times New Roman"/>
          <w:sz w:val="24"/>
          <w:szCs w:val="24"/>
        </w:rPr>
        <w:t>in</w:t>
      </w:r>
      <w:r w:rsidRPr="00CC22B4">
        <w:rPr>
          <w:rFonts w:ascii="Times New Roman" w:hAnsi="Times New Roman"/>
          <w:sz w:val="24"/>
          <w:szCs w:val="24"/>
        </w:rPr>
        <w:t xml:space="preserve"> spring 2009.  The NLM PHR is intended for users of varying ages and education levels who need a way to keep important information about their health records or those of their loved ones in one place readily accessible to them.  This will include information such as medical history, allergies, vaccinations, major surgeries, current medications, and health care appointments.  One of our most effective means of determining whether we are providing satisfactory services to our users is the ability to survey them to determine demographics, satisfaction levels, feedback on problem areas, and suggestions for improvements.  Users will be asked at random to respond to a brief set of questions.  Each survey will be designed so the individual responses will take no more than 5-6 minutes.</w:t>
      </w:r>
    </w:p>
    <w:p w:rsidR="00EF4972" w:rsidRPr="00CC22B4" w:rsidRDefault="00EF4972" w:rsidP="00804843">
      <w:pPr>
        <w:ind w:firstLine="720"/>
        <w:rPr>
          <w:u w:val="single"/>
        </w:rPr>
      </w:pPr>
      <w:r w:rsidRPr="00CC22B4">
        <w:rPr>
          <w:u w:val="single"/>
        </w:rPr>
        <w:t>NLM Gateway Survey</w:t>
      </w:r>
    </w:p>
    <w:p w:rsidR="00EF4972" w:rsidRPr="00CC22B4" w:rsidRDefault="00EF4972" w:rsidP="00804843">
      <w:pPr>
        <w:ind w:firstLine="720"/>
        <w:rPr>
          <w:b/>
          <w:u w:val="single"/>
        </w:rPr>
      </w:pPr>
    </w:p>
    <w:p w:rsidR="00EF4972" w:rsidRPr="00CC22B4" w:rsidRDefault="00EF4972" w:rsidP="00804843">
      <w:pPr>
        <w:pStyle w:val="PlainText"/>
        <w:ind w:left="720"/>
        <w:rPr>
          <w:rFonts w:ascii="Times New Roman" w:hAnsi="Times New Roman"/>
          <w:sz w:val="24"/>
          <w:szCs w:val="24"/>
        </w:rPr>
      </w:pPr>
      <w:r w:rsidRPr="00CC22B4">
        <w:rPr>
          <w:rFonts w:ascii="Times New Roman" w:hAnsi="Times New Roman"/>
          <w:sz w:val="24"/>
          <w:szCs w:val="24"/>
        </w:rPr>
        <w:t>The NLM Gateway is used by scores of thousands of people doing more than 150,000 searches each month.  We have had excellent results from recent surveys that helped guide a user-focused redesign of important areas of the system.  We now propose further voluntary user surveys at about the rate of one per year, to help us understand any shifts in demographics or changes in user needs and wishes.  Each survey would ask 250 users a small number of questions, with a response burden of 5-6 minutes per user who agreed to respond to the survey.</w:t>
      </w:r>
    </w:p>
    <w:p w:rsidR="00EF4972" w:rsidRPr="00CC22B4" w:rsidRDefault="00EF4972" w:rsidP="00804843">
      <w:pPr>
        <w:ind w:left="720"/>
      </w:pPr>
    </w:p>
    <w:p w:rsidR="00EF4972" w:rsidRPr="00CC22B4" w:rsidRDefault="00EF4972" w:rsidP="00804843">
      <w:pPr>
        <w:pStyle w:val="PlainText"/>
        <w:ind w:left="720"/>
        <w:rPr>
          <w:rFonts w:ascii="Times New Roman" w:hAnsi="Times New Roman"/>
          <w:sz w:val="24"/>
          <w:szCs w:val="24"/>
          <w:u w:val="single"/>
        </w:rPr>
      </w:pPr>
      <w:r w:rsidRPr="00CC22B4">
        <w:rPr>
          <w:rFonts w:ascii="Times New Roman" w:hAnsi="Times New Roman"/>
          <w:sz w:val="24"/>
          <w:szCs w:val="24"/>
          <w:u w:val="single"/>
        </w:rPr>
        <w:t>RxTerms Survey</w:t>
      </w:r>
    </w:p>
    <w:p w:rsidR="00EF4972" w:rsidRPr="00CC22B4" w:rsidRDefault="00EF4972" w:rsidP="00804843">
      <w:pPr>
        <w:pStyle w:val="PlainText"/>
        <w:ind w:left="720"/>
        <w:rPr>
          <w:rFonts w:ascii="Times New Roman" w:hAnsi="Times New Roman"/>
          <w:b/>
          <w:sz w:val="24"/>
          <w:szCs w:val="24"/>
        </w:rPr>
      </w:pPr>
    </w:p>
    <w:p w:rsidR="00EF4972" w:rsidRPr="00CC22B4" w:rsidRDefault="00EF4972" w:rsidP="00804843">
      <w:pPr>
        <w:pStyle w:val="PlainText"/>
        <w:ind w:left="720"/>
        <w:rPr>
          <w:rFonts w:ascii="Times New Roman" w:hAnsi="Times New Roman"/>
          <w:sz w:val="24"/>
          <w:szCs w:val="24"/>
        </w:rPr>
      </w:pPr>
      <w:r w:rsidRPr="00CC22B4">
        <w:rPr>
          <w:rFonts w:ascii="Times New Roman" w:hAnsi="Times New Roman"/>
          <w:sz w:val="24"/>
          <w:szCs w:val="24"/>
        </w:rPr>
        <w:t xml:space="preserve">RxTerms is a new drug interface terminology that has been made available for public download and testing. Its purpose is to provide a free and efficient terminology for the input of medication information. Users who want to download RxTerms are requested to provide a contact email address. The registered users will be contacted by email to take part in a survey to see how they are using RxTerms, to gather comments on its usability and other suggestions for improvement. The survey is voluntary and does not affect their right to use RxTerms. The survey will not take more than 12 minutes to complete. The results will help us improve RxTerms. </w:t>
      </w:r>
    </w:p>
    <w:p w:rsidR="00EF4972" w:rsidRPr="00CC22B4" w:rsidRDefault="00EF4972" w:rsidP="00804843">
      <w:pPr>
        <w:ind w:left="720"/>
      </w:pPr>
    </w:p>
    <w:p w:rsidR="00EF4972" w:rsidRPr="00CC22B4" w:rsidRDefault="00EF4972" w:rsidP="00804843">
      <w:pPr>
        <w:pStyle w:val="PlainText"/>
        <w:ind w:left="720"/>
        <w:rPr>
          <w:rFonts w:ascii="Times New Roman" w:hAnsi="Times New Roman"/>
          <w:sz w:val="24"/>
          <w:szCs w:val="24"/>
          <w:u w:val="single"/>
        </w:rPr>
      </w:pPr>
      <w:r w:rsidRPr="00CC22B4">
        <w:rPr>
          <w:rFonts w:ascii="Times New Roman" w:hAnsi="Times New Roman"/>
          <w:sz w:val="24"/>
          <w:szCs w:val="24"/>
          <w:u w:val="single"/>
        </w:rPr>
        <w:t>SureScripts-RxHub Survey</w:t>
      </w:r>
    </w:p>
    <w:p w:rsidR="00EF4972" w:rsidRPr="00CC22B4" w:rsidRDefault="00EF4972" w:rsidP="00804843">
      <w:pPr>
        <w:pStyle w:val="PlainText"/>
        <w:ind w:left="720"/>
        <w:rPr>
          <w:rFonts w:ascii="Times New Roman" w:hAnsi="Times New Roman"/>
          <w:sz w:val="24"/>
          <w:szCs w:val="24"/>
        </w:rPr>
      </w:pPr>
    </w:p>
    <w:p w:rsidR="00EF4972" w:rsidRPr="00CC22B4" w:rsidRDefault="00EF4972" w:rsidP="00804843">
      <w:pPr>
        <w:pStyle w:val="PlainText"/>
        <w:ind w:left="720"/>
        <w:rPr>
          <w:rFonts w:ascii="Times New Roman" w:hAnsi="Times New Roman"/>
          <w:sz w:val="24"/>
          <w:szCs w:val="24"/>
        </w:rPr>
      </w:pPr>
      <w:r w:rsidRPr="00CC22B4">
        <w:rPr>
          <w:rFonts w:ascii="Times New Roman" w:hAnsi="Times New Roman"/>
          <w:sz w:val="24"/>
          <w:szCs w:val="24"/>
        </w:rPr>
        <w:t xml:space="preserve"> NLM is funded by the Bethesda Hospitals Emergency Preparedness Partnership (BHEPP) to perform a study on the usefulness of an on-line prescription history retrieval service provided by SureScripts-RxHub in the care of patients, particularly in the situation of a disaster or emergency. NLM will assist Suburban Hospital (one of the BHEPP Hospitals) to establish connection with SureScripts-RxHub. The data from SureScripts-RxHub will be compared to the manually obtained home medication list for every patient attending the Emergency Department to see if they are complete and accurate. Another component of the study is the usability of the SureScripts-RxHub data service. We will carry out interviews with ED nurses at Suburban Hospital to see if they find the SureScripts-RxHub information helpful and timesaving in their process of medication history taking. This interview is voluntary. The response burden will not be over 30 minutes. </w:t>
      </w:r>
    </w:p>
    <w:p w:rsidR="00EF4972" w:rsidRDefault="00EF4972" w:rsidP="006F1F71">
      <w:pPr>
        <w:tabs>
          <w:tab w:val="left" w:pos="720"/>
        </w:tabs>
        <w:rPr>
          <w:b/>
        </w:rPr>
      </w:pPr>
      <w:r>
        <w:br/>
      </w:r>
      <w:r>
        <w:rPr>
          <w:rStyle w:val="Strong"/>
        </w:rPr>
        <w:t>A.3</w:t>
      </w:r>
      <w:r>
        <w:rPr>
          <w:rStyle w:val="Strong"/>
        </w:rPr>
        <w:tab/>
      </w:r>
      <w:r>
        <w:rPr>
          <w:b/>
        </w:rPr>
        <w:t xml:space="preserve">Use of </w:t>
      </w:r>
      <w:r w:rsidRPr="003529E6">
        <w:rPr>
          <w:b/>
        </w:rPr>
        <w:t>Improved Information Technology and Burden Reduction</w:t>
      </w:r>
    </w:p>
    <w:p w:rsidR="00EF4972" w:rsidRDefault="00EF4972" w:rsidP="006F1F71">
      <w:pPr>
        <w:tabs>
          <w:tab w:val="left" w:pos="720"/>
        </w:tabs>
        <w:rPr>
          <w:b/>
        </w:rPr>
      </w:pPr>
    </w:p>
    <w:p w:rsidR="00EF4972" w:rsidRDefault="00EF4972" w:rsidP="006F1F71">
      <w:pPr>
        <w:spacing w:after="240"/>
        <w:ind w:left="720"/>
      </w:pPr>
      <w:r>
        <w:t xml:space="preserve">As appropriate, automated information technology will be used to collect and process information for these surveys to reduce the burden on the public.  For example, the use of secondary discrimination techniques to better assess consumer attitudes is dependent on the use of information technology to reduce the burden on the respondent and as aforementioned, often shortens the length of survey instruments. </w:t>
      </w:r>
    </w:p>
    <w:p w:rsidR="00EF4972" w:rsidRDefault="00EF4972" w:rsidP="00496555">
      <w:pPr>
        <w:pStyle w:val="NormalWeb"/>
        <w:ind w:left="720"/>
      </w:pPr>
      <w:r>
        <w:t xml:space="preserve">The majority of the surveys will be conducted over the Internet or by electronic mail.  A few will more appropriately, involve written or oral responses to brief questionnaires. </w:t>
      </w:r>
    </w:p>
    <w:p w:rsidR="00EF4972" w:rsidRDefault="00EF4972" w:rsidP="00275ECF">
      <w:pPr>
        <w:spacing w:after="240"/>
      </w:pPr>
      <w:r>
        <w:rPr>
          <w:rStyle w:val="Strong"/>
        </w:rPr>
        <w:t xml:space="preserve">A.4 </w:t>
      </w:r>
      <w:r>
        <w:rPr>
          <w:rStyle w:val="Strong"/>
        </w:rPr>
        <w:tab/>
      </w:r>
      <w:r>
        <w:rPr>
          <w:b/>
        </w:rPr>
        <w:t xml:space="preserve">Efforts </w:t>
      </w:r>
      <w:r w:rsidRPr="003529E6">
        <w:rPr>
          <w:b/>
        </w:rPr>
        <w:t>to Identify Duplication and Use of Similar Information</w:t>
      </w:r>
    </w:p>
    <w:p w:rsidR="00EF4972" w:rsidRDefault="00EF4972" w:rsidP="00496555">
      <w:pPr>
        <w:pStyle w:val="NormalWeb"/>
        <w:ind w:left="720"/>
      </w:pPr>
      <w:r>
        <w:t>NLM information collection surveys conducted after the approval of previous generic clearance under OMB 0925-0476 were designed to address specific programs and databases and to obtain feedback for desired improvements to present systems and programs.  There is a need for continual input from customers and partners and as NLM has incorporated suggestions from earlier surveys into procedures, it is necessary to ask if the improvements are efficacious.  The extension of this generic clearance will enable NLM to determine if there have been improvements in service that resulted from the previous feedback customers provided.</w:t>
      </w:r>
    </w:p>
    <w:p w:rsidR="00EF4972" w:rsidRDefault="00EF4972" w:rsidP="006F1F71">
      <w:pPr>
        <w:spacing w:after="240"/>
      </w:pPr>
      <w:r>
        <w:br/>
      </w:r>
      <w:r>
        <w:rPr>
          <w:rStyle w:val="Strong"/>
        </w:rPr>
        <w:t>A.5</w:t>
      </w:r>
      <w:r>
        <w:rPr>
          <w:rStyle w:val="Strong"/>
        </w:rPr>
        <w:tab/>
        <w:t xml:space="preserve"> </w:t>
      </w:r>
      <w:r>
        <w:rPr>
          <w:b/>
        </w:rPr>
        <w:t xml:space="preserve">Impact on Small Businesses </w:t>
      </w:r>
      <w:r w:rsidRPr="003529E6">
        <w:rPr>
          <w:b/>
        </w:rPr>
        <w:t>or Other Small Entities</w:t>
      </w:r>
      <w:r>
        <w:t xml:space="preserve"> </w:t>
      </w:r>
    </w:p>
    <w:p w:rsidR="00EF4972" w:rsidRDefault="00EF4972" w:rsidP="006F1F71">
      <w:pPr>
        <w:spacing w:after="240"/>
        <w:ind w:left="720"/>
      </w:pPr>
      <w:r>
        <w:t xml:space="preserve">Small businesses or other small entities may be involved in these efforts, but NLM will keep the burden on them to a minimum with short, user-friendly surveys that will be strictly voluntary.  Therefore, there will not be a significant impact on small businesses. </w:t>
      </w:r>
    </w:p>
    <w:p w:rsidR="00EF4972" w:rsidRDefault="00EF4972" w:rsidP="005C65EA">
      <w:pPr>
        <w:rPr>
          <w:b/>
        </w:rPr>
      </w:pPr>
      <w:r>
        <w:br/>
      </w:r>
      <w:r>
        <w:rPr>
          <w:rStyle w:val="Strong"/>
        </w:rPr>
        <w:t xml:space="preserve">A.6 </w:t>
      </w:r>
      <w:r>
        <w:rPr>
          <w:rStyle w:val="Strong"/>
        </w:rPr>
        <w:tab/>
      </w:r>
      <w:r>
        <w:rPr>
          <w:b/>
        </w:rPr>
        <w:t xml:space="preserve">Consequences </w:t>
      </w:r>
      <w:r w:rsidRPr="00AA7D9A">
        <w:rPr>
          <w:b/>
        </w:rPr>
        <w:t>of Collecting the Information Less Frequently</w:t>
      </w:r>
    </w:p>
    <w:p w:rsidR="00EF4972" w:rsidRDefault="00EF4972" w:rsidP="005C3793">
      <w:pPr>
        <w:pStyle w:val="NormalWeb"/>
        <w:ind w:left="720"/>
      </w:pPr>
      <w:r>
        <w:t>NLM will conduct surveys only at intervals considered appropriate to measure the impact of changes because of initial satisfaction surveys and to monitor the level of performance.   In most cases, the NLM likely will conduct satisfaction surveys annually or biennially after the establishment of a baseline.  Collection on a less frequent basis than annually or biennially might reduce the practical utility of the information and inhibit the NLM's ability to monitor changes.</w:t>
      </w:r>
    </w:p>
    <w:p w:rsidR="00EF4972" w:rsidRDefault="00EF4972" w:rsidP="00E76C4B">
      <w:pPr>
        <w:pStyle w:val="NormalWeb"/>
      </w:pPr>
      <w:r>
        <w:t> </w:t>
      </w:r>
      <w:r>
        <w:br/>
      </w:r>
      <w:r>
        <w:rPr>
          <w:rStyle w:val="Strong"/>
        </w:rPr>
        <w:t xml:space="preserve">A.7 </w:t>
      </w:r>
      <w:r>
        <w:rPr>
          <w:rStyle w:val="Strong"/>
        </w:rPr>
        <w:tab/>
        <w:t>Special Circumstances Relating to the Guidelines of 5 CFR 1320.5</w:t>
      </w:r>
    </w:p>
    <w:p w:rsidR="00EF4972" w:rsidRDefault="00EF4972" w:rsidP="005C3793">
      <w:pPr>
        <w:pStyle w:val="NormalWeb"/>
        <w:ind w:left="720"/>
      </w:pPr>
      <w:r>
        <w:t xml:space="preserve">These surveys will be implemented in a manner that fully complies with 5 CFR 1320.5. </w:t>
      </w:r>
    </w:p>
    <w:p w:rsidR="00EF4972" w:rsidRDefault="00EF4972" w:rsidP="00006DAF">
      <w:pPr>
        <w:pStyle w:val="NormalWeb"/>
      </w:pPr>
      <w:r>
        <w:t> </w:t>
      </w:r>
      <w:r>
        <w:br/>
      </w:r>
      <w:r>
        <w:rPr>
          <w:rStyle w:val="Strong"/>
        </w:rPr>
        <w:t xml:space="preserve">A.8 </w:t>
      </w:r>
      <w:r>
        <w:rPr>
          <w:rStyle w:val="Strong"/>
        </w:rPr>
        <w:tab/>
      </w:r>
      <w:r>
        <w:rPr>
          <w:b/>
        </w:rPr>
        <w:t xml:space="preserve">Comments </w:t>
      </w:r>
      <w:r w:rsidRPr="00AA7D9A">
        <w:rPr>
          <w:b/>
        </w:rPr>
        <w:t xml:space="preserve">in Response to the Federal Register Notice and Efforts to Consult </w:t>
      </w:r>
      <w:r>
        <w:rPr>
          <w:b/>
        </w:rPr>
        <w:t xml:space="preserve">                  </w:t>
      </w:r>
      <w:r>
        <w:rPr>
          <w:b/>
        </w:rPr>
        <w:tab/>
        <w:t xml:space="preserve">Outside </w:t>
      </w:r>
      <w:r w:rsidRPr="00AA7D9A">
        <w:rPr>
          <w:b/>
        </w:rPr>
        <w:t>the Agency</w:t>
      </w:r>
    </w:p>
    <w:p w:rsidR="00EF4972" w:rsidRDefault="00EF4972" w:rsidP="005C3793">
      <w:pPr>
        <w:pStyle w:val="NormalWeb"/>
        <w:ind w:left="720"/>
      </w:pPr>
      <w:r>
        <w:t>NLM programs will use routine contacts with customers and partners and other qualitative information collection activities to identify areas of interest and concern to customers.  NLM will utilize in-house staff with expertise in statistics and the staff of contractors in developing survey plans.  As needed, NLM may also utilize the statistical resources of the National Center for Health Statistics, which has a questionnaire design laboratory.  Additional support may be sought from outside experts to help in design and implementation of the surveys.</w:t>
      </w:r>
    </w:p>
    <w:p w:rsidR="00EF4972" w:rsidRDefault="00EF4972" w:rsidP="003F6466">
      <w:pPr>
        <w:ind w:left="720"/>
      </w:pPr>
      <w:r w:rsidRPr="00462815">
        <w:t>Th</w:t>
      </w:r>
      <w:r>
        <w:t>e requested extension of this</w:t>
      </w:r>
      <w:r w:rsidRPr="00462815">
        <w:t xml:space="preserve"> information collection was </w:t>
      </w:r>
      <w:r>
        <w:t>published</w:t>
      </w:r>
      <w:r w:rsidRPr="00462815">
        <w:t xml:space="preserve"> in the </w:t>
      </w:r>
      <w:r w:rsidRPr="00E61805">
        <w:t>Federal Register</w:t>
      </w:r>
      <w:r w:rsidRPr="00462815">
        <w:t xml:space="preserve"> on </w:t>
      </w:r>
      <w:r>
        <w:t xml:space="preserve">March 30, 2009 </w:t>
      </w:r>
      <w:r w:rsidRPr="00462815">
        <w:t>(</w:t>
      </w:r>
      <w:r>
        <w:t>Vol. 74, No. 59, p. 14137)</w:t>
      </w:r>
      <w:r w:rsidRPr="00462815">
        <w:t xml:space="preserve"> and allowed 60</w:t>
      </w:r>
      <w:r>
        <w:t xml:space="preserve"> </w:t>
      </w:r>
      <w:r w:rsidRPr="00462815">
        <w:t xml:space="preserve">days for public comment.  </w:t>
      </w:r>
      <w:r w:rsidRPr="00A802C3">
        <w:t>One public comment was received</w:t>
      </w:r>
      <w:r>
        <w:t xml:space="preserve"> which was non-substantive</w:t>
      </w:r>
      <w:r w:rsidRPr="00A802C3">
        <w:t>.</w:t>
      </w:r>
      <w:r w:rsidRPr="00462815">
        <w:t xml:space="preserve"> </w:t>
      </w:r>
    </w:p>
    <w:p w:rsidR="00EF4972" w:rsidRDefault="00EF4972" w:rsidP="00275ECF">
      <w:pPr>
        <w:spacing w:after="240"/>
      </w:pPr>
    </w:p>
    <w:p w:rsidR="00EF4972" w:rsidRDefault="00EF4972" w:rsidP="00275ECF">
      <w:pPr>
        <w:spacing w:after="240"/>
      </w:pPr>
      <w:r>
        <w:br/>
      </w:r>
      <w:r>
        <w:rPr>
          <w:rStyle w:val="Strong"/>
        </w:rPr>
        <w:t>A.9</w:t>
      </w:r>
      <w:r>
        <w:rPr>
          <w:rStyle w:val="Strong"/>
        </w:rPr>
        <w:tab/>
        <w:t xml:space="preserve"> Explanation of Any Payment or Gift to Respondents</w:t>
      </w:r>
    </w:p>
    <w:p w:rsidR="00EF4972" w:rsidRDefault="00EF4972" w:rsidP="004A6B0D">
      <w:pPr>
        <w:pStyle w:val="NormalWeb"/>
        <w:ind w:firstLine="720"/>
      </w:pPr>
      <w:r>
        <w:t xml:space="preserve">No payment or gift will be provided to survey respondents. </w:t>
      </w:r>
    </w:p>
    <w:p w:rsidR="00EF4972" w:rsidRDefault="00EF4972" w:rsidP="00275ECF">
      <w:pPr>
        <w:spacing w:after="240"/>
        <w:rPr>
          <w:rStyle w:val="Strong"/>
        </w:rPr>
      </w:pPr>
    </w:p>
    <w:p w:rsidR="00EF4972" w:rsidRDefault="00EF4972" w:rsidP="00275ECF">
      <w:pPr>
        <w:spacing w:after="240"/>
      </w:pPr>
      <w:r>
        <w:rPr>
          <w:rStyle w:val="Strong"/>
        </w:rPr>
        <w:t xml:space="preserve">A.10 </w:t>
      </w:r>
      <w:r>
        <w:rPr>
          <w:rStyle w:val="Strong"/>
        </w:rPr>
        <w:tab/>
        <w:t>Assurance of Confidentiality Provided to Respondents</w:t>
      </w:r>
    </w:p>
    <w:p w:rsidR="00EF4972" w:rsidRDefault="00EF4972" w:rsidP="004A6B0D">
      <w:pPr>
        <w:pStyle w:val="NormalWeb"/>
        <w:ind w:left="720"/>
      </w:pPr>
      <w:r>
        <w:t xml:space="preserve">Individual respondents will not be identified and participation will be strictly voluntary. Respondents will be assured that neither their participation/non-participation nor any responses to items will have any effect on their eligibility for or receipt of services. </w:t>
      </w:r>
    </w:p>
    <w:p w:rsidR="00EF4972" w:rsidRDefault="00EF4972" w:rsidP="00275ECF">
      <w:pPr>
        <w:spacing w:after="240"/>
      </w:pPr>
      <w:r>
        <w:br/>
      </w:r>
      <w:r>
        <w:rPr>
          <w:rStyle w:val="Strong"/>
        </w:rPr>
        <w:t xml:space="preserve">A.11 </w:t>
      </w:r>
      <w:r>
        <w:rPr>
          <w:rStyle w:val="Strong"/>
        </w:rPr>
        <w:tab/>
        <w:t>Justification for Sensitive Questions</w:t>
      </w:r>
    </w:p>
    <w:p w:rsidR="00EF4972" w:rsidRDefault="00EF4972" w:rsidP="004A6B0D">
      <w:pPr>
        <w:pStyle w:val="NormalWeb"/>
        <w:ind w:firstLine="720"/>
      </w:pPr>
      <w:r>
        <w:t xml:space="preserve">No questions will be asked of a personal or sensitive nature. </w:t>
      </w:r>
    </w:p>
    <w:p w:rsidR="00EF4972" w:rsidRDefault="00EF4972" w:rsidP="00FD5285">
      <w:pPr>
        <w:pStyle w:val="NormalWeb"/>
        <w:rPr>
          <w:rStyle w:val="Strong"/>
        </w:rPr>
      </w:pPr>
      <w:r>
        <w:t> </w:t>
      </w:r>
      <w:r>
        <w:br/>
      </w:r>
      <w:r>
        <w:rPr>
          <w:rStyle w:val="Strong"/>
        </w:rPr>
        <w:t xml:space="preserve">A.12 </w:t>
      </w:r>
      <w:r>
        <w:rPr>
          <w:rStyle w:val="Strong"/>
        </w:rPr>
        <w:tab/>
      </w:r>
      <w:r w:rsidRPr="007D7A9B">
        <w:rPr>
          <w:b/>
          <w:noProof/>
        </w:rPr>
        <w:t>Estimates of Hour Burden Including Annualized Hourly Costs</w:t>
      </w:r>
    </w:p>
    <w:p w:rsidR="00EF4972" w:rsidRPr="00AE6793" w:rsidRDefault="00EF4972" w:rsidP="00423CD5">
      <w:pPr>
        <w:pStyle w:val="NormalWeb"/>
        <w:ind w:left="720"/>
      </w:pPr>
      <w:r w:rsidRPr="00260545">
        <w:t xml:space="preserve">The total estimated </w:t>
      </w:r>
      <w:r>
        <w:t>burden hours</w:t>
      </w:r>
      <w:r w:rsidRPr="00260545">
        <w:t xml:space="preserve"> imposed by the </w:t>
      </w:r>
      <w:r>
        <w:t xml:space="preserve">proposed </w:t>
      </w:r>
      <w:r w:rsidRPr="00260545">
        <w:t xml:space="preserve">collections </w:t>
      </w:r>
      <w:r w:rsidRPr="00A9715C">
        <w:t xml:space="preserve">is </w:t>
      </w:r>
      <w:r>
        <w:t xml:space="preserve">provided in Table A. 12-1 below. </w:t>
      </w:r>
      <w:r w:rsidRPr="00AE6793">
        <w:t>NLM projects</w:t>
      </w:r>
      <w:r>
        <w:t xml:space="preserve"> up to </w:t>
      </w:r>
      <w:r w:rsidRPr="00F76C4B">
        <w:t>30</w:t>
      </w:r>
      <w:r w:rsidRPr="00AE6793">
        <w:rPr>
          <w:b/>
          <w:color w:val="FF0000"/>
        </w:rPr>
        <w:t xml:space="preserve"> </w:t>
      </w:r>
      <w:r w:rsidRPr="00AE6793">
        <w:t>customer surveys</w:t>
      </w:r>
      <w:r>
        <w:t xml:space="preserve"> will be conducted over the duration of the 3-year clearance period </w:t>
      </w:r>
      <w:r w:rsidRPr="00AE6793">
        <w:t xml:space="preserve">with a sample size </w:t>
      </w:r>
      <w:r>
        <w:t xml:space="preserve">ranging </w:t>
      </w:r>
      <w:r w:rsidRPr="00AE6793">
        <w:t>between</w:t>
      </w:r>
      <w:r w:rsidRPr="00260545">
        <w:rPr>
          <w:color w:val="C00000"/>
        </w:rPr>
        <w:t xml:space="preserve"> </w:t>
      </w:r>
      <w:r w:rsidRPr="00C91EBD">
        <w:t>10 and 2,800</w:t>
      </w:r>
      <w:r w:rsidRPr="00260545">
        <w:rPr>
          <w:color w:val="C00000"/>
        </w:rPr>
        <w:t xml:space="preserve"> </w:t>
      </w:r>
      <w:r w:rsidRPr="00CC64DA">
        <w:t>customers</w:t>
      </w:r>
      <w:r>
        <w:t xml:space="preserve"> and a total of 27,910 respondents.</w:t>
      </w:r>
      <w:r w:rsidRPr="00260545">
        <w:rPr>
          <w:color w:val="C00000"/>
        </w:rPr>
        <w:t> </w:t>
      </w:r>
      <w:r w:rsidRPr="00260545">
        <w:t>  </w:t>
      </w:r>
      <w:r w:rsidRPr="00AE6793">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80"/>
        <w:gridCol w:w="1530"/>
        <w:gridCol w:w="1530"/>
        <w:gridCol w:w="1620"/>
        <w:gridCol w:w="1800"/>
      </w:tblGrid>
      <w:tr w:rsidR="00EF4972" w:rsidTr="0071315D">
        <w:trPr>
          <w:tblCellSpacing w:w="0" w:type="dxa"/>
          <w:jc w:val="center"/>
        </w:trPr>
        <w:tc>
          <w:tcPr>
            <w:tcW w:w="9360" w:type="dxa"/>
            <w:gridSpan w:val="5"/>
            <w:tcBorders>
              <w:top w:val="outset" w:sz="6" w:space="0" w:color="auto"/>
              <w:bottom w:val="outset" w:sz="6" w:space="0" w:color="auto"/>
            </w:tcBorders>
          </w:tcPr>
          <w:p w:rsidR="00EF4972" w:rsidRDefault="00EF4972">
            <w:pPr>
              <w:pStyle w:val="NormalWeb"/>
            </w:pPr>
            <w:bookmarkStart w:id="4" w:name="OLE_LINK6"/>
            <w:bookmarkStart w:id="5" w:name="OLE_LINK7"/>
            <w:r>
              <w:t xml:space="preserve">  </w:t>
            </w:r>
          </w:p>
          <w:p w:rsidR="00EF4972" w:rsidRPr="00055F91" w:rsidRDefault="00EF4972" w:rsidP="00A344EB">
            <w:pPr>
              <w:pStyle w:val="NormalWeb"/>
              <w:jc w:val="center"/>
              <w:rPr>
                <w:b/>
              </w:rPr>
            </w:pPr>
            <w:r>
              <w:rPr>
                <w:b/>
              </w:rPr>
              <w:t xml:space="preserve">A.12-1   </w:t>
            </w:r>
            <w:r w:rsidRPr="00055F91">
              <w:rPr>
                <w:b/>
              </w:rPr>
              <w:t xml:space="preserve">Estimates of Hour Burden </w:t>
            </w:r>
          </w:p>
        </w:tc>
      </w:tr>
      <w:tr w:rsidR="00EF4972" w:rsidTr="00DA0F81">
        <w:trPr>
          <w:trHeight w:val="1245"/>
          <w:tblCellSpacing w:w="0" w:type="dxa"/>
          <w:jc w:val="center"/>
        </w:trPr>
        <w:tc>
          <w:tcPr>
            <w:tcW w:w="2880" w:type="dxa"/>
            <w:tcBorders>
              <w:top w:val="outset" w:sz="6" w:space="0" w:color="auto"/>
              <w:bottom w:val="outset" w:sz="6" w:space="0" w:color="auto"/>
              <w:right w:val="outset" w:sz="6" w:space="0" w:color="auto"/>
            </w:tcBorders>
          </w:tcPr>
          <w:p w:rsidR="00EF4972" w:rsidRDefault="00EF4972">
            <w:pPr>
              <w:pStyle w:val="NormalWeb"/>
            </w:pPr>
            <w:bookmarkStart w:id="6" w:name="_Hlk224438866"/>
            <w:r>
              <w:t xml:space="preserve">  </w:t>
            </w:r>
          </w:p>
          <w:p w:rsidR="00EF4972" w:rsidRDefault="00EF4972">
            <w:pPr>
              <w:pStyle w:val="NormalWeb"/>
              <w:jc w:val="center"/>
            </w:pPr>
            <w:r>
              <w:t xml:space="preserve">Types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Number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Frequency of  Response </w:t>
            </w:r>
          </w:p>
        </w:tc>
        <w:tc>
          <w:tcPr>
            <w:tcW w:w="162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Average time per response </w:t>
            </w:r>
          </w:p>
        </w:tc>
        <w:tc>
          <w:tcPr>
            <w:tcW w:w="1800" w:type="dxa"/>
            <w:tcBorders>
              <w:top w:val="outset" w:sz="6" w:space="0" w:color="auto"/>
              <w:left w:val="outset" w:sz="6" w:space="0" w:color="auto"/>
              <w:bottom w:val="outset" w:sz="6" w:space="0" w:color="auto"/>
            </w:tcBorders>
          </w:tcPr>
          <w:p w:rsidR="00EF4972" w:rsidRDefault="00EF4972">
            <w:pPr>
              <w:pStyle w:val="NormalWeb"/>
            </w:pPr>
            <w:r>
              <w:t xml:space="preserve">  </w:t>
            </w:r>
          </w:p>
          <w:p w:rsidR="00EF4972" w:rsidRDefault="00EF4972" w:rsidP="00CF05A9">
            <w:pPr>
              <w:pStyle w:val="NormalWeb"/>
              <w:ind w:left="144"/>
            </w:pPr>
            <w:r w:rsidRPr="00DC2BA4">
              <w:t>Annua</w:t>
            </w:r>
            <w:r w:rsidRPr="007041D7">
              <w:t xml:space="preserve">l </w:t>
            </w:r>
            <w:r>
              <w:t xml:space="preserve">Hour Burden </w:t>
            </w:r>
          </w:p>
        </w:tc>
      </w:tr>
      <w:tr w:rsidR="00EF4972" w:rsidTr="00275ECF">
        <w:trPr>
          <w:tblCellSpacing w:w="0" w:type="dxa"/>
          <w:jc w:val="center"/>
        </w:trPr>
        <w:tc>
          <w:tcPr>
            <w:tcW w:w="2880" w:type="dxa"/>
            <w:tcBorders>
              <w:top w:val="outset" w:sz="6" w:space="0" w:color="auto"/>
              <w:bottom w:val="outset" w:sz="6" w:space="0" w:color="auto"/>
              <w:right w:val="outset" w:sz="6" w:space="0" w:color="auto"/>
            </w:tcBorders>
          </w:tcPr>
          <w:p w:rsidR="00EF4972" w:rsidRDefault="00EF4972" w:rsidP="00056B23">
            <w:pPr>
              <w:pStyle w:val="NormalWeb"/>
              <w:ind w:left="144"/>
            </w:pPr>
            <w:r>
              <w:t xml:space="preserve">Researchers, Physicians, Other Health Care Providers, Librarians, Students, General Public </w:t>
            </w:r>
          </w:p>
        </w:tc>
        <w:tc>
          <w:tcPr>
            <w:tcW w:w="1530" w:type="dxa"/>
            <w:tcBorders>
              <w:top w:val="outset" w:sz="6" w:space="0" w:color="auto"/>
              <w:left w:val="outset" w:sz="6" w:space="0" w:color="auto"/>
              <w:bottom w:val="outset" w:sz="6" w:space="0" w:color="auto"/>
              <w:right w:val="outset" w:sz="6" w:space="0" w:color="auto"/>
            </w:tcBorders>
          </w:tcPr>
          <w:p w:rsidR="00EF4972" w:rsidRPr="002A325F" w:rsidRDefault="00EF4972">
            <w:pPr>
              <w:pStyle w:val="NormalWeb"/>
              <w:rPr>
                <w:b/>
                <w:color w:val="0070C0"/>
                <w:highlight w:val="yellow"/>
              </w:rPr>
            </w:pPr>
            <w:r w:rsidRPr="002A325F">
              <w:rPr>
                <w:b/>
                <w:color w:val="0070C0"/>
                <w:highlight w:val="yellow"/>
              </w:rPr>
              <w:t xml:space="preserve">  </w:t>
            </w:r>
          </w:p>
          <w:p w:rsidR="00EF4972" w:rsidRPr="0089017C" w:rsidRDefault="00EF4972" w:rsidP="00A344EB">
            <w:pPr>
              <w:pStyle w:val="NormalWeb"/>
              <w:jc w:val="center"/>
              <w:rPr>
                <w:color w:val="0F243E"/>
                <w:highlight w:val="yellow"/>
              </w:rPr>
            </w:pPr>
            <w:r w:rsidRPr="0089017C">
              <w:rPr>
                <w:color w:val="0F243E"/>
              </w:rPr>
              <w:t xml:space="preserve">27,910 </w:t>
            </w:r>
          </w:p>
        </w:tc>
        <w:tc>
          <w:tcPr>
            <w:tcW w:w="1530" w:type="dxa"/>
            <w:tcBorders>
              <w:top w:val="outset" w:sz="6" w:space="0" w:color="auto"/>
              <w:left w:val="outset" w:sz="6" w:space="0" w:color="auto"/>
              <w:bottom w:val="outset" w:sz="6" w:space="0" w:color="auto"/>
              <w:right w:val="outset" w:sz="6" w:space="0" w:color="auto"/>
            </w:tcBorders>
          </w:tcPr>
          <w:p w:rsidR="00EF4972" w:rsidRPr="002A325F" w:rsidRDefault="00EF4972">
            <w:pPr>
              <w:pStyle w:val="NormalWeb"/>
              <w:rPr>
                <w:b/>
                <w:color w:val="0070C0"/>
                <w:highlight w:val="yellow"/>
              </w:rPr>
            </w:pPr>
            <w:r w:rsidRPr="002A325F">
              <w:rPr>
                <w:b/>
                <w:color w:val="0070C0"/>
                <w:highlight w:val="yellow"/>
              </w:rPr>
              <w:t xml:space="preserve">  </w:t>
            </w:r>
          </w:p>
          <w:p w:rsidR="00EF4972" w:rsidRPr="0089017C" w:rsidRDefault="00EF4972">
            <w:pPr>
              <w:pStyle w:val="NormalWeb"/>
              <w:jc w:val="center"/>
              <w:rPr>
                <w:color w:val="0F243E"/>
                <w:highlight w:val="yellow"/>
              </w:rPr>
            </w:pPr>
            <w:r w:rsidRPr="0089017C">
              <w:rPr>
                <w:color w:val="0F243E"/>
              </w:rPr>
              <w:t>1</w:t>
            </w:r>
            <w:r w:rsidRPr="0089017C">
              <w:rPr>
                <w:color w:val="0F243E"/>
                <w:highlight w:val="yellow"/>
              </w:rPr>
              <w:t xml:space="preserve"> </w:t>
            </w:r>
          </w:p>
        </w:tc>
        <w:tc>
          <w:tcPr>
            <w:tcW w:w="1620" w:type="dxa"/>
            <w:tcBorders>
              <w:top w:val="outset" w:sz="6" w:space="0" w:color="auto"/>
              <w:left w:val="outset" w:sz="6" w:space="0" w:color="auto"/>
              <w:bottom w:val="outset" w:sz="6" w:space="0" w:color="auto"/>
              <w:right w:val="outset" w:sz="6" w:space="0" w:color="auto"/>
            </w:tcBorders>
          </w:tcPr>
          <w:p w:rsidR="00EF4972" w:rsidRPr="002A325F" w:rsidRDefault="00EF4972">
            <w:pPr>
              <w:pStyle w:val="NormalWeb"/>
              <w:rPr>
                <w:b/>
                <w:color w:val="0070C0"/>
                <w:highlight w:val="yellow"/>
              </w:rPr>
            </w:pPr>
            <w:r w:rsidRPr="002A325F">
              <w:rPr>
                <w:b/>
                <w:color w:val="0070C0"/>
                <w:highlight w:val="yellow"/>
              </w:rPr>
              <w:t xml:space="preserve">  </w:t>
            </w:r>
          </w:p>
          <w:p w:rsidR="00EF4972" w:rsidRPr="0089017C" w:rsidRDefault="00EF4972" w:rsidP="00834FD7">
            <w:pPr>
              <w:pStyle w:val="NormalWeb"/>
              <w:jc w:val="center"/>
              <w:rPr>
                <w:color w:val="0F243E"/>
                <w:highlight w:val="yellow"/>
              </w:rPr>
            </w:pPr>
            <w:r w:rsidRPr="0089017C">
              <w:rPr>
                <w:color w:val="0F243E"/>
              </w:rPr>
              <w:t xml:space="preserve">.129 </w:t>
            </w:r>
          </w:p>
        </w:tc>
        <w:tc>
          <w:tcPr>
            <w:tcW w:w="1800" w:type="dxa"/>
            <w:tcBorders>
              <w:top w:val="outset" w:sz="6" w:space="0" w:color="auto"/>
              <w:left w:val="outset" w:sz="6" w:space="0" w:color="auto"/>
              <w:bottom w:val="outset" w:sz="6" w:space="0" w:color="auto"/>
            </w:tcBorders>
          </w:tcPr>
          <w:p w:rsidR="00EF4972" w:rsidRPr="002A325F" w:rsidRDefault="00EF4972">
            <w:pPr>
              <w:pStyle w:val="NormalWeb"/>
              <w:rPr>
                <w:b/>
                <w:color w:val="0070C0"/>
                <w:highlight w:val="yellow"/>
              </w:rPr>
            </w:pPr>
            <w:r w:rsidRPr="002A325F">
              <w:rPr>
                <w:b/>
                <w:color w:val="0070C0"/>
                <w:highlight w:val="yellow"/>
              </w:rPr>
              <w:t xml:space="preserve">  </w:t>
            </w:r>
          </w:p>
          <w:p w:rsidR="00EF4972" w:rsidRPr="0089017C" w:rsidRDefault="00EF4972" w:rsidP="00CA5B93">
            <w:pPr>
              <w:pStyle w:val="NormalWeb"/>
              <w:jc w:val="center"/>
              <w:rPr>
                <w:color w:val="0F243E"/>
                <w:highlight w:val="yellow"/>
              </w:rPr>
            </w:pPr>
            <w:r w:rsidRPr="0089017C">
              <w:rPr>
                <w:color w:val="0F243E"/>
              </w:rPr>
              <w:t>3,60</w:t>
            </w:r>
            <w:r>
              <w:rPr>
                <w:color w:val="0F243E"/>
              </w:rPr>
              <w:t>0</w:t>
            </w:r>
          </w:p>
        </w:tc>
      </w:tr>
    </w:tbl>
    <w:bookmarkEnd w:id="6"/>
    <w:bookmarkEnd w:id="4"/>
    <w:bookmarkEnd w:id="5"/>
    <w:p w:rsidR="00EF4972" w:rsidRPr="002A325F" w:rsidRDefault="00EF4972" w:rsidP="00D86E33">
      <w:pPr>
        <w:pStyle w:val="NormalWeb"/>
        <w:ind w:left="720"/>
      </w:pPr>
      <w:r w:rsidRPr="000D64D2">
        <w:t>The chart provided in</w:t>
      </w:r>
      <w:r w:rsidRPr="000D64D2">
        <w:rPr>
          <w:b/>
        </w:rPr>
        <w:t xml:space="preserve"> Attachment </w:t>
      </w:r>
      <w:r>
        <w:rPr>
          <w:b/>
        </w:rPr>
        <w:t>3</w:t>
      </w:r>
      <w:r w:rsidRPr="000D64D2">
        <w:rPr>
          <w:b/>
        </w:rPr>
        <w:t xml:space="preserve"> </w:t>
      </w:r>
      <w:r w:rsidRPr="000D64D2">
        <w:t>lists the proposed individual surveys and estimated burden hours for the duration of the requested 3-year clearance extension</w:t>
      </w:r>
      <w:r>
        <w:t>.</w:t>
      </w:r>
    </w:p>
    <w:p w:rsidR="00EF4972" w:rsidRDefault="00EF4972" w:rsidP="000D64D2">
      <w:pPr>
        <w:pStyle w:val="NormalWeb"/>
        <w:ind w:left="720"/>
      </w:pPr>
      <w:r w:rsidRPr="002A325F">
        <w:t xml:space="preserve">The proposed surveys will be completed by a range of members of the public, including researchers, physicians, librarians, other health care providers, students, and the general public.  </w:t>
      </w:r>
    </w:p>
    <w:p w:rsidR="00EF4972" w:rsidRDefault="00EF4972" w:rsidP="00BB5F82">
      <w:pPr>
        <w:pStyle w:val="NormalWeb"/>
        <w:ind w:left="720"/>
        <w:rPr>
          <w:b/>
          <w:color w:val="C0504D"/>
        </w:rPr>
      </w:pPr>
      <w:r w:rsidRPr="00205FC7">
        <w:t xml:space="preserve">Cost has been estimated using the U.S. Department of Labor (DOL) Bureau of Labor Statistics occupational employment statistics </w:t>
      </w:r>
      <w:hyperlink r:id="rId8" w:history="1">
        <w:r w:rsidRPr="002A325F">
          <w:rPr>
            <w:rStyle w:val="Hyperlink"/>
          </w:rPr>
          <w:t>http://www.bls.gov/oes/data.htm</w:t>
        </w:r>
      </w:hyperlink>
    </w:p>
    <w:p w:rsidR="00EF4972" w:rsidRPr="00B935F5" w:rsidRDefault="00EF4972" w:rsidP="00BB5F82">
      <w:pPr>
        <w:pStyle w:val="NormalWeb"/>
        <w:ind w:left="720"/>
      </w:pPr>
      <w:r w:rsidRPr="00443A6B">
        <w:t>The total estimated cost to respondents is $</w:t>
      </w:r>
      <w:r w:rsidRPr="000440D0">
        <w:t>69,399</w:t>
      </w:r>
      <w:r w:rsidRPr="00443A6B">
        <w:t xml:space="preserve"> over a 3-year period. </w:t>
      </w:r>
      <w:r>
        <w:t xml:space="preserve"> T</w:t>
      </w:r>
      <w:r w:rsidRPr="00B935F5">
        <w:t>able</w:t>
      </w:r>
      <w:r>
        <w:t xml:space="preserve"> A.12-2 below provides the</w:t>
      </w:r>
      <w:r w:rsidRPr="00B935F5">
        <w:t xml:space="preserve"> </w:t>
      </w:r>
      <w:r>
        <w:t>estimated annualized</w:t>
      </w:r>
      <w:r w:rsidRPr="00B935F5">
        <w:t xml:space="preserve"> cost to respondents</w:t>
      </w:r>
      <w:r>
        <w:t>.</w:t>
      </w:r>
      <w:r w:rsidRPr="00B935F5">
        <w:t xml:space="preserve">  </w:t>
      </w:r>
    </w:p>
    <w:p w:rsidR="00EF4972" w:rsidRDefault="00EF4972" w:rsidP="00BB5F82"/>
    <w:tbl>
      <w:tblPr>
        <w:tblW w:w="94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642"/>
        <w:gridCol w:w="1548"/>
        <w:gridCol w:w="1457"/>
        <w:gridCol w:w="1366"/>
        <w:gridCol w:w="1457"/>
      </w:tblGrid>
      <w:tr w:rsidR="00EF4972" w:rsidTr="00842A0C">
        <w:trPr>
          <w:trHeight w:val="891"/>
          <w:tblCellSpacing w:w="0" w:type="dxa"/>
          <w:jc w:val="center"/>
        </w:trPr>
        <w:tc>
          <w:tcPr>
            <w:tcW w:w="9469" w:type="dxa"/>
            <w:gridSpan w:val="5"/>
            <w:tcBorders>
              <w:top w:val="outset" w:sz="6" w:space="0" w:color="auto"/>
              <w:bottom w:val="outset" w:sz="6" w:space="0" w:color="auto"/>
            </w:tcBorders>
          </w:tcPr>
          <w:p w:rsidR="00EF4972" w:rsidRDefault="00EF4972">
            <w:pPr>
              <w:pStyle w:val="NormalWeb"/>
            </w:pPr>
            <w:r>
              <w:t xml:space="preserve">  </w:t>
            </w:r>
          </w:p>
          <w:p w:rsidR="00EF4972" w:rsidRDefault="00EF4972" w:rsidP="00A344EB">
            <w:pPr>
              <w:pStyle w:val="NormalWeb"/>
              <w:jc w:val="center"/>
            </w:pPr>
            <w:r>
              <w:rPr>
                <w:b/>
              </w:rPr>
              <w:t xml:space="preserve">A-12-2       </w:t>
            </w:r>
            <w:r w:rsidRPr="00055F91">
              <w:rPr>
                <w:b/>
              </w:rPr>
              <w:t>Annualized</w:t>
            </w:r>
            <w:r>
              <w:t xml:space="preserve"> </w:t>
            </w:r>
            <w:r w:rsidRPr="00055F91">
              <w:rPr>
                <w:b/>
              </w:rPr>
              <w:t>Cost to Respondents</w:t>
            </w:r>
            <w:r>
              <w:t xml:space="preserve"> </w:t>
            </w:r>
          </w:p>
        </w:tc>
      </w:tr>
      <w:tr w:rsidR="00EF4972" w:rsidTr="00842A0C">
        <w:trPr>
          <w:trHeight w:val="1183"/>
          <w:tblCellSpacing w:w="0" w:type="dxa"/>
          <w:jc w:val="center"/>
        </w:trPr>
        <w:tc>
          <w:tcPr>
            <w:tcW w:w="3642" w:type="dxa"/>
            <w:tcBorders>
              <w:top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3B5B60">
            <w:pPr>
              <w:pStyle w:val="NormalWeb"/>
              <w:jc w:val="center"/>
            </w:pPr>
            <w:r>
              <w:t>Type of Respondents</w:t>
            </w:r>
          </w:p>
        </w:tc>
        <w:tc>
          <w:tcPr>
            <w:tcW w:w="1548"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3B5B60">
            <w:pPr>
              <w:pStyle w:val="NormalWeb"/>
              <w:ind w:left="144"/>
            </w:pPr>
            <w:r>
              <w:t xml:space="preserve">Number of Respondents </w:t>
            </w:r>
          </w:p>
        </w:tc>
        <w:tc>
          <w:tcPr>
            <w:tcW w:w="1457"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3B5B60">
            <w:pPr>
              <w:pStyle w:val="NormalWeb"/>
              <w:ind w:left="144"/>
            </w:pPr>
            <w:r>
              <w:t xml:space="preserve">Frequency  of Response </w:t>
            </w:r>
          </w:p>
        </w:tc>
        <w:tc>
          <w:tcPr>
            <w:tcW w:w="1366"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3B5B60">
            <w:pPr>
              <w:pStyle w:val="NormalWeb"/>
              <w:ind w:left="144"/>
            </w:pPr>
            <w:r>
              <w:t xml:space="preserve">Hourly Wage Rate </w:t>
            </w:r>
          </w:p>
        </w:tc>
        <w:tc>
          <w:tcPr>
            <w:tcW w:w="1457" w:type="dxa"/>
            <w:tcBorders>
              <w:top w:val="outset" w:sz="6" w:space="0" w:color="auto"/>
              <w:left w:val="outset" w:sz="6" w:space="0" w:color="auto"/>
              <w:bottom w:val="outset" w:sz="6" w:space="0" w:color="auto"/>
            </w:tcBorders>
          </w:tcPr>
          <w:p w:rsidR="00EF4972" w:rsidRDefault="00EF4972">
            <w:pPr>
              <w:pStyle w:val="NormalWeb"/>
            </w:pPr>
            <w:r>
              <w:t xml:space="preserve">  </w:t>
            </w:r>
          </w:p>
          <w:p w:rsidR="00EF4972" w:rsidRDefault="00EF4972" w:rsidP="003B5B60">
            <w:pPr>
              <w:pStyle w:val="NormalWeb"/>
              <w:ind w:left="144"/>
            </w:pPr>
            <w:r>
              <w:t xml:space="preserve">Respondent Cost </w:t>
            </w:r>
          </w:p>
        </w:tc>
      </w:tr>
      <w:tr w:rsidR="00EF4972" w:rsidRPr="004E1B57" w:rsidTr="00842A0C">
        <w:trPr>
          <w:trHeight w:val="1473"/>
          <w:tblCellSpacing w:w="0" w:type="dxa"/>
          <w:jc w:val="center"/>
        </w:trPr>
        <w:tc>
          <w:tcPr>
            <w:tcW w:w="3642" w:type="dxa"/>
            <w:tcBorders>
              <w:top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3B5B60">
            <w:pPr>
              <w:pStyle w:val="NormalWeb"/>
              <w:ind w:left="288"/>
            </w:pPr>
            <w:r>
              <w:t>Researchers, Physicians, Other Health Care Providers, Librarians, Students, General Public *</w:t>
            </w:r>
          </w:p>
        </w:tc>
        <w:tc>
          <w:tcPr>
            <w:tcW w:w="1548" w:type="dxa"/>
            <w:tcBorders>
              <w:top w:val="outset" w:sz="6" w:space="0" w:color="auto"/>
              <w:left w:val="outset" w:sz="6" w:space="0" w:color="auto"/>
              <w:bottom w:val="outset" w:sz="6" w:space="0" w:color="auto"/>
              <w:right w:val="outset" w:sz="6" w:space="0" w:color="auto"/>
            </w:tcBorders>
            <w:vAlign w:val="center"/>
          </w:tcPr>
          <w:p w:rsidR="00EF4972" w:rsidRPr="004E1B57" w:rsidRDefault="00EF4972">
            <w:pPr>
              <w:pStyle w:val="NormalWeb"/>
              <w:rPr>
                <w:color w:val="0070C0"/>
                <w:highlight w:val="yellow"/>
              </w:rPr>
            </w:pPr>
            <w:r w:rsidRPr="004E1B57">
              <w:rPr>
                <w:color w:val="0070C0"/>
                <w:highlight w:val="yellow"/>
              </w:rPr>
              <w:t xml:space="preserve">  </w:t>
            </w:r>
          </w:p>
          <w:p w:rsidR="00EF4972" w:rsidRPr="00F818DA" w:rsidRDefault="00EF4972">
            <w:pPr>
              <w:pStyle w:val="NormalWeb"/>
              <w:jc w:val="center"/>
              <w:rPr>
                <w:color w:val="0F243E"/>
                <w:highlight w:val="yellow"/>
              </w:rPr>
            </w:pPr>
            <w:r w:rsidRPr="00F818DA">
              <w:rPr>
                <w:color w:val="0F243E"/>
              </w:rPr>
              <w:t xml:space="preserve">9,303 </w:t>
            </w:r>
          </w:p>
        </w:tc>
        <w:tc>
          <w:tcPr>
            <w:tcW w:w="1457" w:type="dxa"/>
            <w:tcBorders>
              <w:top w:val="outset" w:sz="6" w:space="0" w:color="auto"/>
              <w:left w:val="outset" w:sz="6" w:space="0" w:color="auto"/>
              <w:bottom w:val="outset" w:sz="6" w:space="0" w:color="auto"/>
              <w:right w:val="outset" w:sz="6" w:space="0" w:color="auto"/>
            </w:tcBorders>
            <w:vAlign w:val="center"/>
          </w:tcPr>
          <w:p w:rsidR="00EF4972" w:rsidRPr="004E1B57" w:rsidRDefault="00EF4972">
            <w:pPr>
              <w:pStyle w:val="NormalWeb"/>
              <w:rPr>
                <w:color w:val="0070C0"/>
                <w:highlight w:val="yellow"/>
              </w:rPr>
            </w:pPr>
            <w:r w:rsidRPr="004E1B57">
              <w:rPr>
                <w:color w:val="0070C0"/>
                <w:highlight w:val="yellow"/>
              </w:rPr>
              <w:t xml:space="preserve">  </w:t>
            </w:r>
          </w:p>
          <w:p w:rsidR="00EF4972" w:rsidRPr="00F818DA" w:rsidRDefault="00EF4972">
            <w:pPr>
              <w:pStyle w:val="NormalWeb"/>
              <w:jc w:val="center"/>
              <w:rPr>
                <w:color w:val="0F243E"/>
                <w:highlight w:val="yellow"/>
              </w:rPr>
            </w:pPr>
            <w:r w:rsidRPr="00F818DA">
              <w:rPr>
                <w:color w:val="0F243E"/>
              </w:rPr>
              <w:t xml:space="preserve">1 </w:t>
            </w:r>
          </w:p>
        </w:tc>
        <w:tc>
          <w:tcPr>
            <w:tcW w:w="1366" w:type="dxa"/>
            <w:tcBorders>
              <w:top w:val="outset" w:sz="6" w:space="0" w:color="auto"/>
              <w:left w:val="outset" w:sz="6" w:space="0" w:color="auto"/>
              <w:bottom w:val="outset" w:sz="6" w:space="0" w:color="auto"/>
              <w:right w:val="outset" w:sz="6" w:space="0" w:color="auto"/>
            </w:tcBorders>
            <w:vAlign w:val="center"/>
          </w:tcPr>
          <w:p w:rsidR="00EF4972" w:rsidRPr="004E1B57" w:rsidRDefault="00EF4972">
            <w:pPr>
              <w:pStyle w:val="NormalWeb"/>
              <w:rPr>
                <w:color w:val="0070C0"/>
                <w:highlight w:val="yellow"/>
              </w:rPr>
            </w:pPr>
            <w:r w:rsidRPr="004E1B57">
              <w:rPr>
                <w:color w:val="0070C0"/>
                <w:highlight w:val="yellow"/>
              </w:rPr>
              <w:t xml:space="preserve">  </w:t>
            </w:r>
          </w:p>
          <w:p w:rsidR="00EF4972" w:rsidRPr="00F818DA" w:rsidRDefault="00EF4972" w:rsidP="008D28CC">
            <w:pPr>
              <w:pStyle w:val="NormalWeb"/>
              <w:jc w:val="center"/>
              <w:rPr>
                <w:color w:val="0F243E"/>
                <w:highlight w:val="yellow"/>
              </w:rPr>
            </w:pPr>
            <w:r w:rsidRPr="006862A6">
              <w:rPr>
                <w:color w:val="0F243E"/>
              </w:rPr>
              <w:t>$19.24</w:t>
            </w:r>
            <w:r w:rsidRPr="00F818DA">
              <w:rPr>
                <w:color w:val="0F243E"/>
              </w:rPr>
              <w:t xml:space="preserve"> </w:t>
            </w:r>
          </w:p>
        </w:tc>
        <w:tc>
          <w:tcPr>
            <w:tcW w:w="1457" w:type="dxa"/>
            <w:tcBorders>
              <w:top w:val="outset" w:sz="6" w:space="0" w:color="auto"/>
              <w:left w:val="outset" w:sz="6" w:space="0" w:color="auto"/>
              <w:bottom w:val="outset" w:sz="6" w:space="0" w:color="auto"/>
            </w:tcBorders>
            <w:vAlign w:val="center"/>
          </w:tcPr>
          <w:p w:rsidR="00EF4972" w:rsidRPr="004E1B57" w:rsidRDefault="00EF4972">
            <w:pPr>
              <w:pStyle w:val="NormalWeb"/>
              <w:rPr>
                <w:color w:val="0070C0"/>
                <w:highlight w:val="yellow"/>
              </w:rPr>
            </w:pPr>
            <w:r w:rsidRPr="004E1B57">
              <w:rPr>
                <w:color w:val="0070C0"/>
                <w:highlight w:val="yellow"/>
              </w:rPr>
              <w:t xml:space="preserve">  </w:t>
            </w:r>
          </w:p>
          <w:p w:rsidR="00EF4972" w:rsidRPr="004E1B57" w:rsidRDefault="00EF4972" w:rsidP="000A778C">
            <w:pPr>
              <w:pStyle w:val="NormalWeb"/>
              <w:jc w:val="center"/>
              <w:rPr>
                <w:color w:val="0070C0"/>
                <w:highlight w:val="yellow"/>
              </w:rPr>
            </w:pPr>
            <w:r>
              <w:t>$23,133</w:t>
            </w:r>
            <w:r w:rsidRPr="006862A6">
              <w:rPr>
                <w:color w:val="0070C0"/>
              </w:rPr>
              <w:t xml:space="preserve"> </w:t>
            </w:r>
          </w:p>
        </w:tc>
      </w:tr>
    </w:tbl>
    <w:p w:rsidR="00EF4972" w:rsidRPr="00D31059" w:rsidRDefault="00EF4972" w:rsidP="001E6446">
      <w:pPr>
        <w:rPr>
          <w:color w:val="C00000"/>
        </w:rPr>
      </w:pPr>
      <w:r>
        <w:br/>
        <w:t>* Not all respondents have an associated cost</w:t>
      </w:r>
    </w:p>
    <w:p w:rsidR="00EF4972" w:rsidRDefault="00EF4972" w:rsidP="00423CD5">
      <w:pPr>
        <w:ind w:left="720" w:right="576" w:hanging="720"/>
        <w:rPr>
          <w:rStyle w:val="Strong"/>
        </w:rPr>
      </w:pPr>
    </w:p>
    <w:p w:rsidR="00EF4972" w:rsidRDefault="00EF4972" w:rsidP="00423CD5">
      <w:pPr>
        <w:ind w:left="720" w:right="576" w:hanging="720"/>
        <w:rPr>
          <w:rStyle w:val="Strong"/>
        </w:rPr>
      </w:pPr>
      <w:r>
        <w:rPr>
          <w:rStyle w:val="Strong"/>
        </w:rPr>
        <w:t xml:space="preserve">A.13 </w:t>
      </w:r>
      <w:r>
        <w:rPr>
          <w:rStyle w:val="Strong"/>
        </w:rPr>
        <w:tab/>
      </w:r>
      <w:r>
        <w:rPr>
          <w:b/>
        </w:rPr>
        <w:t xml:space="preserve">Estimates </w:t>
      </w:r>
      <w:r w:rsidRPr="008D4E43">
        <w:rPr>
          <w:b/>
        </w:rPr>
        <w:t xml:space="preserve">of Other Total Annual Cost Burden to Respondents and </w:t>
      </w:r>
      <w:r>
        <w:rPr>
          <w:b/>
        </w:rPr>
        <w:t>R</w:t>
      </w:r>
      <w:r w:rsidRPr="008D4E43">
        <w:rPr>
          <w:b/>
        </w:rPr>
        <w:t>ecord Keepers</w:t>
      </w:r>
      <w:r>
        <w:rPr>
          <w:rStyle w:val="Strong"/>
        </w:rPr>
        <w:tab/>
      </w:r>
    </w:p>
    <w:p w:rsidR="00EF4972" w:rsidRPr="00370833" w:rsidRDefault="00EF4972" w:rsidP="001E6446">
      <w:pPr>
        <w:rPr>
          <w:b/>
        </w:rPr>
      </w:pPr>
    </w:p>
    <w:p w:rsidR="00EF4972" w:rsidRDefault="00EF4972" w:rsidP="001E41E2">
      <w:pPr>
        <w:ind w:left="720"/>
      </w:pPr>
      <w:r>
        <w:t>There is no other annual cost burden to report for respondents or record keepers for this collection.</w:t>
      </w:r>
    </w:p>
    <w:p w:rsidR="00EF4972" w:rsidRDefault="00EF4972" w:rsidP="001E41E2">
      <w:pPr>
        <w:ind w:left="720"/>
      </w:pPr>
    </w:p>
    <w:p w:rsidR="00EF4972" w:rsidRDefault="00EF4972" w:rsidP="006E3187">
      <w:pPr>
        <w:spacing w:after="240"/>
        <w:ind w:left="720"/>
      </w:pPr>
      <w:r>
        <w:t xml:space="preserve">There are no capital and startup costs/operation and maintenance costs associated with these surveys. </w:t>
      </w:r>
    </w:p>
    <w:p w:rsidR="00EF4972" w:rsidRDefault="00EF4972" w:rsidP="000428BD">
      <w:pPr>
        <w:rPr>
          <w:rStyle w:val="Strong"/>
        </w:rPr>
      </w:pPr>
      <w:r>
        <w:t> </w:t>
      </w:r>
    </w:p>
    <w:p w:rsidR="00EF4972" w:rsidRDefault="00EF4972" w:rsidP="000428BD">
      <w:pPr>
        <w:rPr>
          <w:b/>
        </w:rPr>
      </w:pPr>
      <w:r>
        <w:rPr>
          <w:rStyle w:val="Strong"/>
        </w:rPr>
        <w:t xml:space="preserve">A.14 </w:t>
      </w:r>
      <w:r>
        <w:rPr>
          <w:rStyle w:val="Strong"/>
        </w:rPr>
        <w:tab/>
      </w:r>
      <w:r>
        <w:rPr>
          <w:b/>
        </w:rPr>
        <w:t>Annualized Cost to the Federal Government</w:t>
      </w:r>
    </w:p>
    <w:p w:rsidR="00EF4972" w:rsidRDefault="00EF4972" w:rsidP="00887E26">
      <w:pPr>
        <w:rPr>
          <w:rFonts w:ascii="DIGNJA+TimesNewRoman" w:hAnsi="DIGNJA+TimesNewRoman"/>
          <w:sz w:val="22"/>
          <w:szCs w:val="22"/>
        </w:rPr>
      </w:pPr>
    </w:p>
    <w:p w:rsidR="00EF4972" w:rsidRPr="00887E26" w:rsidRDefault="00EF4972" w:rsidP="00887E26">
      <w:pPr>
        <w:rPr>
          <w:szCs w:val="22"/>
        </w:rPr>
      </w:pPr>
      <w:r w:rsidRPr="00887E26">
        <w:rPr>
          <w:szCs w:val="22"/>
        </w:rPr>
        <w:t>The approximate annualized cost to the government for this data collection effort is $</w:t>
      </w:r>
      <w:r w:rsidRPr="00887E26">
        <w:rPr>
          <w:szCs w:val="22"/>
          <w:shd w:val="clear" w:color="auto" w:fill="FFFF00"/>
        </w:rPr>
        <w:t>36,000</w:t>
      </w:r>
      <w:r w:rsidRPr="00887E26">
        <w:rPr>
          <w:szCs w:val="22"/>
        </w:rPr>
        <w:t>.   An average of six (6) surveys are projected to be conducted per year with the total costs estimated to be $</w:t>
      </w:r>
      <w:r w:rsidRPr="00887E26">
        <w:rPr>
          <w:szCs w:val="22"/>
          <w:shd w:val="clear" w:color="auto" w:fill="FFFF00"/>
        </w:rPr>
        <w:t>6,000</w:t>
      </w:r>
      <w:r w:rsidRPr="00887E26">
        <w:rPr>
          <w:szCs w:val="22"/>
        </w:rPr>
        <w:t xml:space="preserve"> for administrative and technical support in processing individual survey instruments through clearance.  </w:t>
      </w:r>
    </w:p>
    <w:p w:rsidR="00EF4972" w:rsidRPr="00887E26" w:rsidRDefault="00EF4972" w:rsidP="00887E26">
      <w:pPr>
        <w:rPr>
          <w:color w:val="1F497D"/>
          <w:szCs w:val="22"/>
        </w:rPr>
      </w:pPr>
    </w:p>
    <w:p w:rsidR="00EF4972" w:rsidRDefault="00EF4972" w:rsidP="000428BD">
      <w:pPr>
        <w:pStyle w:val="NormalWeb"/>
      </w:pPr>
      <w:r w:rsidRPr="00887E26">
        <w:t> </w:t>
      </w:r>
      <w:r w:rsidRPr="00887E26">
        <w:br/>
      </w:r>
      <w:r>
        <w:rPr>
          <w:rStyle w:val="Strong"/>
        </w:rPr>
        <w:t>A.15</w:t>
      </w:r>
      <w:r>
        <w:rPr>
          <w:rStyle w:val="Strong"/>
        </w:rPr>
        <w:tab/>
      </w:r>
      <w:r w:rsidRPr="007764FF">
        <w:rPr>
          <w:b/>
        </w:rPr>
        <w:t>Explanation for Program Changes or Adjustments</w:t>
      </w:r>
      <w:r w:rsidRPr="007764FF">
        <w:t xml:space="preserve"> </w:t>
      </w:r>
    </w:p>
    <w:p w:rsidR="00EF4972" w:rsidRPr="0056297A" w:rsidRDefault="00EF4972" w:rsidP="008F2A4A">
      <w:pPr>
        <w:pStyle w:val="NormalWeb"/>
        <w:spacing w:before="0" w:beforeAutospacing="0" w:after="0" w:afterAutospacing="0"/>
        <w:ind w:firstLine="720"/>
      </w:pPr>
      <w:r w:rsidRPr="0056297A">
        <w:t>This is a request for an extension of NLM’s current generic clearance authorization.</w:t>
      </w:r>
    </w:p>
    <w:p w:rsidR="00EF4972" w:rsidRDefault="00EF4972" w:rsidP="00CE5A72">
      <w:pPr>
        <w:pStyle w:val="NormalWeb"/>
        <w:spacing w:before="0" w:beforeAutospacing="0" w:after="0" w:afterAutospacing="0"/>
        <w:ind w:left="720"/>
        <w:rPr>
          <w:color w:val="1F497D"/>
        </w:rPr>
      </w:pPr>
    </w:p>
    <w:p w:rsidR="00EF4972" w:rsidRDefault="00EF4972" w:rsidP="00CE5A72">
      <w:pPr>
        <w:pStyle w:val="NormalWeb"/>
        <w:spacing w:before="0" w:beforeAutospacing="0" w:after="0" w:afterAutospacing="0"/>
        <w:ind w:left="720"/>
      </w:pPr>
      <w:r w:rsidRPr="0056297A">
        <w:t xml:space="preserve">An additional </w:t>
      </w:r>
      <w:r w:rsidRPr="006862A6">
        <w:t>92</w:t>
      </w:r>
      <w:r>
        <w:t>0</w:t>
      </w:r>
      <w:r w:rsidRPr="0056297A">
        <w:rPr>
          <w:b/>
        </w:rPr>
        <w:t xml:space="preserve"> </w:t>
      </w:r>
      <w:r w:rsidRPr="0056297A">
        <w:t>burden hours</w:t>
      </w:r>
      <w:r>
        <w:t xml:space="preserve"> are being</w:t>
      </w:r>
      <w:r w:rsidRPr="0056297A">
        <w:t xml:space="preserve"> requested to accommodate the proposed surveys to be conducted during the next 3-year period. </w:t>
      </w:r>
    </w:p>
    <w:p w:rsidR="00EF4972" w:rsidRPr="0056297A" w:rsidRDefault="00EF4972" w:rsidP="00CE5A72">
      <w:pPr>
        <w:pStyle w:val="NormalWeb"/>
        <w:spacing w:before="0" w:beforeAutospacing="0" w:after="0" w:afterAutospacing="0"/>
        <w:ind w:left="720"/>
      </w:pPr>
    </w:p>
    <w:p w:rsidR="00EF4972" w:rsidRDefault="00EF4972" w:rsidP="00CE4DDC">
      <w:pPr>
        <w:pStyle w:val="NormalWeb"/>
        <w:spacing w:before="0" w:beforeAutospacing="0" w:after="0" w:afterAutospacing="0"/>
      </w:pPr>
      <w:r>
        <w:t xml:space="preserve">                                                                                     </w:t>
      </w:r>
      <w:r>
        <w:br/>
      </w:r>
      <w:r>
        <w:rPr>
          <w:rStyle w:val="Strong"/>
        </w:rPr>
        <w:t>A.16</w:t>
      </w:r>
      <w:r>
        <w:rPr>
          <w:rStyle w:val="Strong"/>
        </w:rPr>
        <w:tab/>
      </w:r>
      <w:r>
        <w:rPr>
          <w:b/>
        </w:rPr>
        <w:t>Plans for Tabulation and Publication and Project Time Schedule</w:t>
      </w:r>
    </w:p>
    <w:p w:rsidR="00EF4972" w:rsidRDefault="00EF4972" w:rsidP="004A6B0D">
      <w:pPr>
        <w:pStyle w:val="NormalWeb"/>
        <w:ind w:left="720"/>
      </w:pPr>
      <w:r>
        <w:rPr>
          <w:szCs w:val="20"/>
        </w:rPr>
        <w:t>NLM tabulates results immediately after completion of future surveys and strives to publish selected findings in pertinent refereed journals and other edited publications within a timely fashion in order to contribute to the literature in consumer health informatics.</w:t>
      </w:r>
      <w:r>
        <w:t xml:space="preserve"> </w:t>
      </w:r>
    </w:p>
    <w:p w:rsidR="00EF4972" w:rsidRDefault="00EF4972" w:rsidP="00E76C4B">
      <w:pPr>
        <w:pStyle w:val="NormalWeb"/>
      </w:pPr>
      <w:r>
        <w:t> </w:t>
      </w:r>
      <w:r>
        <w:br/>
      </w:r>
      <w:r>
        <w:rPr>
          <w:rStyle w:val="Strong"/>
        </w:rPr>
        <w:t xml:space="preserve">A.17 </w:t>
      </w:r>
      <w:r>
        <w:rPr>
          <w:rStyle w:val="Strong"/>
        </w:rPr>
        <w:tab/>
      </w:r>
      <w:r>
        <w:rPr>
          <w:b/>
        </w:rPr>
        <w:t>Reason</w:t>
      </w:r>
      <w:r w:rsidRPr="00370833">
        <w:rPr>
          <w:b/>
        </w:rPr>
        <w:t>(s) Display of OMB Expiration Date is Inappropriate</w:t>
      </w:r>
    </w:p>
    <w:p w:rsidR="00EF4972" w:rsidRDefault="00EF4972" w:rsidP="004A6B0D">
      <w:pPr>
        <w:pStyle w:val="NormalWeb"/>
        <w:ind w:firstLine="720"/>
      </w:pPr>
      <w:r>
        <w:t>We are not requesting an exemption to the display of the OMB Expiration date.</w:t>
      </w:r>
    </w:p>
    <w:p w:rsidR="00EF4972" w:rsidRDefault="00EF4972" w:rsidP="00E76C4B">
      <w:pPr>
        <w:pStyle w:val="NormalWeb"/>
      </w:pPr>
      <w:r>
        <w:t> </w:t>
      </w:r>
      <w:r>
        <w:br/>
      </w:r>
      <w:r>
        <w:rPr>
          <w:rStyle w:val="Strong"/>
        </w:rPr>
        <w:t xml:space="preserve">A.18 </w:t>
      </w:r>
      <w:r>
        <w:rPr>
          <w:rStyle w:val="Strong"/>
        </w:rPr>
        <w:tab/>
      </w:r>
      <w:r>
        <w:rPr>
          <w:b/>
        </w:rPr>
        <w:t>Exceptions to Certification for Paperwork Reduction Act Submissions</w:t>
      </w:r>
    </w:p>
    <w:p w:rsidR="00EF4972" w:rsidRDefault="00EF4972" w:rsidP="002C5531">
      <w:pPr>
        <w:spacing w:after="240"/>
        <w:ind w:left="720"/>
        <w:rPr>
          <w:rStyle w:val="Strong"/>
        </w:rPr>
      </w:pPr>
      <w:r w:rsidRPr="002E1D37">
        <w:t>This collection of information involves no exceptions to the Certification for Paperwork Reduction Act Submissions</w:t>
      </w:r>
      <w:r>
        <w:br/>
      </w:r>
      <w:r>
        <w:br/>
      </w:r>
    </w:p>
    <w:p w:rsidR="00EF4972" w:rsidRDefault="00EF4972" w:rsidP="002C5531">
      <w:pPr>
        <w:spacing w:after="240"/>
      </w:pPr>
      <w:r w:rsidRPr="005C34D3">
        <w:rPr>
          <w:color w:val="C00000"/>
        </w:rPr>
        <w:br/>
      </w:r>
      <w:r>
        <w:br/>
      </w:r>
      <w:r>
        <w:br/>
      </w:r>
    </w:p>
    <w:p w:rsidR="00EF4972" w:rsidRDefault="00EF4972"/>
    <w:sectPr w:rsidR="00EF4972" w:rsidSect="00A0526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972" w:rsidRDefault="00EF4972" w:rsidP="00973C55">
      <w:r>
        <w:separator/>
      </w:r>
    </w:p>
  </w:endnote>
  <w:endnote w:type="continuationSeparator" w:id="1">
    <w:p w:rsidR="00EF4972" w:rsidRDefault="00EF4972" w:rsidP="00973C55">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DIGNJA+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72" w:rsidRDefault="00EF4972">
    <w:pPr>
      <w:pStyle w:val="Footer"/>
      <w:jc w:val="center"/>
    </w:pPr>
    <w:fldSimple w:instr=" PAGE   \* MERGEFORMAT ">
      <w:r>
        <w:rPr>
          <w:noProof/>
        </w:rPr>
        <w:t>10</w:t>
      </w:r>
    </w:fldSimple>
  </w:p>
  <w:p w:rsidR="00EF4972" w:rsidRDefault="00EF4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972" w:rsidRDefault="00EF4972" w:rsidP="00973C55">
      <w:r>
        <w:separator/>
      </w:r>
    </w:p>
  </w:footnote>
  <w:footnote w:type="continuationSeparator" w:id="1">
    <w:p w:rsidR="00EF4972" w:rsidRDefault="00EF4972" w:rsidP="00973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314"/>
    <w:multiLevelType w:val="hybridMultilevel"/>
    <w:tmpl w:val="9D04277C"/>
    <w:lvl w:ilvl="0" w:tplc="9ACE7B8E">
      <w:start w:val="1"/>
      <w:numFmt w:val="bullet"/>
      <w:lvlText w:val=""/>
      <w:lvlJc w:val="left"/>
      <w:pPr>
        <w:ind w:left="1425" w:hanging="360"/>
      </w:pPr>
      <w:rPr>
        <w:rFonts w:ascii="Symbol" w:eastAsia="Times New Roman"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ECF"/>
    <w:rsid w:val="00006DAF"/>
    <w:rsid w:val="00015DF8"/>
    <w:rsid w:val="0003345A"/>
    <w:rsid w:val="000428BD"/>
    <w:rsid w:val="000440D0"/>
    <w:rsid w:val="00055F91"/>
    <w:rsid w:val="00056B23"/>
    <w:rsid w:val="00064C4A"/>
    <w:rsid w:val="0007360B"/>
    <w:rsid w:val="00075730"/>
    <w:rsid w:val="00082906"/>
    <w:rsid w:val="00087F53"/>
    <w:rsid w:val="00095A21"/>
    <w:rsid w:val="000A0AAF"/>
    <w:rsid w:val="000A5B38"/>
    <w:rsid w:val="000A778C"/>
    <w:rsid w:val="000A7D54"/>
    <w:rsid w:val="000C0543"/>
    <w:rsid w:val="000D2323"/>
    <w:rsid w:val="000D64D2"/>
    <w:rsid w:val="00115916"/>
    <w:rsid w:val="00130EF9"/>
    <w:rsid w:val="00141B2D"/>
    <w:rsid w:val="00144914"/>
    <w:rsid w:val="001529A3"/>
    <w:rsid w:val="00184D5D"/>
    <w:rsid w:val="00190A03"/>
    <w:rsid w:val="001C4C3A"/>
    <w:rsid w:val="001D1446"/>
    <w:rsid w:val="001D2D7B"/>
    <w:rsid w:val="001E41E2"/>
    <w:rsid w:val="001E6446"/>
    <w:rsid w:val="001F73E8"/>
    <w:rsid w:val="002006CF"/>
    <w:rsid w:val="00202B6A"/>
    <w:rsid w:val="00205FC7"/>
    <w:rsid w:val="00210CCE"/>
    <w:rsid w:val="002128F8"/>
    <w:rsid w:val="00236D6E"/>
    <w:rsid w:val="00260545"/>
    <w:rsid w:val="00260C4D"/>
    <w:rsid w:val="0026627C"/>
    <w:rsid w:val="00270BF7"/>
    <w:rsid w:val="00272CDA"/>
    <w:rsid w:val="00275ECF"/>
    <w:rsid w:val="002A325F"/>
    <w:rsid w:val="002C5531"/>
    <w:rsid w:val="002E1D37"/>
    <w:rsid w:val="002F1643"/>
    <w:rsid w:val="002F4598"/>
    <w:rsid w:val="003228BF"/>
    <w:rsid w:val="00337F1C"/>
    <w:rsid w:val="00350B19"/>
    <w:rsid w:val="003529E6"/>
    <w:rsid w:val="00370833"/>
    <w:rsid w:val="0037491B"/>
    <w:rsid w:val="003B1423"/>
    <w:rsid w:val="003B1801"/>
    <w:rsid w:val="003B5B60"/>
    <w:rsid w:val="003C08BE"/>
    <w:rsid w:val="003C3AF6"/>
    <w:rsid w:val="003E077A"/>
    <w:rsid w:val="003F102F"/>
    <w:rsid w:val="003F6466"/>
    <w:rsid w:val="004005FC"/>
    <w:rsid w:val="004035AA"/>
    <w:rsid w:val="00405A55"/>
    <w:rsid w:val="004126CE"/>
    <w:rsid w:val="00421A07"/>
    <w:rsid w:val="0042339C"/>
    <w:rsid w:val="00423BC6"/>
    <w:rsid w:val="00423CD5"/>
    <w:rsid w:val="004431ED"/>
    <w:rsid w:val="0044390A"/>
    <w:rsid w:val="00443A6B"/>
    <w:rsid w:val="00462815"/>
    <w:rsid w:val="00474CDD"/>
    <w:rsid w:val="00496555"/>
    <w:rsid w:val="004A2D41"/>
    <w:rsid w:val="004A6B0D"/>
    <w:rsid w:val="004A7A71"/>
    <w:rsid w:val="004A7E9A"/>
    <w:rsid w:val="004B08D3"/>
    <w:rsid w:val="004B10CA"/>
    <w:rsid w:val="004C2BA5"/>
    <w:rsid w:val="004D2869"/>
    <w:rsid w:val="004E1B57"/>
    <w:rsid w:val="00501DF2"/>
    <w:rsid w:val="00531817"/>
    <w:rsid w:val="00534BCF"/>
    <w:rsid w:val="005571CF"/>
    <w:rsid w:val="0056060F"/>
    <w:rsid w:val="0056297A"/>
    <w:rsid w:val="00564ED1"/>
    <w:rsid w:val="005654E0"/>
    <w:rsid w:val="0059136C"/>
    <w:rsid w:val="005B04FF"/>
    <w:rsid w:val="005B07A6"/>
    <w:rsid w:val="005B4106"/>
    <w:rsid w:val="005B4A02"/>
    <w:rsid w:val="005C34D3"/>
    <w:rsid w:val="005C3793"/>
    <w:rsid w:val="005C65EA"/>
    <w:rsid w:val="005D2C1C"/>
    <w:rsid w:val="005E0662"/>
    <w:rsid w:val="005E68BE"/>
    <w:rsid w:val="0060076B"/>
    <w:rsid w:val="00601521"/>
    <w:rsid w:val="006044E5"/>
    <w:rsid w:val="00621AE5"/>
    <w:rsid w:val="00625651"/>
    <w:rsid w:val="00651E61"/>
    <w:rsid w:val="006738AD"/>
    <w:rsid w:val="00680E77"/>
    <w:rsid w:val="006862A6"/>
    <w:rsid w:val="006A24F4"/>
    <w:rsid w:val="006A7F8B"/>
    <w:rsid w:val="006B3DB4"/>
    <w:rsid w:val="006C3D80"/>
    <w:rsid w:val="006C69F7"/>
    <w:rsid w:val="006D2929"/>
    <w:rsid w:val="006D345D"/>
    <w:rsid w:val="006D3ADC"/>
    <w:rsid w:val="006E3187"/>
    <w:rsid w:val="006F1F71"/>
    <w:rsid w:val="006F5A5E"/>
    <w:rsid w:val="007041D7"/>
    <w:rsid w:val="00705696"/>
    <w:rsid w:val="0071315D"/>
    <w:rsid w:val="00717C50"/>
    <w:rsid w:val="00723312"/>
    <w:rsid w:val="00725B1B"/>
    <w:rsid w:val="00730A98"/>
    <w:rsid w:val="00750C60"/>
    <w:rsid w:val="00770700"/>
    <w:rsid w:val="00774D7F"/>
    <w:rsid w:val="00775E75"/>
    <w:rsid w:val="007764FF"/>
    <w:rsid w:val="00786368"/>
    <w:rsid w:val="0078665C"/>
    <w:rsid w:val="00794251"/>
    <w:rsid w:val="007B1E8D"/>
    <w:rsid w:val="007D4189"/>
    <w:rsid w:val="007D7A9B"/>
    <w:rsid w:val="007E458F"/>
    <w:rsid w:val="007E4DBC"/>
    <w:rsid w:val="007F66B1"/>
    <w:rsid w:val="00804843"/>
    <w:rsid w:val="00805C28"/>
    <w:rsid w:val="00814581"/>
    <w:rsid w:val="0082757D"/>
    <w:rsid w:val="0083147E"/>
    <w:rsid w:val="008323AC"/>
    <w:rsid w:val="00834FD7"/>
    <w:rsid w:val="00842A0C"/>
    <w:rsid w:val="00843C48"/>
    <w:rsid w:val="00844D48"/>
    <w:rsid w:val="00855D1C"/>
    <w:rsid w:val="00855F88"/>
    <w:rsid w:val="008635B3"/>
    <w:rsid w:val="00887E26"/>
    <w:rsid w:val="0089017C"/>
    <w:rsid w:val="00892362"/>
    <w:rsid w:val="00895EDA"/>
    <w:rsid w:val="008964D1"/>
    <w:rsid w:val="008B2E85"/>
    <w:rsid w:val="008D07FC"/>
    <w:rsid w:val="008D28CC"/>
    <w:rsid w:val="008D4E43"/>
    <w:rsid w:val="008E3F8D"/>
    <w:rsid w:val="008F2A4A"/>
    <w:rsid w:val="009170C5"/>
    <w:rsid w:val="00917DE2"/>
    <w:rsid w:val="00925FB2"/>
    <w:rsid w:val="00946C20"/>
    <w:rsid w:val="00951268"/>
    <w:rsid w:val="00951FED"/>
    <w:rsid w:val="0096087B"/>
    <w:rsid w:val="00972322"/>
    <w:rsid w:val="00973C55"/>
    <w:rsid w:val="009B2823"/>
    <w:rsid w:val="009B31C7"/>
    <w:rsid w:val="009B3D1B"/>
    <w:rsid w:val="009D4398"/>
    <w:rsid w:val="009D787C"/>
    <w:rsid w:val="009E0E4A"/>
    <w:rsid w:val="009E4A3F"/>
    <w:rsid w:val="009E6997"/>
    <w:rsid w:val="00A04698"/>
    <w:rsid w:val="00A04F19"/>
    <w:rsid w:val="00A05268"/>
    <w:rsid w:val="00A22A4D"/>
    <w:rsid w:val="00A22D9F"/>
    <w:rsid w:val="00A25DDF"/>
    <w:rsid w:val="00A344EB"/>
    <w:rsid w:val="00A35C4F"/>
    <w:rsid w:val="00A609E0"/>
    <w:rsid w:val="00A74DE8"/>
    <w:rsid w:val="00A802C3"/>
    <w:rsid w:val="00A832F0"/>
    <w:rsid w:val="00A9715C"/>
    <w:rsid w:val="00AA7D9A"/>
    <w:rsid w:val="00AB02B1"/>
    <w:rsid w:val="00AB1250"/>
    <w:rsid w:val="00AD4CAB"/>
    <w:rsid w:val="00AE28D6"/>
    <w:rsid w:val="00AE6793"/>
    <w:rsid w:val="00AF031C"/>
    <w:rsid w:val="00AF6EE5"/>
    <w:rsid w:val="00B06119"/>
    <w:rsid w:val="00B12705"/>
    <w:rsid w:val="00B14AB8"/>
    <w:rsid w:val="00B20A94"/>
    <w:rsid w:val="00B347B3"/>
    <w:rsid w:val="00B43939"/>
    <w:rsid w:val="00B450E5"/>
    <w:rsid w:val="00B5244D"/>
    <w:rsid w:val="00B56A08"/>
    <w:rsid w:val="00B667F0"/>
    <w:rsid w:val="00B70396"/>
    <w:rsid w:val="00B7091B"/>
    <w:rsid w:val="00B717DB"/>
    <w:rsid w:val="00B71B4C"/>
    <w:rsid w:val="00B935F5"/>
    <w:rsid w:val="00BB5F82"/>
    <w:rsid w:val="00BB6AFB"/>
    <w:rsid w:val="00BC2F3F"/>
    <w:rsid w:val="00BD652E"/>
    <w:rsid w:val="00BE6BDD"/>
    <w:rsid w:val="00BF2CE7"/>
    <w:rsid w:val="00C04757"/>
    <w:rsid w:val="00C31334"/>
    <w:rsid w:val="00C376D0"/>
    <w:rsid w:val="00C46C5D"/>
    <w:rsid w:val="00C53E71"/>
    <w:rsid w:val="00C63565"/>
    <w:rsid w:val="00C677A9"/>
    <w:rsid w:val="00C726A1"/>
    <w:rsid w:val="00C86B9B"/>
    <w:rsid w:val="00C91EBD"/>
    <w:rsid w:val="00C94A28"/>
    <w:rsid w:val="00C966D2"/>
    <w:rsid w:val="00CA469B"/>
    <w:rsid w:val="00CA5B93"/>
    <w:rsid w:val="00CB7271"/>
    <w:rsid w:val="00CC109F"/>
    <w:rsid w:val="00CC22B4"/>
    <w:rsid w:val="00CC64DA"/>
    <w:rsid w:val="00CD13DE"/>
    <w:rsid w:val="00CE3F79"/>
    <w:rsid w:val="00CE4DDC"/>
    <w:rsid w:val="00CE5A72"/>
    <w:rsid w:val="00CF05A9"/>
    <w:rsid w:val="00CF55A1"/>
    <w:rsid w:val="00CF68B2"/>
    <w:rsid w:val="00D03428"/>
    <w:rsid w:val="00D05A36"/>
    <w:rsid w:val="00D06DD2"/>
    <w:rsid w:val="00D10C52"/>
    <w:rsid w:val="00D11D40"/>
    <w:rsid w:val="00D229E8"/>
    <w:rsid w:val="00D23BA0"/>
    <w:rsid w:val="00D31059"/>
    <w:rsid w:val="00D46223"/>
    <w:rsid w:val="00D50A93"/>
    <w:rsid w:val="00D614CD"/>
    <w:rsid w:val="00D84D04"/>
    <w:rsid w:val="00D86E33"/>
    <w:rsid w:val="00D95D1C"/>
    <w:rsid w:val="00DA0F81"/>
    <w:rsid w:val="00DA105F"/>
    <w:rsid w:val="00DA3C4D"/>
    <w:rsid w:val="00DC2BA4"/>
    <w:rsid w:val="00DC7BF0"/>
    <w:rsid w:val="00DE0C59"/>
    <w:rsid w:val="00DE290E"/>
    <w:rsid w:val="00DE6512"/>
    <w:rsid w:val="00DE7A64"/>
    <w:rsid w:val="00DF3E90"/>
    <w:rsid w:val="00DF5928"/>
    <w:rsid w:val="00E0040D"/>
    <w:rsid w:val="00E02BEF"/>
    <w:rsid w:val="00E160DA"/>
    <w:rsid w:val="00E16C53"/>
    <w:rsid w:val="00E225DA"/>
    <w:rsid w:val="00E24511"/>
    <w:rsid w:val="00E27039"/>
    <w:rsid w:val="00E33E98"/>
    <w:rsid w:val="00E45AED"/>
    <w:rsid w:val="00E46DE2"/>
    <w:rsid w:val="00E50DC6"/>
    <w:rsid w:val="00E61805"/>
    <w:rsid w:val="00E61FE0"/>
    <w:rsid w:val="00E675AD"/>
    <w:rsid w:val="00E76C4B"/>
    <w:rsid w:val="00E76DFE"/>
    <w:rsid w:val="00E91D18"/>
    <w:rsid w:val="00E929F0"/>
    <w:rsid w:val="00EB4852"/>
    <w:rsid w:val="00ED4A5B"/>
    <w:rsid w:val="00EF4972"/>
    <w:rsid w:val="00F07FE4"/>
    <w:rsid w:val="00F107B4"/>
    <w:rsid w:val="00F13DCC"/>
    <w:rsid w:val="00F24985"/>
    <w:rsid w:val="00F315DB"/>
    <w:rsid w:val="00F37D73"/>
    <w:rsid w:val="00F54524"/>
    <w:rsid w:val="00F54648"/>
    <w:rsid w:val="00F56AA4"/>
    <w:rsid w:val="00F65F95"/>
    <w:rsid w:val="00F73C9A"/>
    <w:rsid w:val="00F7451A"/>
    <w:rsid w:val="00F76C4B"/>
    <w:rsid w:val="00F818DA"/>
    <w:rsid w:val="00F84977"/>
    <w:rsid w:val="00F91C9C"/>
    <w:rsid w:val="00F96F19"/>
    <w:rsid w:val="00F97CAE"/>
    <w:rsid w:val="00FB0A91"/>
    <w:rsid w:val="00FB1CEF"/>
    <w:rsid w:val="00FB1E68"/>
    <w:rsid w:val="00FB3C5A"/>
    <w:rsid w:val="00FC03B8"/>
    <w:rsid w:val="00FC4576"/>
    <w:rsid w:val="00FD36D6"/>
    <w:rsid w:val="00FD5285"/>
    <w:rsid w:val="00FE2642"/>
    <w:rsid w:val="00FF3269"/>
    <w:rsid w:val="00FF65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s>
</file>

<file path=word/webSettings.xml><?xml version="1.0" encoding="utf-8"?>
<w:webSettings xmlns:r="http://schemas.openxmlformats.org/officeDocument/2006/relationships" xmlns:w="http://schemas.openxmlformats.org/wordprocessingml/2006/main">
  <w:divs>
    <w:div w:id="590622197">
      <w:marLeft w:val="0"/>
      <w:marRight w:val="0"/>
      <w:marTop w:val="0"/>
      <w:marBottom w:val="0"/>
      <w:divBdr>
        <w:top w:val="none" w:sz="0" w:space="0" w:color="auto"/>
        <w:left w:val="none" w:sz="0" w:space="0" w:color="auto"/>
        <w:bottom w:val="none" w:sz="0" w:space="0" w:color="auto"/>
        <w:right w:val="none" w:sz="0" w:space="0" w:color="auto"/>
      </w:divBdr>
    </w:div>
    <w:div w:id="590622202">
      <w:marLeft w:val="0"/>
      <w:marRight w:val="0"/>
      <w:marTop w:val="0"/>
      <w:marBottom w:val="0"/>
      <w:divBdr>
        <w:top w:val="none" w:sz="0" w:space="0" w:color="auto"/>
        <w:left w:val="none" w:sz="0" w:space="0" w:color="auto"/>
        <w:bottom w:val="none" w:sz="0" w:space="0" w:color="auto"/>
        <w:right w:val="none" w:sz="0" w:space="0" w:color="auto"/>
      </w:divBdr>
      <w:divsChild>
        <w:div w:id="590622199">
          <w:marLeft w:val="0"/>
          <w:marRight w:val="0"/>
          <w:marTop w:val="0"/>
          <w:marBottom w:val="0"/>
          <w:divBdr>
            <w:top w:val="none" w:sz="0" w:space="0" w:color="auto"/>
            <w:left w:val="none" w:sz="0" w:space="0" w:color="auto"/>
            <w:bottom w:val="none" w:sz="0" w:space="0" w:color="auto"/>
            <w:right w:val="none" w:sz="0" w:space="0" w:color="auto"/>
          </w:divBdr>
          <w:divsChild>
            <w:div w:id="590622206">
              <w:marLeft w:val="0"/>
              <w:marRight w:val="0"/>
              <w:marTop w:val="0"/>
              <w:marBottom w:val="0"/>
              <w:divBdr>
                <w:top w:val="none" w:sz="0" w:space="0" w:color="auto"/>
                <w:left w:val="none" w:sz="0" w:space="0" w:color="auto"/>
                <w:bottom w:val="none" w:sz="0" w:space="0" w:color="auto"/>
                <w:right w:val="none" w:sz="0" w:space="0" w:color="auto"/>
              </w:divBdr>
              <w:divsChild>
                <w:div w:id="590622205">
                  <w:marLeft w:val="0"/>
                  <w:marRight w:val="0"/>
                  <w:marTop w:val="0"/>
                  <w:marBottom w:val="0"/>
                  <w:divBdr>
                    <w:top w:val="none" w:sz="0" w:space="0" w:color="auto"/>
                    <w:left w:val="none" w:sz="0" w:space="0" w:color="auto"/>
                    <w:bottom w:val="none" w:sz="0" w:space="0" w:color="auto"/>
                    <w:right w:val="none" w:sz="0" w:space="0" w:color="auto"/>
                  </w:divBdr>
                  <w:divsChild>
                    <w:div w:id="590622207">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sChild>
                            <w:div w:id="590622201">
                              <w:marLeft w:val="0"/>
                              <w:marRight w:val="0"/>
                              <w:marTop w:val="0"/>
                              <w:marBottom w:val="0"/>
                              <w:divBdr>
                                <w:top w:val="none" w:sz="0" w:space="0" w:color="auto"/>
                                <w:left w:val="none" w:sz="0" w:space="0" w:color="auto"/>
                                <w:bottom w:val="none" w:sz="0" w:space="0" w:color="auto"/>
                                <w:right w:val="none" w:sz="0" w:space="0" w:color="auto"/>
                              </w:divBdr>
                              <w:divsChild>
                                <w:div w:id="590622196">
                                  <w:marLeft w:val="0"/>
                                  <w:marRight w:val="0"/>
                                  <w:marTop w:val="0"/>
                                  <w:marBottom w:val="0"/>
                                  <w:divBdr>
                                    <w:top w:val="none" w:sz="0" w:space="0" w:color="auto"/>
                                    <w:left w:val="none" w:sz="0" w:space="0" w:color="auto"/>
                                    <w:bottom w:val="none" w:sz="0" w:space="0" w:color="auto"/>
                                    <w:right w:val="none" w:sz="0" w:space="0" w:color="auto"/>
                                  </w:divBdr>
                                </w:div>
                                <w:div w:id="590622198">
                                  <w:marLeft w:val="0"/>
                                  <w:marRight w:val="0"/>
                                  <w:marTop w:val="0"/>
                                  <w:marBottom w:val="0"/>
                                  <w:divBdr>
                                    <w:top w:val="none" w:sz="0" w:space="0" w:color="auto"/>
                                    <w:left w:val="none" w:sz="0" w:space="0" w:color="auto"/>
                                    <w:bottom w:val="none" w:sz="0" w:space="0" w:color="auto"/>
                                    <w:right w:val="none" w:sz="0" w:space="0" w:color="auto"/>
                                  </w:divBdr>
                                </w:div>
                                <w:div w:id="590622200">
                                  <w:marLeft w:val="0"/>
                                  <w:marRight w:val="0"/>
                                  <w:marTop w:val="0"/>
                                  <w:marBottom w:val="0"/>
                                  <w:divBdr>
                                    <w:top w:val="none" w:sz="0" w:space="0" w:color="auto"/>
                                    <w:left w:val="none" w:sz="0" w:space="0" w:color="auto"/>
                                    <w:bottom w:val="none" w:sz="0" w:space="0" w:color="auto"/>
                                    <w:right w:val="none" w:sz="0" w:space="0" w:color="auto"/>
                                  </w:divBdr>
                                </w:div>
                                <w:div w:id="5906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22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data.htm" TargetMode="External"/><Relationship Id="rId3" Type="http://schemas.openxmlformats.org/officeDocument/2006/relationships/settings" Target="settings.xml"/><Relationship Id="rId7" Type="http://schemas.openxmlformats.org/officeDocument/2006/relationships/hyperlink" Target="mailto:sharlipd@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3068</Words>
  <Characters>17489</Characters>
  <Application>Microsoft Office Outlook</Application>
  <DocSecurity>0</DocSecurity>
  <Lines>0</Lines>
  <Paragraphs>0</Paragraphs>
  <ScaleCrop>false</ScaleCrop>
  <Company>OD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NLM - DS</dc:creator>
  <cp:keywords/>
  <dc:description/>
  <cp:lastModifiedBy>curriem</cp:lastModifiedBy>
  <cp:revision>17</cp:revision>
  <cp:lastPrinted>2009-03-13T10:25:00Z</cp:lastPrinted>
  <dcterms:created xsi:type="dcterms:W3CDTF">2009-03-16T12:08:00Z</dcterms:created>
  <dcterms:modified xsi:type="dcterms:W3CDTF">2009-06-03T14:22:00Z</dcterms:modified>
</cp:coreProperties>
</file>