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FBF" w:rsidRPr="00944545" w:rsidRDefault="00DD3FBF" w:rsidP="00C93922">
      <w:pPr>
        <w:pBdr>
          <w:bottom w:val="single" w:sz="24" w:space="1" w:color="auto"/>
        </w:pBdr>
        <w:jc w:val="center"/>
        <w:rPr>
          <w:rFonts w:ascii="Arial Narrow" w:hAnsi="Arial Narrow"/>
        </w:rPr>
      </w:pPr>
      <w:bookmarkStart w:id="0" w:name="OLE_LINK2"/>
      <w:bookmarkStart w:id="1" w:name="OLE_LINK3"/>
      <w:bookmarkStart w:id="2" w:name="_Toc68687799"/>
    </w:p>
    <w:p w:rsidR="00DD3FBF" w:rsidRPr="00944545" w:rsidRDefault="00DD3FBF" w:rsidP="0037566C">
      <w:pPr>
        <w:pStyle w:val="Address"/>
        <w:jc w:val="center"/>
      </w:pPr>
    </w:p>
    <w:p w:rsidR="00C018DE" w:rsidRDefault="00C018DE" w:rsidP="0037566C">
      <w:pPr>
        <w:pStyle w:val="Address"/>
        <w:jc w:val="center"/>
        <w:rPr>
          <w:b/>
          <w:bCs/>
        </w:rPr>
      </w:pPr>
    </w:p>
    <w:p w:rsidR="00C018DE" w:rsidRPr="00197D0C" w:rsidRDefault="00C018DE" w:rsidP="00C018DE">
      <w:pPr>
        <w:jc w:val="center"/>
        <w:rPr>
          <w:rFonts w:ascii="Arial" w:hAnsi="Arial"/>
          <w:b/>
          <w:bCs/>
          <w:color w:val="000000"/>
          <w:sz w:val="22"/>
        </w:rPr>
      </w:pPr>
      <w:r w:rsidRPr="00197D0C">
        <w:rPr>
          <w:rFonts w:ascii="Arial" w:hAnsi="Arial"/>
          <w:b/>
          <w:bCs/>
          <w:color w:val="000000"/>
          <w:sz w:val="22"/>
        </w:rPr>
        <w:t>Focus Group Testing to Effectively Plan and Tailor Cancer Prevention and Control Communication Campaigns</w:t>
      </w:r>
    </w:p>
    <w:p w:rsidR="00C018DE" w:rsidRDefault="00C018DE" w:rsidP="00C018DE">
      <w:pPr>
        <w:pStyle w:val="Address"/>
        <w:jc w:val="center"/>
        <w:rPr>
          <w:b/>
          <w:bCs/>
        </w:rPr>
      </w:pPr>
      <w:proofErr w:type="gramStart"/>
      <w:r w:rsidRPr="00197D0C">
        <w:rPr>
          <w:rFonts w:ascii="Arial" w:hAnsi="Arial"/>
          <w:bCs/>
          <w:color w:val="000000"/>
          <w:sz w:val="22"/>
        </w:rPr>
        <w:t xml:space="preserve">(OMB No. </w:t>
      </w:r>
      <w:r w:rsidRPr="00197D0C">
        <w:rPr>
          <w:rFonts w:ascii="Arial" w:hAnsi="Arial" w:cs="Arial"/>
          <w:color w:val="000000"/>
          <w:sz w:val="22"/>
        </w:rPr>
        <w:t>0920-0800</w:t>
      </w:r>
      <w:r w:rsidR="00961B21">
        <w:rPr>
          <w:rFonts w:ascii="Arial" w:hAnsi="Arial" w:cs="Arial"/>
          <w:color w:val="000000"/>
          <w:sz w:val="22"/>
        </w:rPr>
        <w:t xml:space="preserve"> </w:t>
      </w:r>
      <w:r w:rsidR="0047253D">
        <w:rPr>
          <w:rFonts w:ascii="Arial" w:hAnsi="Arial" w:cs="Arial"/>
          <w:color w:val="000000"/>
          <w:sz w:val="22"/>
        </w:rPr>
        <w:t>[</w:t>
      </w:r>
      <w:r w:rsidR="00961B21">
        <w:rPr>
          <w:rFonts w:ascii="Arial" w:hAnsi="Arial" w:cs="Arial"/>
          <w:color w:val="000000"/>
          <w:sz w:val="22"/>
        </w:rPr>
        <w:t>generic</w:t>
      </w:r>
      <w:r w:rsidR="0047253D">
        <w:rPr>
          <w:rFonts w:ascii="Arial" w:hAnsi="Arial" w:cs="Arial"/>
          <w:color w:val="000000"/>
          <w:sz w:val="22"/>
        </w:rPr>
        <w:t>]</w:t>
      </w:r>
      <w:r>
        <w:rPr>
          <w:rFonts w:ascii="Arial" w:hAnsi="Arial" w:cs="Arial"/>
          <w:color w:val="000000"/>
          <w:sz w:val="22"/>
        </w:rPr>
        <w:t>.</w:t>
      </w:r>
      <w:proofErr w:type="gramEnd"/>
      <w:r>
        <w:rPr>
          <w:rFonts w:ascii="Arial" w:hAnsi="Arial" w:cs="Arial"/>
          <w:color w:val="000000"/>
          <w:sz w:val="22"/>
        </w:rPr>
        <w:t xml:space="preserve"> Expiration date January 31, 2012)</w:t>
      </w:r>
    </w:p>
    <w:p w:rsidR="00C018DE" w:rsidRDefault="00C018DE" w:rsidP="0037566C">
      <w:pPr>
        <w:pStyle w:val="Address"/>
        <w:jc w:val="center"/>
        <w:rPr>
          <w:b/>
          <w:bCs/>
        </w:rPr>
      </w:pPr>
    </w:p>
    <w:p w:rsidR="00C018DE" w:rsidRDefault="00C018DE" w:rsidP="0037566C">
      <w:pPr>
        <w:pStyle w:val="Address"/>
        <w:jc w:val="center"/>
        <w:rPr>
          <w:b/>
          <w:bCs/>
        </w:rPr>
      </w:pPr>
      <w:r>
        <w:rPr>
          <w:b/>
          <w:bCs/>
        </w:rPr>
        <w:t>Information Collection #5</w:t>
      </w:r>
    </w:p>
    <w:p w:rsidR="00097C12" w:rsidRPr="00E15057" w:rsidRDefault="00B9702C" w:rsidP="0037566C">
      <w:pPr>
        <w:pStyle w:val="Address"/>
        <w:jc w:val="center"/>
        <w:rPr>
          <w:b/>
          <w:bCs/>
        </w:rPr>
      </w:pPr>
      <w:r w:rsidRPr="00E15057">
        <w:rPr>
          <w:b/>
          <w:bCs/>
        </w:rPr>
        <w:t xml:space="preserve">Test of Effectiveness of Screening Recruitment Messages </w:t>
      </w:r>
      <w:r w:rsidR="0029686C" w:rsidRPr="00E15057">
        <w:rPr>
          <w:b/>
          <w:bCs/>
        </w:rPr>
        <w:t>among</w:t>
      </w:r>
      <w:r w:rsidR="004775DB" w:rsidRPr="00E15057">
        <w:rPr>
          <w:b/>
          <w:bCs/>
        </w:rPr>
        <w:t xml:space="preserve"> </w:t>
      </w:r>
      <w:r w:rsidRPr="00E15057">
        <w:rPr>
          <w:b/>
          <w:bCs/>
        </w:rPr>
        <w:t>African American Women in North Carolina</w:t>
      </w:r>
    </w:p>
    <w:p w:rsidR="00B24823" w:rsidRPr="00E15057" w:rsidRDefault="00B24823" w:rsidP="0037566C">
      <w:pPr>
        <w:pStyle w:val="Address"/>
        <w:jc w:val="center"/>
        <w:rPr>
          <w:b/>
          <w:bCs/>
        </w:rPr>
      </w:pPr>
    </w:p>
    <w:p w:rsidR="00DA327A" w:rsidRPr="00E15057" w:rsidRDefault="00DA327A" w:rsidP="0037566C">
      <w:pPr>
        <w:pStyle w:val="Address"/>
        <w:pBdr>
          <w:bottom w:val="single" w:sz="24" w:space="1" w:color="auto"/>
        </w:pBdr>
        <w:jc w:val="center"/>
        <w:rPr>
          <w:bCs/>
        </w:rPr>
      </w:pPr>
    </w:p>
    <w:p w:rsidR="00976276" w:rsidRPr="00E15057" w:rsidRDefault="00976276" w:rsidP="0037566C">
      <w:pPr>
        <w:pStyle w:val="Address"/>
        <w:jc w:val="center"/>
        <w:rPr>
          <w:bCs/>
        </w:rPr>
      </w:pPr>
    </w:p>
    <w:p w:rsidR="00DD3FBF" w:rsidRPr="00E15057" w:rsidRDefault="00DD3FBF" w:rsidP="0037566C">
      <w:pPr>
        <w:pStyle w:val="Address"/>
        <w:jc w:val="center"/>
      </w:pPr>
    </w:p>
    <w:bookmarkEnd w:id="0"/>
    <w:bookmarkEnd w:id="1"/>
    <w:p w:rsidR="00C018DE" w:rsidRDefault="00C018DE" w:rsidP="00C018DE">
      <w:pPr>
        <w:jc w:val="center"/>
        <w:rPr>
          <w:rFonts w:ascii="Arial" w:hAnsi="Arial" w:cs="Arial"/>
          <w:color w:val="000000"/>
          <w:sz w:val="22"/>
        </w:rPr>
      </w:pPr>
    </w:p>
    <w:p w:rsidR="00C018DE" w:rsidRDefault="00C018DE" w:rsidP="00C018DE">
      <w:pPr>
        <w:jc w:val="center"/>
        <w:rPr>
          <w:rFonts w:ascii="Arial" w:hAnsi="Arial" w:cs="Arial"/>
          <w:color w:val="000000"/>
          <w:sz w:val="22"/>
        </w:rPr>
      </w:pPr>
    </w:p>
    <w:p w:rsidR="00C018DE" w:rsidRPr="00EA2CAE" w:rsidRDefault="00C018DE" w:rsidP="00C018DE">
      <w:pPr>
        <w:jc w:val="center"/>
        <w:rPr>
          <w:rFonts w:ascii="Arial" w:hAnsi="Arial" w:cs="Arial"/>
          <w:b/>
          <w:color w:val="000000"/>
          <w:sz w:val="22"/>
          <w:szCs w:val="22"/>
        </w:rPr>
      </w:pPr>
    </w:p>
    <w:p w:rsidR="00DD3FBF" w:rsidRPr="00E15057" w:rsidRDefault="00DD3FBF" w:rsidP="0037566C">
      <w:pPr>
        <w:pStyle w:val="Address"/>
        <w:jc w:val="center"/>
      </w:pPr>
    </w:p>
    <w:p w:rsidR="00DD3FBF" w:rsidRPr="00E15057" w:rsidRDefault="00DD3FBF" w:rsidP="0037566C">
      <w:pPr>
        <w:pStyle w:val="Address"/>
        <w:jc w:val="center"/>
      </w:pPr>
    </w:p>
    <w:p w:rsidR="00B24823" w:rsidRPr="00E15057" w:rsidRDefault="00B24823" w:rsidP="0037566C">
      <w:pPr>
        <w:pStyle w:val="Address"/>
        <w:jc w:val="center"/>
        <w:rPr>
          <w:bCs/>
        </w:rPr>
      </w:pPr>
      <w:bookmarkStart w:id="3" w:name="OLE_LINK4"/>
      <w:bookmarkStart w:id="4" w:name="OLE_LINK5"/>
    </w:p>
    <w:p w:rsidR="00B24823" w:rsidRPr="00E15057" w:rsidRDefault="00B24823" w:rsidP="0037566C">
      <w:pPr>
        <w:pStyle w:val="Address"/>
        <w:jc w:val="center"/>
        <w:rPr>
          <w:bCs/>
        </w:rPr>
      </w:pPr>
      <w:r w:rsidRPr="00E15057">
        <w:rPr>
          <w:bCs/>
        </w:rPr>
        <w:t>Supporting Statement Part A</w:t>
      </w:r>
    </w:p>
    <w:p w:rsidR="00D9621A" w:rsidRPr="00E15057" w:rsidRDefault="00D9621A" w:rsidP="0037566C">
      <w:pPr>
        <w:pStyle w:val="Address"/>
        <w:jc w:val="center"/>
        <w:rPr>
          <w:bCs/>
        </w:rPr>
      </w:pPr>
    </w:p>
    <w:p w:rsidR="00DD3FBF" w:rsidRPr="00E15057" w:rsidRDefault="00DD3FBF" w:rsidP="0037566C">
      <w:pPr>
        <w:pStyle w:val="Address"/>
        <w:jc w:val="center"/>
      </w:pPr>
    </w:p>
    <w:bookmarkEnd w:id="3"/>
    <w:bookmarkEnd w:id="4"/>
    <w:p w:rsidR="00DD3FBF" w:rsidRPr="00E15057" w:rsidRDefault="00DD3FBF" w:rsidP="0037566C">
      <w:pPr>
        <w:pStyle w:val="Address"/>
        <w:jc w:val="center"/>
        <w:rPr>
          <w:b/>
        </w:rPr>
      </w:pPr>
    </w:p>
    <w:p w:rsidR="00DD3FBF" w:rsidRPr="00E15057" w:rsidRDefault="00DD3FBF" w:rsidP="0037566C">
      <w:pPr>
        <w:pStyle w:val="Address"/>
        <w:jc w:val="center"/>
        <w:rPr>
          <w:b/>
        </w:rPr>
      </w:pPr>
    </w:p>
    <w:p w:rsidR="00DD3FBF" w:rsidRPr="00E15057" w:rsidRDefault="00CD2955" w:rsidP="0037566C">
      <w:pPr>
        <w:pStyle w:val="Address"/>
        <w:jc w:val="center"/>
      </w:pPr>
      <w:r w:rsidRPr="00DE5FF8">
        <w:t>November 3</w:t>
      </w:r>
      <w:r w:rsidR="00866E3C" w:rsidRPr="00DE5FF8">
        <w:t>,</w:t>
      </w:r>
      <w:r w:rsidR="00866E3C" w:rsidRPr="00E15057">
        <w:t xml:space="preserve"> 2011</w:t>
      </w:r>
    </w:p>
    <w:p w:rsidR="00DD3FBF" w:rsidRPr="00E15057" w:rsidRDefault="00DD3FBF" w:rsidP="0037566C">
      <w:pPr>
        <w:pStyle w:val="Address"/>
        <w:jc w:val="center"/>
      </w:pPr>
    </w:p>
    <w:p w:rsidR="00DD3FBF" w:rsidRPr="00E15057" w:rsidRDefault="00DD3FBF" w:rsidP="0037566C">
      <w:pPr>
        <w:pStyle w:val="Address"/>
        <w:jc w:val="center"/>
      </w:pPr>
      <w:r w:rsidRPr="00E15057">
        <w:t>Technical Monitor:</w:t>
      </w:r>
    </w:p>
    <w:p w:rsidR="00B9702C" w:rsidRPr="00E15057" w:rsidRDefault="00B24823" w:rsidP="0037566C">
      <w:pPr>
        <w:pStyle w:val="Address"/>
        <w:jc w:val="center"/>
      </w:pPr>
      <w:r w:rsidRPr="00E15057">
        <w:t xml:space="preserve">Ingrid </w:t>
      </w:r>
      <w:r w:rsidR="00B9702C" w:rsidRPr="00E15057">
        <w:t xml:space="preserve">J. </w:t>
      </w:r>
      <w:r w:rsidRPr="00E15057">
        <w:t>Hall</w:t>
      </w:r>
      <w:r w:rsidR="00B9702C" w:rsidRPr="00E15057">
        <w:t xml:space="preserve">, </w:t>
      </w:r>
      <w:r w:rsidRPr="00E15057">
        <w:t>PhD</w:t>
      </w:r>
      <w:r w:rsidR="00B9702C" w:rsidRPr="00E15057">
        <w:t>, MPH</w:t>
      </w:r>
    </w:p>
    <w:p w:rsidR="00DD3FBF" w:rsidRPr="00E15057" w:rsidRDefault="00DD3FBF" w:rsidP="0037566C">
      <w:pPr>
        <w:pStyle w:val="Address"/>
        <w:jc w:val="center"/>
      </w:pPr>
      <w:r w:rsidRPr="00E15057">
        <w:t>Division of Cancer Prevention and Control</w:t>
      </w:r>
    </w:p>
    <w:p w:rsidR="00DD3FBF" w:rsidRPr="00E15057" w:rsidRDefault="00097C12" w:rsidP="0037566C">
      <w:pPr>
        <w:pStyle w:val="Address"/>
        <w:jc w:val="center"/>
      </w:pPr>
      <w:r w:rsidRPr="00E15057">
        <w:t xml:space="preserve">Phone: </w:t>
      </w:r>
      <w:r w:rsidR="00B9702C" w:rsidRPr="00E15057">
        <w:t>770-488-3035</w:t>
      </w:r>
    </w:p>
    <w:p w:rsidR="00DD3FBF" w:rsidRPr="00E15057" w:rsidRDefault="00DD3FBF" w:rsidP="0037566C">
      <w:pPr>
        <w:pStyle w:val="Address"/>
        <w:jc w:val="center"/>
      </w:pPr>
      <w:r w:rsidRPr="00E15057">
        <w:t xml:space="preserve">Fax: </w:t>
      </w:r>
      <w:r w:rsidR="00B9702C" w:rsidRPr="00E15057">
        <w:t>770-488-4639</w:t>
      </w:r>
    </w:p>
    <w:p w:rsidR="00DD3FBF" w:rsidRPr="00E15057" w:rsidRDefault="00097C12" w:rsidP="0037566C">
      <w:pPr>
        <w:pStyle w:val="Address"/>
        <w:jc w:val="center"/>
      </w:pPr>
      <w:r w:rsidRPr="00E15057">
        <w:t xml:space="preserve">E-mail: </w:t>
      </w:r>
      <w:r w:rsidR="00F0021C" w:rsidRPr="00E15057">
        <w:t>IHall@cdc.gov</w:t>
      </w:r>
    </w:p>
    <w:p w:rsidR="00DD3FBF" w:rsidRPr="00E15057" w:rsidRDefault="00DD3FBF" w:rsidP="0037566C">
      <w:pPr>
        <w:pStyle w:val="Address"/>
        <w:jc w:val="center"/>
      </w:pPr>
    </w:p>
    <w:p w:rsidR="00DD3FBF" w:rsidRPr="00E15057" w:rsidRDefault="00DD3FBF" w:rsidP="0037566C">
      <w:pPr>
        <w:pStyle w:val="Address"/>
        <w:jc w:val="center"/>
      </w:pPr>
      <w:r w:rsidRPr="00E15057">
        <w:t>Supported by:</w:t>
      </w:r>
    </w:p>
    <w:p w:rsidR="00DD3FBF" w:rsidRPr="00E15057" w:rsidRDefault="00DD3FBF" w:rsidP="0037566C">
      <w:pPr>
        <w:pStyle w:val="Address"/>
        <w:jc w:val="center"/>
      </w:pPr>
      <w:r w:rsidRPr="00E15057">
        <w:t>Centers for Disease Control and Prevention</w:t>
      </w:r>
    </w:p>
    <w:p w:rsidR="00DD3FBF" w:rsidRPr="00E15057" w:rsidRDefault="00DD3FBF" w:rsidP="0037566C">
      <w:pPr>
        <w:pStyle w:val="Address"/>
        <w:jc w:val="center"/>
      </w:pPr>
      <w:r w:rsidRPr="00E15057">
        <w:t>National Center for Chronic Disease Prevention and Health Promotion</w:t>
      </w:r>
    </w:p>
    <w:p w:rsidR="00DD3FBF" w:rsidRPr="00E15057" w:rsidRDefault="00DD3FBF" w:rsidP="0037566C">
      <w:pPr>
        <w:pStyle w:val="Address"/>
        <w:jc w:val="center"/>
      </w:pPr>
      <w:r w:rsidRPr="00E15057">
        <w:t>Division of Cancer Prevention and Control</w:t>
      </w:r>
    </w:p>
    <w:p w:rsidR="00DD3FBF" w:rsidRPr="00E15057" w:rsidRDefault="00DE0C42" w:rsidP="0037566C">
      <w:pPr>
        <w:pStyle w:val="Address"/>
        <w:jc w:val="center"/>
      </w:pPr>
      <w:r w:rsidRPr="00E15057">
        <w:t>4770 Buford Highway</w:t>
      </w:r>
      <w:r w:rsidR="00DD3FBF" w:rsidRPr="00E15057">
        <w:t>, NE</w:t>
      </w:r>
      <w:r w:rsidR="00CC759B" w:rsidRPr="00E15057">
        <w:t>, Mailstop K64</w:t>
      </w:r>
    </w:p>
    <w:p w:rsidR="00DD3FBF" w:rsidRPr="00E15057" w:rsidRDefault="00DD3FBF" w:rsidP="0037566C">
      <w:pPr>
        <w:pStyle w:val="Address"/>
        <w:jc w:val="center"/>
      </w:pPr>
      <w:r w:rsidRPr="00E15057">
        <w:t>Atlanta, GA 30341</w:t>
      </w:r>
    </w:p>
    <w:p w:rsidR="00153441" w:rsidRPr="00E15057" w:rsidRDefault="00153441" w:rsidP="00C93922">
      <w:pPr>
        <w:jc w:val="center"/>
        <w:rPr>
          <w:rFonts w:ascii="Arial Narrow" w:hAnsi="Arial Narrow"/>
        </w:rPr>
      </w:pPr>
    </w:p>
    <w:p w:rsidR="00153441" w:rsidRPr="00E15057" w:rsidRDefault="00153441" w:rsidP="00C93922">
      <w:pPr>
        <w:jc w:val="center"/>
        <w:rPr>
          <w:rFonts w:ascii="Arial Narrow" w:hAnsi="Arial Narrow"/>
        </w:rPr>
        <w:sectPr w:rsidR="00153441" w:rsidRPr="00E15057" w:rsidSect="00DD3F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800" w:left="1440" w:header="720" w:footer="720" w:gutter="0"/>
          <w:cols w:space="720"/>
          <w:titlePg/>
        </w:sectPr>
      </w:pPr>
    </w:p>
    <w:p w:rsidR="00DD3FBF" w:rsidRPr="005821C9" w:rsidRDefault="00DD3FBF" w:rsidP="00E9193D">
      <w:pPr>
        <w:pStyle w:val="Heading1"/>
        <w:rPr>
          <w:rFonts w:ascii="Arial" w:hAnsi="Arial" w:cs="Arial"/>
        </w:rPr>
      </w:pPr>
      <w:bookmarkStart w:id="5" w:name="_Toc294614670"/>
      <w:bookmarkStart w:id="6" w:name="_Toc304819979"/>
      <w:r w:rsidRPr="005821C9">
        <w:rPr>
          <w:rFonts w:ascii="Arial" w:hAnsi="Arial" w:cs="Arial"/>
        </w:rPr>
        <w:lastRenderedPageBreak/>
        <w:t>TABLE OF CONTENTS</w:t>
      </w:r>
      <w:bookmarkEnd w:id="5"/>
      <w:bookmarkEnd w:id="6"/>
    </w:p>
    <w:p w:rsidR="0027036B" w:rsidRDefault="00DB1AF9">
      <w:pPr>
        <w:pStyle w:val="TOC1"/>
        <w:rPr>
          <w:rFonts w:asciiTheme="minorHAnsi" w:eastAsiaTheme="minorEastAsia" w:hAnsiTheme="minorHAnsi" w:cstheme="minorBidi"/>
          <w:b w:val="0"/>
          <w:sz w:val="22"/>
          <w:szCs w:val="22"/>
        </w:rPr>
      </w:pPr>
      <w:r w:rsidRPr="00DB1AF9">
        <w:rPr>
          <w:b w:val="0"/>
        </w:rPr>
        <w:fldChar w:fldCharType="begin"/>
      </w:r>
      <w:r w:rsidR="0027036B">
        <w:rPr>
          <w:b w:val="0"/>
        </w:rPr>
        <w:instrText xml:space="preserve"> TOC \t "Heading 1,1,Heading 2,2" </w:instrText>
      </w:r>
      <w:r w:rsidRPr="00DB1AF9">
        <w:rPr>
          <w:b w:val="0"/>
        </w:rPr>
        <w:fldChar w:fldCharType="separate"/>
      </w:r>
      <w:r w:rsidR="0027036B">
        <w:t>A. JUSTIFICATION</w:t>
      </w:r>
      <w:r w:rsidR="0027036B">
        <w:tab/>
      </w:r>
      <w:r>
        <w:fldChar w:fldCharType="begin"/>
      </w:r>
      <w:r w:rsidR="0027036B">
        <w:instrText xml:space="preserve"> PAGEREF _Toc304819980 \h </w:instrText>
      </w:r>
      <w:r>
        <w:fldChar w:fldCharType="separate"/>
      </w:r>
      <w:r w:rsidR="0027036B">
        <w:t>1</w:t>
      </w:r>
      <w:r>
        <w:fldChar w:fldCharType="end"/>
      </w:r>
    </w:p>
    <w:p w:rsidR="0027036B" w:rsidRDefault="0027036B">
      <w:pPr>
        <w:pStyle w:val="TOC2"/>
        <w:rPr>
          <w:rFonts w:asciiTheme="minorHAnsi" w:eastAsiaTheme="minorEastAsia" w:hAnsiTheme="minorHAnsi" w:cstheme="minorBidi"/>
          <w:sz w:val="22"/>
          <w:szCs w:val="22"/>
        </w:rPr>
      </w:pPr>
      <w:r>
        <w:t>A1. Circumstances Making the Collection of Information Necessary</w:t>
      </w:r>
      <w:r>
        <w:tab/>
      </w:r>
      <w:r w:rsidR="00DB1AF9">
        <w:fldChar w:fldCharType="begin"/>
      </w:r>
      <w:r>
        <w:instrText xml:space="preserve"> PAGEREF _Toc304819981 \h </w:instrText>
      </w:r>
      <w:r w:rsidR="00DB1AF9">
        <w:fldChar w:fldCharType="separate"/>
      </w:r>
      <w:r>
        <w:t>1</w:t>
      </w:r>
      <w:r w:rsidR="00DB1AF9">
        <w:fldChar w:fldCharType="end"/>
      </w:r>
    </w:p>
    <w:p w:rsidR="0027036B" w:rsidRDefault="0027036B">
      <w:pPr>
        <w:pStyle w:val="TOC2"/>
        <w:rPr>
          <w:rFonts w:asciiTheme="minorHAnsi" w:eastAsiaTheme="minorEastAsia" w:hAnsiTheme="minorHAnsi" w:cstheme="minorBidi"/>
          <w:sz w:val="22"/>
          <w:szCs w:val="22"/>
        </w:rPr>
      </w:pPr>
      <w:r>
        <w:t>A2. Purpose and Use of the Information Collection</w:t>
      </w:r>
      <w:r>
        <w:tab/>
      </w:r>
      <w:r w:rsidR="00DB1AF9">
        <w:fldChar w:fldCharType="begin"/>
      </w:r>
      <w:r>
        <w:instrText xml:space="preserve"> PAGEREF _Toc304819982 \h </w:instrText>
      </w:r>
      <w:r w:rsidR="00DB1AF9">
        <w:fldChar w:fldCharType="separate"/>
      </w:r>
      <w:r>
        <w:t>3</w:t>
      </w:r>
      <w:r w:rsidR="00DB1AF9">
        <w:fldChar w:fldCharType="end"/>
      </w:r>
    </w:p>
    <w:p w:rsidR="0027036B" w:rsidRDefault="0027036B">
      <w:pPr>
        <w:pStyle w:val="TOC2"/>
        <w:rPr>
          <w:rFonts w:asciiTheme="minorHAnsi" w:eastAsiaTheme="minorEastAsia" w:hAnsiTheme="minorHAnsi" w:cstheme="minorBidi"/>
          <w:sz w:val="22"/>
          <w:szCs w:val="22"/>
        </w:rPr>
      </w:pPr>
      <w:r>
        <w:t>A3. Use of Improved Information Technology and Burden Reduction</w:t>
      </w:r>
      <w:r>
        <w:tab/>
      </w:r>
      <w:r w:rsidR="00DB1AF9">
        <w:fldChar w:fldCharType="begin"/>
      </w:r>
      <w:r>
        <w:instrText xml:space="preserve"> PAGEREF _Toc304819983 \h </w:instrText>
      </w:r>
      <w:r w:rsidR="00DB1AF9">
        <w:fldChar w:fldCharType="separate"/>
      </w:r>
      <w:r>
        <w:t>3</w:t>
      </w:r>
      <w:r w:rsidR="00DB1AF9">
        <w:fldChar w:fldCharType="end"/>
      </w:r>
    </w:p>
    <w:p w:rsidR="0027036B" w:rsidRDefault="0027036B">
      <w:pPr>
        <w:pStyle w:val="TOC2"/>
        <w:rPr>
          <w:rFonts w:asciiTheme="minorHAnsi" w:eastAsiaTheme="minorEastAsia" w:hAnsiTheme="minorHAnsi" w:cstheme="minorBidi"/>
          <w:sz w:val="22"/>
          <w:szCs w:val="22"/>
        </w:rPr>
      </w:pPr>
      <w:r>
        <w:t>A5. Impact on Small Businesses or Other Small Entities</w:t>
      </w:r>
      <w:r>
        <w:tab/>
      </w:r>
      <w:r w:rsidR="00DB1AF9">
        <w:fldChar w:fldCharType="begin"/>
      </w:r>
      <w:r>
        <w:instrText xml:space="preserve"> PAGEREF _Toc304819984 \h </w:instrText>
      </w:r>
      <w:r w:rsidR="00DB1AF9">
        <w:fldChar w:fldCharType="separate"/>
      </w:r>
      <w:r>
        <w:t>4</w:t>
      </w:r>
      <w:r w:rsidR="00DB1AF9">
        <w:fldChar w:fldCharType="end"/>
      </w:r>
    </w:p>
    <w:p w:rsidR="00130B9E" w:rsidRPr="00130B9E" w:rsidRDefault="00130B9E" w:rsidP="00130B9E">
      <w:pPr>
        <w:pStyle w:val="TOC2"/>
        <w:spacing w:after="0"/>
        <w:jc w:val="both"/>
        <w:rPr>
          <w:rFonts w:ascii="Arial" w:hAnsi="Arial"/>
          <w:szCs w:val="20"/>
        </w:rPr>
      </w:pPr>
      <w:r w:rsidRPr="00D16AA9">
        <w:t xml:space="preserve">A4. Efforts to Identify Duplication and Use of Similar Information </w:t>
      </w:r>
      <w:r w:rsidRPr="00D16AA9">
        <w:tab/>
      </w:r>
      <w:r w:rsidR="00DB1AF9" w:rsidRPr="00D16AA9">
        <w:fldChar w:fldCharType="begin"/>
      </w:r>
      <w:r w:rsidRPr="00D16AA9">
        <w:instrText xml:space="preserve"> PAGEREF _Toc304819984 \h </w:instrText>
      </w:r>
      <w:r w:rsidR="00DB1AF9" w:rsidRPr="00D16AA9">
        <w:fldChar w:fldCharType="separate"/>
      </w:r>
      <w:r w:rsidRPr="00D16AA9">
        <w:t>4</w:t>
      </w:r>
      <w:r w:rsidR="00DB1AF9" w:rsidRPr="00D16AA9">
        <w:fldChar w:fldCharType="end"/>
      </w:r>
    </w:p>
    <w:p w:rsidR="0027036B" w:rsidRDefault="0027036B">
      <w:pPr>
        <w:pStyle w:val="TOC2"/>
        <w:rPr>
          <w:rFonts w:asciiTheme="minorHAnsi" w:eastAsiaTheme="minorEastAsia" w:hAnsiTheme="minorHAnsi" w:cstheme="minorBidi"/>
          <w:sz w:val="22"/>
          <w:szCs w:val="22"/>
        </w:rPr>
      </w:pPr>
      <w:r>
        <w:t>A6. Consequences of Collecting the Information Less Frequently</w:t>
      </w:r>
      <w:r>
        <w:tab/>
      </w:r>
      <w:r w:rsidR="00DB1AF9">
        <w:fldChar w:fldCharType="begin"/>
      </w:r>
      <w:r>
        <w:instrText xml:space="preserve"> PAGEREF _Toc304819985 \h </w:instrText>
      </w:r>
      <w:r w:rsidR="00DB1AF9">
        <w:fldChar w:fldCharType="separate"/>
      </w:r>
      <w:r>
        <w:t>4</w:t>
      </w:r>
      <w:r w:rsidR="00DB1AF9">
        <w:fldChar w:fldCharType="end"/>
      </w:r>
    </w:p>
    <w:p w:rsidR="0027036B" w:rsidRDefault="0027036B">
      <w:pPr>
        <w:pStyle w:val="TOC2"/>
        <w:rPr>
          <w:rFonts w:asciiTheme="minorHAnsi" w:eastAsiaTheme="minorEastAsia" w:hAnsiTheme="minorHAnsi" w:cstheme="minorBidi"/>
          <w:sz w:val="22"/>
          <w:szCs w:val="22"/>
        </w:rPr>
      </w:pPr>
      <w:r>
        <w:t>A7. Special Circumstances Relating to the Guidelines of 5 CFR 1320.5</w:t>
      </w:r>
      <w:r>
        <w:tab/>
      </w:r>
      <w:r w:rsidR="00DB1AF9">
        <w:fldChar w:fldCharType="begin"/>
      </w:r>
      <w:r>
        <w:instrText xml:space="preserve"> PAGEREF _Toc304819986 \h </w:instrText>
      </w:r>
      <w:r w:rsidR="00DB1AF9">
        <w:fldChar w:fldCharType="separate"/>
      </w:r>
      <w:r>
        <w:t>4</w:t>
      </w:r>
      <w:r w:rsidR="00DB1AF9">
        <w:fldChar w:fldCharType="end"/>
      </w:r>
    </w:p>
    <w:p w:rsidR="0027036B" w:rsidRDefault="0027036B">
      <w:pPr>
        <w:pStyle w:val="TOC2"/>
        <w:rPr>
          <w:rFonts w:asciiTheme="minorHAnsi" w:eastAsiaTheme="minorEastAsia" w:hAnsiTheme="minorHAnsi" w:cstheme="minorBidi"/>
          <w:sz w:val="22"/>
          <w:szCs w:val="22"/>
        </w:rPr>
      </w:pPr>
      <w:r>
        <w:t xml:space="preserve">A8. Comments in Response to the </w:t>
      </w:r>
      <w:r w:rsidRPr="0045707E">
        <w:t>Federal Register</w:t>
      </w:r>
      <w:r>
        <w:t xml:space="preserve"> Notice and Efforts to Consult Outside </w:t>
      </w:r>
      <w:r w:rsidR="001B03F1">
        <w:br/>
      </w:r>
      <w:r>
        <w:t>the Agency</w:t>
      </w:r>
      <w:r>
        <w:tab/>
      </w:r>
      <w:r w:rsidR="00DB1AF9">
        <w:fldChar w:fldCharType="begin"/>
      </w:r>
      <w:r>
        <w:instrText xml:space="preserve"> PAGEREF _Toc304819987 \h </w:instrText>
      </w:r>
      <w:r w:rsidR="00DB1AF9">
        <w:fldChar w:fldCharType="separate"/>
      </w:r>
      <w:r>
        <w:t>4</w:t>
      </w:r>
      <w:r w:rsidR="00DB1AF9">
        <w:fldChar w:fldCharType="end"/>
      </w:r>
    </w:p>
    <w:p w:rsidR="0027036B" w:rsidRDefault="0027036B">
      <w:pPr>
        <w:pStyle w:val="TOC2"/>
        <w:rPr>
          <w:rFonts w:asciiTheme="minorHAnsi" w:eastAsiaTheme="minorEastAsia" w:hAnsiTheme="minorHAnsi" w:cstheme="minorBidi"/>
          <w:sz w:val="22"/>
          <w:szCs w:val="22"/>
        </w:rPr>
      </w:pPr>
      <w:r>
        <w:t>A9. Explanation of Any Payment or Gift to Respondents</w:t>
      </w:r>
      <w:r>
        <w:tab/>
      </w:r>
      <w:r w:rsidR="00DB1AF9">
        <w:fldChar w:fldCharType="begin"/>
      </w:r>
      <w:r>
        <w:instrText xml:space="preserve"> PAGEREF _Toc304819988 \h </w:instrText>
      </w:r>
      <w:r w:rsidR="00DB1AF9">
        <w:fldChar w:fldCharType="separate"/>
      </w:r>
      <w:r>
        <w:t>5</w:t>
      </w:r>
      <w:r w:rsidR="00DB1AF9">
        <w:fldChar w:fldCharType="end"/>
      </w:r>
    </w:p>
    <w:p w:rsidR="0027036B" w:rsidRDefault="0027036B">
      <w:pPr>
        <w:pStyle w:val="TOC2"/>
        <w:rPr>
          <w:rFonts w:asciiTheme="minorHAnsi" w:eastAsiaTheme="minorEastAsia" w:hAnsiTheme="minorHAnsi" w:cstheme="minorBidi"/>
          <w:sz w:val="22"/>
          <w:szCs w:val="22"/>
        </w:rPr>
      </w:pPr>
      <w:r>
        <w:t>A10. Assurance of Confidentiality Provided to Respondents</w:t>
      </w:r>
      <w:r>
        <w:tab/>
      </w:r>
      <w:r w:rsidR="00DB1AF9">
        <w:fldChar w:fldCharType="begin"/>
      </w:r>
      <w:r>
        <w:instrText xml:space="preserve"> PAGEREF _Toc304819989 \h </w:instrText>
      </w:r>
      <w:r w:rsidR="00DB1AF9">
        <w:fldChar w:fldCharType="separate"/>
      </w:r>
      <w:r>
        <w:t>6</w:t>
      </w:r>
      <w:r w:rsidR="00DB1AF9">
        <w:fldChar w:fldCharType="end"/>
      </w:r>
    </w:p>
    <w:p w:rsidR="0027036B" w:rsidRDefault="0027036B">
      <w:pPr>
        <w:pStyle w:val="TOC2"/>
        <w:rPr>
          <w:rFonts w:asciiTheme="minorHAnsi" w:eastAsiaTheme="minorEastAsia" w:hAnsiTheme="minorHAnsi" w:cstheme="minorBidi"/>
          <w:sz w:val="22"/>
          <w:szCs w:val="22"/>
        </w:rPr>
      </w:pPr>
      <w:r>
        <w:t>A11. Justification for Sensitive Questions</w:t>
      </w:r>
      <w:r>
        <w:tab/>
      </w:r>
      <w:r w:rsidR="00DB1AF9">
        <w:fldChar w:fldCharType="begin"/>
      </w:r>
      <w:r>
        <w:instrText xml:space="preserve"> PAGEREF _Toc304819990 \h </w:instrText>
      </w:r>
      <w:r w:rsidR="00DB1AF9">
        <w:fldChar w:fldCharType="separate"/>
      </w:r>
      <w:r>
        <w:t>7</w:t>
      </w:r>
      <w:r w:rsidR="00DB1AF9">
        <w:fldChar w:fldCharType="end"/>
      </w:r>
    </w:p>
    <w:p w:rsidR="0027036B" w:rsidRDefault="0027036B">
      <w:pPr>
        <w:pStyle w:val="TOC2"/>
        <w:rPr>
          <w:rFonts w:asciiTheme="minorHAnsi" w:eastAsiaTheme="minorEastAsia" w:hAnsiTheme="minorHAnsi" w:cstheme="minorBidi"/>
          <w:sz w:val="22"/>
          <w:szCs w:val="22"/>
        </w:rPr>
      </w:pPr>
      <w:r>
        <w:t>A12. Estimates of Annualized Burden Hours and Costs</w:t>
      </w:r>
      <w:r>
        <w:tab/>
      </w:r>
      <w:r w:rsidR="00DB1AF9">
        <w:fldChar w:fldCharType="begin"/>
      </w:r>
      <w:r>
        <w:instrText xml:space="preserve"> PAGEREF _Toc304819991 \h </w:instrText>
      </w:r>
      <w:r w:rsidR="00DB1AF9">
        <w:fldChar w:fldCharType="separate"/>
      </w:r>
      <w:r>
        <w:t>8</w:t>
      </w:r>
      <w:r w:rsidR="00DB1AF9">
        <w:fldChar w:fldCharType="end"/>
      </w:r>
    </w:p>
    <w:p w:rsidR="0027036B" w:rsidRDefault="0027036B">
      <w:pPr>
        <w:pStyle w:val="TOC2"/>
        <w:rPr>
          <w:rFonts w:asciiTheme="minorHAnsi" w:eastAsiaTheme="minorEastAsia" w:hAnsiTheme="minorHAnsi" w:cstheme="minorBidi"/>
          <w:sz w:val="22"/>
          <w:szCs w:val="22"/>
        </w:rPr>
      </w:pPr>
      <w:r>
        <w:t>A13. Estimates of Other Total Annual Cost Burden to Respondents or Recordkeepers</w:t>
      </w:r>
      <w:r>
        <w:tab/>
      </w:r>
      <w:r w:rsidR="00DB1AF9">
        <w:fldChar w:fldCharType="begin"/>
      </w:r>
      <w:r>
        <w:instrText xml:space="preserve"> PAGEREF _Toc304819992 \h </w:instrText>
      </w:r>
      <w:r w:rsidR="00DB1AF9">
        <w:fldChar w:fldCharType="separate"/>
      </w:r>
      <w:r>
        <w:t>10</w:t>
      </w:r>
      <w:r w:rsidR="00DB1AF9">
        <w:fldChar w:fldCharType="end"/>
      </w:r>
    </w:p>
    <w:p w:rsidR="0027036B" w:rsidRDefault="0027036B">
      <w:pPr>
        <w:pStyle w:val="TOC2"/>
        <w:rPr>
          <w:rFonts w:asciiTheme="minorHAnsi" w:eastAsiaTheme="minorEastAsia" w:hAnsiTheme="minorHAnsi" w:cstheme="minorBidi"/>
          <w:sz w:val="22"/>
          <w:szCs w:val="22"/>
        </w:rPr>
      </w:pPr>
      <w:r>
        <w:t>A14. Annualized Cost to the Government</w:t>
      </w:r>
      <w:r>
        <w:tab/>
      </w:r>
      <w:r w:rsidR="00DB1AF9">
        <w:fldChar w:fldCharType="begin"/>
      </w:r>
      <w:r>
        <w:instrText xml:space="preserve"> PAGEREF _Toc304819993 \h </w:instrText>
      </w:r>
      <w:r w:rsidR="00DB1AF9">
        <w:fldChar w:fldCharType="separate"/>
      </w:r>
      <w:r>
        <w:t>10</w:t>
      </w:r>
      <w:r w:rsidR="00DB1AF9">
        <w:fldChar w:fldCharType="end"/>
      </w:r>
    </w:p>
    <w:p w:rsidR="0027036B" w:rsidRDefault="0027036B">
      <w:pPr>
        <w:pStyle w:val="TOC2"/>
        <w:rPr>
          <w:rFonts w:asciiTheme="minorHAnsi" w:eastAsiaTheme="minorEastAsia" w:hAnsiTheme="minorHAnsi" w:cstheme="minorBidi"/>
          <w:sz w:val="22"/>
          <w:szCs w:val="22"/>
        </w:rPr>
      </w:pPr>
      <w:r>
        <w:t>A15. Explanation for Program Changes or Adjustments</w:t>
      </w:r>
      <w:r>
        <w:tab/>
      </w:r>
      <w:r w:rsidR="00DB1AF9">
        <w:fldChar w:fldCharType="begin"/>
      </w:r>
      <w:r>
        <w:instrText xml:space="preserve"> PAGEREF _Toc304819994 \h </w:instrText>
      </w:r>
      <w:r w:rsidR="00DB1AF9">
        <w:fldChar w:fldCharType="separate"/>
      </w:r>
      <w:r>
        <w:t>10</w:t>
      </w:r>
      <w:r w:rsidR="00DB1AF9">
        <w:fldChar w:fldCharType="end"/>
      </w:r>
    </w:p>
    <w:p w:rsidR="0027036B" w:rsidRDefault="0027036B">
      <w:pPr>
        <w:pStyle w:val="TOC2"/>
        <w:rPr>
          <w:rFonts w:asciiTheme="minorHAnsi" w:eastAsiaTheme="minorEastAsia" w:hAnsiTheme="minorHAnsi" w:cstheme="minorBidi"/>
          <w:sz w:val="22"/>
          <w:szCs w:val="22"/>
        </w:rPr>
      </w:pPr>
      <w:r>
        <w:t>A16. Plans for Tabulation and Publication and Project Time Schedule</w:t>
      </w:r>
      <w:r>
        <w:tab/>
      </w:r>
      <w:r w:rsidR="00DB1AF9">
        <w:fldChar w:fldCharType="begin"/>
      </w:r>
      <w:r>
        <w:instrText xml:space="preserve"> PAGEREF _Toc304819995 \h </w:instrText>
      </w:r>
      <w:r w:rsidR="00DB1AF9">
        <w:fldChar w:fldCharType="separate"/>
      </w:r>
      <w:r>
        <w:t>10</w:t>
      </w:r>
      <w:r w:rsidR="00DB1AF9">
        <w:fldChar w:fldCharType="end"/>
      </w:r>
    </w:p>
    <w:p w:rsidR="0027036B" w:rsidRDefault="0027036B">
      <w:pPr>
        <w:pStyle w:val="TOC2"/>
        <w:rPr>
          <w:rFonts w:asciiTheme="minorHAnsi" w:eastAsiaTheme="minorEastAsia" w:hAnsiTheme="minorHAnsi" w:cstheme="minorBidi"/>
          <w:sz w:val="22"/>
          <w:szCs w:val="22"/>
        </w:rPr>
      </w:pPr>
      <w:r>
        <w:t>A17. Reason(s) Display of OMB Expiration Date Is Inappropriate</w:t>
      </w:r>
      <w:r>
        <w:tab/>
      </w:r>
      <w:r w:rsidR="00DB1AF9">
        <w:fldChar w:fldCharType="begin"/>
      </w:r>
      <w:r>
        <w:instrText xml:space="preserve"> PAGEREF _Toc304819996 \h </w:instrText>
      </w:r>
      <w:r w:rsidR="00DB1AF9">
        <w:fldChar w:fldCharType="separate"/>
      </w:r>
      <w:r>
        <w:t>12</w:t>
      </w:r>
      <w:r w:rsidR="00DB1AF9">
        <w:fldChar w:fldCharType="end"/>
      </w:r>
    </w:p>
    <w:p w:rsidR="0027036B" w:rsidRDefault="0027036B">
      <w:pPr>
        <w:pStyle w:val="TOC2"/>
        <w:rPr>
          <w:rFonts w:asciiTheme="minorHAnsi" w:eastAsiaTheme="minorEastAsia" w:hAnsiTheme="minorHAnsi" w:cstheme="minorBidi"/>
          <w:sz w:val="22"/>
          <w:szCs w:val="22"/>
        </w:rPr>
      </w:pPr>
      <w:r>
        <w:t>A18. Exemptions to Certification for Paperwork Reduction Act Submissions</w:t>
      </w:r>
      <w:r>
        <w:tab/>
      </w:r>
      <w:r w:rsidR="00DB1AF9">
        <w:fldChar w:fldCharType="begin"/>
      </w:r>
      <w:r>
        <w:instrText xml:space="preserve"> PAGEREF _Toc304819997 \h </w:instrText>
      </w:r>
      <w:r w:rsidR="00DB1AF9">
        <w:fldChar w:fldCharType="separate"/>
      </w:r>
      <w:r>
        <w:t>12</w:t>
      </w:r>
      <w:r w:rsidR="00DB1AF9">
        <w:fldChar w:fldCharType="end"/>
      </w:r>
    </w:p>
    <w:p w:rsidR="0027036B" w:rsidRDefault="0027036B">
      <w:pPr>
        <w:pStyle w:val="TOC1"/>
        <w:rPr>
          <w:rFonts w:asciiTheme="minorHAnsi" w:eastAsiaTheme="minorEastAsia" w:hAnsiTheme="minorHAnsi" w:cstheme="minorBidi"/>
          <w:b w:val="0"/>
          <w:sz w:val="22"/>
          <w:szCs w:val="22"/>
        </w:rPr>
      </w:pPr>
      <w:r>
        <w:t>References</w:t>
      </w:r>
      <w:r>
        <w:tab/>
      </w:r>
      <w:r w:rsidR="00DB1AF9">
        <w:fldChar w:fldCharType="begin"/>
      </w:r>
      <w:r>
        <w:instrText xml:space="preserve"> PAGEREF _Toc304819998 \h </w:instrText>
      </w:r>
      <w:r w:rsidR="00DB1AF9">
        <w:fldChar w:fldCharType="separate"/>
      </w:r>
      <w:r>
        <w:t>13</w:t>
      </w:r>
      <w:r w:rsidR="00DB1AF9">
        <w:fldChar w:fldCharType="end"/>
      </w:r>
    </w:p>
    <w:p w:rsidR="000363D2" w:rsidRDefault="00DB1AF9" w:rsidP="000363D2">
      <w:pPr>
        <w:pStyle w:val="BodyText"/>
        <w:rPr>
          <w:b/>
        </w:rPr>
      </w:pPr>
      <w:r>
        <w:rPr>
          <w:rFonts w:ascii="Arial" w:hAnsi="Arial" w:cs="Arial"/>
          <w:b/>
          <w:noProof/>
        </w:rPr>
        <w:fldChar w:fldCharType="end"/>
      </w:r>
    </w:p>
    <w:p w:rsidR="000363D2" w:rsidRPr="000363D2" w:rsidRDefault="000363D2" w:rsidP="000363D2">
      <w:pPr>
        <w:pStyle w:val="BodyText"/>
      </w:pPr>
      <w:r w:rsidRPr="000363D2">
        <w:t>List of Attachments</w:t>
      </w:r>
    </w:p>
    <w:p w:rsidR="000363D2" w:rsidRPr="000363D2" w:rsidRDefault="000363D2" w:rsidP="000363D2">
      <w:pPr>
        <w:pStyle w:val="BodyText"/>
      </w:pPr>
      <w:proofErr w:type="gramStart"/>
      <w:r w:rsidRPr="000363D2">
        <w:t>Attachment A1</w:t>
      </w:r>
      <w:r w:rsidR="00CB4A83">
        <w:t>a</w:t>
      </w:r>
      <w:r w:rsidRPr="000363D2">
        <w:t>.</w:t>
      </w:r>
      <w:proofErr w:type="gramEnd"/>
      <w:r w:rsidRPr="000363D2">
        <w:t xml:space="preserve"> Pre</w:t>
      </w:r>
      <w:r w:rsidR="00F875C3">
        <w:t>-d</w:t>
      </w:r>
      <w:r w:rsidRPr="000363D2">
        <w:t xml:space="preserve">iscussion Information Sheet—Participant Version  </w:t>
      </w:r>
    </w:p>
    <w:p w:rsidR="00CB4A83" w:rsidRDefault="00CB4A83" w:rsidP="000363D2">
      <w:pPr>
        <w:pStyle w:val="BodyText"/>
      </w:pPr>
      <w:proofErr w:type="gramStart"/>
      <w:r w:rsidRPr="000363D2">
        <w:t>Attachment A1</w:t>
      </w:r>
      <w:r>
        <w:t>b</w:t>
      </w:r>
      <w:r w:rsidRPr="000363D2">
        <w:t>.</w:t>
      </w:r>
      <w:proofErr w:type="gramEnd"/>
      <w:r w:rsidRPr="000363D2">
        <w:t xml:space="preserve"> </w:t>
      </w:r>
      <w:r>
        <w:t>Post</w:t>
      </w:r>
      <w:r w:rsidR="005B12A1">
        <w:t>-</w:t>
      </w:r>
      <w:r w:rsidR="00F875C3">
        <w:t>d</w:t>
      </w:r>
      <w:r w:rsidRPr="000363D2">
        <w:t xml:space="preserve">iscussion Information Sheet—Participant Version  </w:t>
      </w:r>
    </w:p>
    <w:p w:rsidR="000363D2" w:rsidRPr="000363D2" w:rsidRDefault="000363D2" w:rsidP="000363D2">
      <w:pPr>
        <w:pStyle w:val="BodyText"/>
      </w:pPr>
      <w:proofErr w:type="gramStart"/>
      <w:r w:rsidRPr="000363D2">
        <w:t>Attachment A2.</w:t>
      </w:r>
      <w:proofErr w:type="gramEnd"/>
      <w:r w:rsidRPr="000363D2">
        <w:t xml:space="preserve"> Pre</w:t>
      </w:r>
      <w:r w:rsidR="00F875C3">
        <w:t>-</w:t>
      </w:r>
      <w:r w:rsidRPr="000363D2">
        <w:t>discussion Information Sheet—Participant Version (Latina)</w:t>
      </w:r>
    </w:p>
    <w:p w:rsidR="000363D2" w:rsidRPr="000363D2" w:rsidRDefault="000363D2" w:rsidP="000363D2">
      <w:pPr>
        <w:pStyle w:val="BodyText"/>
      </w:pPr>
      <w:r w:rsidRPr="000363D2">
        <w:t>Attachment B. Communication Materials</w:t>
      </w:r>
    </w:p>
    <w:p w:rsidR="000363D2" w:rsidRPr="000363D2" w:rsidRDefault="000363D2" w:rsidP="000363D2">
      <w:pPr>
        <w:pStyle w:val="BodyText"/>
      </w:pPr>
      <w:proofErr w:type="gramStart"/>
      <w:r w:rsidRPr="000363D2">
        <w:t>Attachment</w:t>
      </w:r>
      <w:r w:rsidR="00B1564D">
        <w:t>s</w:t>
      </w:r>
      <w:r w:rsidRPr="000363D2">
        <w:t xml:space="preserve"> C</w:t>
      </w:r>
      <w:r w:rsidR="00B1564D">
        <w:t>1-C3</w:t>
      </w:r>
      <w:r w:rsidRPr="000363D2">
        <w:t>.</w:t>
      </w:r>
      <w:proofErr w:type="gramEnd"/>
      <w:r w:rsidRPr="000363D2">
        <w:t xml:space="preserve"> Radio Health Messages</w:t>
      </w:r>
    </w:p>
    <w:p w:rsidR="000363D2" w:rsidRPr="000363D2" w:rsidRDefault="000363D2" w:rsidP="000363D2">
      <w:pPr>
        <w:pStyle w:val="BodyText"/>
      </w:pPr>
      <w:proofErr w:type="gramStart"/>
      <w:r w:rsidRPr="000363D2">
        <w:t>Attachment D1.</w:t>
      </w:r>
      <w:proofErr w:type="gramEnd"/>
      <w:r w:rsidRPr="000363D2">
        <w:t xml:space="preserve"> Recruitment Flyer</w:t>
      </w:r>
    </w:p>
    <w:p w:rsidR="000363D2" w:rsidRPr="000363D2" w:rsidRDefault="000363D2" w:rsidP="000363D2">
      <w:pPr>
        <w:pStyle w:val="BodyText"/>
      </w:pPr>
      <w:proofErr w:type="gramStart"/>
      <w:r w:rsidRPr="000363D2">
        <w:t>Attachment D2.</w:t>
      </w:r>
      <w:proofErr w:type="gramEnd"/>
      <w:r w:rsidRPr="000363D2">
        <w:t xml:space="preserve"> Recruitment Flyer (Latina)</w:t>
      </w:r>
    </w:p>
    <w:p w:rsidR="000363D2" w:rsidRPr="000363D2" w:rsidRDefault="000363D2" w:rsidP="000363D2">
      <w:pPr>
        <w:pStyle w:val="BodyText"/>
      </w:pPr>
      <w:proofErr w:type="gramStart"/>
      <w:r w:rsidRPr="000363D2">
        <w:lastRenderedPageBreak/>
        <w:t>Attachment E1.</w:t>
      </w:r>
      <w:proofErr w:type="gramEnd"/>
      <w:r w:rsidRPr="000363D2">
        <w:t xml:space="preserve"> Recruitment Screener</w:t>
      </w:r>
    </w:p>
    <w:p w:rsidR="000363D2" w:rsidRPr="000363D2" w:rsidRDefault="000363D2" w:rsidP="000363D2">
      <w:pPr>
        <w:pStyle w:val="BodyText"/>
      </w:pPr>
      <w:proofErr w:type="gramStart"/>
      <w:r w:rsidRPr="000363D2">
        <w:t>Attachment E2.</w:t>
      </w:r>
      <w:proofErr w:type="gramEnd"/>
      <w:r w:rsidRPr="000363D2">
        <w:t xml:space="preserve"> Recruitment Screener (Latina)</w:t>
      </w:r>
    </w:p>
    <w:p w:rsidR="000363D2" w:rsidRPr="000363D2" w:rsidRDefault="000363D2" w:rsidP="000363D2">
      <w:pPr>
        <w:pStyle w:val="BodyText"/>
      </w:pPr>
      <w:r w:rsidRPr="000363D2">
        <w:t>Attachment F. Observer Non-Disclosure Form</w:t>
      </w:r>
    </w:p>
    <w:p w:rsidR="000363D2" w:rsidRPr="000363D2" w:rsidRDefault="000363D2" w:rsidP="000363D2">
      <w:pPr>
        <w:pStyle w:val="BodyText"/>
      </w:pPr>
      <w:r w:rsidRPr="000363D2">
        <w:t>Attachment G. Non-Disclosure Agreement with Local Site Recruiters</w:t>
      </w:r>
    </w:p>
    <w:p w:rsidR="000363D2" w:rsidRPr="000363D2" w:rsidRDefault="000363D2" w:rsidP="000363D2">
      <w:pPr>
        <w:pStyle w:val="BodyText"/>
      </w:pPr>
      <w:proofErr w:type="gramStart"/>
      <w:r w:rsidRPr="000363D2">
        <w:t>Attachment H1.</w:t>
      </w:r>
      <w:proofErr w:type="gramEnd"/>
      <w:r w:rsidRPr="000363D2">
        <w:t xml:space="preserve"> Informed Consent Form</w:t>
      </w:r>
      <w:r w:rsidR="00CD2955">
        <w:t xml:space="preserve"> </w:t>
      </w:r>
      <w:r w:rsidR="00CD2955" w:rsidRPr="00DE5FF8">
        <w:t>(AAW)</w:t>
      </w:r>
    </w:p>
    <w:p w:rsidR="000363D2" w:rsidRDefault="000363D2" w:rsidP="000363D2">
      <w:pPr>
        <w:pStyle w:val="BodyText"/>
      </w:pPr>
      <w:proofErr w:type="gramStart"/>
      <w:r w:rsidRPr="000363D2">
        <w:t>Attachment H2.</w:t>
      </w:r>
      <w:proofErr w:type="gramEnd"/>
      <w:r w:rsidRPr="000363D2">
        <w:t xml:space="preserve"> Informed Consent Form (Latina)</w:t>
      </w:r>
    </w:p>
    <w:p w:rsidR="00542F01" w:rsidRPr="000363D2" w:rsidRDefault="00542F01" w:rsidP="000363D2">
      <w:pPr>
        <w:pStyle w:val="BodyText"/>
      </w:pPr>
      <w:proofErr w:type="gramStart"/>
      <w:r>
        <w:t>Attachment I.</w:t>
      </w:r>
      <w:proofErr w:type="gramEnd"/>
      <w:r>
        <w:t xml:space="preserve">  IRB Approval</w:t>
      </w:r>
    </w:p>
    <w:p w:rsidR="000363D2" w:rsidRPr="000363D2" w:rsidRDefault="000363D2" w:rsidP="000363D2">
      <w:pPr>
        <w:pStyle w:val="BodyText"/>
      </w:pPr>
      <w:proofErr w:type="gramStart"/>
      <w:r w:rsidRPr="000363D2">
        <w:t>Attachment J1.</w:t>
      </w:r>
      <w:proofErr w:type="gramEnd"/>
      <w:r w:rsidRPr="000363D2">
        <w:t xml:space="preserve"> Focus Group Moderator </w:t>
      </w:r>
      <w:r w:rsidRPr="00DE5FF8">
        <w:t>Guide</w:t>
      </w:r>
      <w:r w:rsidR="008A5A31" w:rsidRPr="00DE5FF8">
        <w:t xml:space="preserve"> (AAW)</w:t>
      </w:r>
    </w:p>
    <w:p w:rsidR="000363D2" w:rsidRPr="000363D2" w:rsidRDefault="000363D2" w:rsidP="000363D2">
      <w:pPr>
        <w:pStyle w:val="BodyText"/>
      </w:pPr>
      <w:proofErr w:type="gramStart"/>
      <w:r w:rsidRPr="000363D2">
        <w:t>Attachment J2.</w:t>
      </w:r>
      <w:proofErr w:type="gramEnd"/>
      <w:r w:rsidRPr="000363D2">
        <w:t xml:space="preserve"> Focus Group Moderator Guide (Latina)</w:t>
      </w:r>
    </w:p>
    <w:p w:rsidR="000363D2" w:rsidRPr="000363D2" w:rsidRDefault="000363D2" w:rsidP="000363D2">
      <w:pPr>
        <w:pStyle w:val="BodyText"/>
      </w:pPr>
      <w:r w:rsidRPr="000363D2">
        <w:t>Attachment K. Pre</w:t>
      </w:r>
      <w:r w:rsidR="004D6F00">
        <w:t>/Post</w:t>
      </w:r>
      <w:r w:rsidR="00F875C3">
        <w:t>-d</w:t>
      </w:r>
      <w:r w:rsidRPr="000363D2">
        <w:t>iscussion Information Sheet (P</w:t>
      </w:r>
      <w:r w:rsidR="005B12A1">
        <w:t>re</w:t>
      </w:r>
      <w:r w:rsidR="004D6F00">
        <w:t>/Post</w:t>
      </w:r>
      <w:r w:rsidR="005B12A1">
        <w:t>-</w:t>
      </w:r>
      <w:r w:rsidRPr="000363D2">
        <w:t>DIS)—Moderator Version</w:t>
      </w:r>
    </w:p>
    <w:p w:rsidR="000363D2" w:rsidRPr="000363D2" w:rsidRDefault="000363D2" w:rsidP="000363D2">
      <w:pPr>
        <w:pStyle w:val="BodyText"/>
      </w:pPr>
      <w:r w:rsidRPr="000363D2">
        <w:t>Attachment L. Sample Topline Summary</w:t>
      </w:r>
    </w:p>
    <w:p w:rsidR="0037566C" w:rsidRPr="00E15057" w:rsidRDefault="000363D2" w:rsidP="000363D2">
      <w:pPr>
        <w:rPr>
          <w:rFonts w:ascii="Arial Narrow" w:hAnsi="Arial Narrow"/>
        </w:rPr>
        <w:sectPr w:rsidR="0037566C" w:rsidRPr="00E15057" w:rsidSect="0037566C">
          <w:headerReference w:type="default" r:id="rId13"/>
          <w:footerReference w:type="default" r:id="rId14"/>
          <w:pgSz w:w="12240" w:h="15840" w:code="1"/>
          <w:pgMar w:top="1440" w:right="1440" w:bottom="1440" w:left="1440" w:header="720" w:footer="626" w:gutter="0"/>
          <w:pgNumType w:start="1"/>
          <w:cols w:space="720"/>
          <w:docGrid w:linePitch="326"/>
        </w:sectPr>
      </w:pPr>
      <w:r w:rsidRPr="00E15057">
        <w:rPr>
          <w:rFonts w:ascii="Arial Narrow" w:hAnsi="Arial Narrow"/>
        </w:rPr>
        <w:t xml:space="preserve"> </w:t>
      </w:r>
    </w:p>
    <w:p w:rsidR="00FD4A87" w:rsidRPr="00E15057" w:rsidRDefault="00DD3FBF" w:rsidP="005F7122">
      <w:pPr>
        <w:pStyle w:val="Heading1"/>
      </w:pPr>
      <w:bookmarkStart w:id="7" w:name="_Toc304819980"/>
      <w:r w:rsidRPr="00E15057">
        <w:lastRenderedPageBreak/>
        <w:t>A. JUSTIFICATION</w:t>
      </w:r>
      <w:bookmarkEnd w:id="7"/>
    </w:p>
    <w:p w:rsidR="00390DC4" w:rsidRPr="00E15057" w:rsidRDefault="00DD3FBF" w:rsidP="005F7122">
      <w:pPr>
        <w:pStyle w:val="Heading2"/>
      </w:pPr>
      <w:bookmarkStart w:id="8" w:name="_Toc304819981"/>
      <w:r w:rsidRPr="00E15057">
        <w:t>A1. Circumstances Making the Collection of Information Necessary</w:t>
      </w:r>
      <w:bookmarkEnd w:id="8"/>
    </w:p>
    <w:p w:rsidR="00BA05EE" w:rsidRPr="00E15057" w:rsidRDefault="00390DC4" w:rsidP="005F7122">
      <w:pPr>
        <w:pStyle w:val="BodyText"/>
      </w:pPr>
      <w:r w:rsidRPr="00E15057">
        <w:t>While deaths from breast and cervical cancer in women in the United States have decreased over the past several decades, mortality rates could be reduced even further by increasing cancer screening rates among women at risk (Centers for Disease Control and Prevention, 2010).</w:t>
      </w:r>
      <w:r w:rsidRPr="00E15057">
        <w:rPr>
          <w:rStyle w:val="FootnoteReference"/>
        </w:rPr>
        <w:t xml:space="preserve"> </w:t>
      </w:r>
      <w:r w:rsidRPr="00E15057">
        <w:t>To improve access to breast and cervical cancer screening among low</w:t>
      </w:r>
      <w:r w:rsidR="00D26EE8" w:rsidRPr="00E15057">
        <w:t>-</w:t>
      </w:r>
      <w:r w:rsidRPr="00E15057">
        <w:t>income, uninsured</w:t>
      </w:r>
      <w:r w:rsidR="00D26EE8" w:rsidRPr="00E15057">
        <w:t>,</w:t>
      </w:r>
      <w:r w:rsidRPr="00E15057">
        <w:t xml:space="preserve"> and underinsured at-risk populations in the United States, Congress passed the Breast and Cervical Cancer Mortality Prevention Act of 1990, which authorized the Centers for Disease Control and Prevention (CDC) to create the National Breast and Cervical Cancer Early Detection Program (NBCCEDP). Through the NBCCEDP, CDC is working to i</w:t>
      </w:r>
      <w:r w:rsidR="00E531A5">
        <w:t>mprove</w:t>
      </w:r>
      <w:r w:rsidR="00EC0D44">
        <w:t xml:space="preserve"> </w:t>
      </w:r>
      <w:r w:rsidRPr="00E15057">
        <w:t xml:space="preserve"> access to breast and cervical cancer early detection and treatment services for women who have rarely or never been screened and develop</w:t>
      </w:r>
      <w:r w:rsidR="00E531A5">
        <w:t>ing</w:t>
      </w:r>
      <w:r w:rsidRPr="00E15057">
        <w:t xml:space="preserve"> effective strategies to improve rescreening rates among women enrolled in the program. To reach these goals, the NBCCEDP </w:t>
      </w:r>
      <w:r w:rsidR="00AB7508" w:rsidRPr="00E15057">
        <w:t>seeks to increase breast and cervical cancer screening among uninsured, low-income women. Participating programs provide breast and cervical cancer screening</w:t>
      </w:r>
      <w:r w:rsidR="00D26EE8" w:rsidRPr="00E15057">
        <w:t>,</w:t>
      </w:r>
      <w:r w:rsidR="00AB7508" w:rsidRPr="00E15057">
        <w:t xml:space="preserve"> diagnostic testing</w:t>
      </w:r>
      <w:r w:rsidR="00D26EE8" w:rsidRPr="00E15057">
        <w:t>,</w:t>
      </w:r>
      <w:r w:rsidR="00AB7508" w:rsidRPr="00E15057">
        <w:t xml:space="preserve"> surveillance and follow-up</w:t>
      </w:r>
      <w:r w:rsidR="00D26EE8" w:rsidRPr="00E15057">
        <w:t>,</w:t>
      </w:r>
      <w:r w:rsidR="00AB7508" w:rsidRPr="00E15057">
        <w:t xml:space="preserve"> case management</w:t>
      </w:r>
      <w:r w:rsidR="00D26EE8" w:rsidRPr="00E15057">
        <w:t>,</w:t>
      </w:r>
      <w:r w:rsidR="00AB7508" w:rsidRPr="00E15057">
        <w:t xml:space="preserve"> public education and outreach</w:t>
      </w:r>
      <w:r w:rsidR="00D26EE8" w:rsidRPr="00E15057">
        <w:t>,</w:t>
      </w:r>
      <w:r w:rsidR="00AB7508" w:rsidRPr="00E15057">
        <w:t xml:space="preserve"> professional education and training</w:t>
      </w:r>
      <w:r w:rsidR="00D26EE8" w:rsidRPr="00E15057">
        <w:t>,</w:t>
      </w:r>
      <w:r w:rsidR="00AB7508" w:rsidRPr="00E15057">
        <w:t xml:space="preserve"> quality assurance of screening tests</w:t>
      </w:r>
      <w:r w:rsidR="00D26EE8" w:rsidRPr="00E15057">
        <w:t>,</w:t>
      </w:r>
      <w:r w:rsidR="00AB7508" w:rsidRPr="00E15057">
        <w:t xml:space="preserve"> coalition and partnership development</w:t>
      </w:r>
      <w:r w:rsidR="00D26EE8" w:rsidRPr="00E15057">
        <w:t>,</w:t>
      </w:r>
      <w:r w:rsidR="00AB7508" w:rsidRPr="00E15057">
        <w:t xml:space="preserve"> and program evaluation.</w:t>
      </w:r>
    </w:p>
    <w:p w:rsidR="00D3564B" w:rsidRDefault="00AB7508" w:rsidP="005F7122">
      <w:pPr>
        <w:pStyle w:val="BodyText"/>
      </w:pPr>
      <w:r w:rsidRPr="00E15057">
        <w:t>The NBCCEDP has had success in delivering mammography screening tests to participants; however, nationally, the program is estimated to reach only approximately 1</w:t>
      </w:r>
      <w:r w:rsidR="00504B4E">
        <w:t>3</w:t>
      </w:r>
      <w:r w:rsidRPr="00E15057">
        <w:t>% of eligible women aged 40 to 64 years with mammograms (</w:t>
      </w:r>
      <w:r w:rsidR="00750D42" w:rsidRPr="00E15057">
        <w:t>Tangka et al., 200</w:t>
      </w:r>
      <w:r w:rsidR="00504B4E">
        <w:t>6</w:t>
      </w:r>
      <w:r w:rsidRPr="00E15057">
        <w:t xml:space="preserve">). As a result, a priority of the NBCCEDP is to identify effective strategies to increase enrollment among program-eligible women who have never received breast cancer screening. </w:t>
      </w:r>
      <w:r w:rsidR="00D26EE8" w:rsidRPr="00E15057">
        <w:t>A</w:t>
      </w:r>
      <w:r w:rsidRPr="00E15057">
        <w:t xml:space="preserve"> need </w:t>
      </w:r>
      <w:r w:rsidR="00D26EE8" w:rsidRPr="00E15057">
        <w:t xml:space="preserve">exists </w:t>
      </w:r>
      <w:r w:rsidRPr="00E15057">
        <w:t>to improve outreach to this population of at-risk women for whom services exist and are accessible, but who are not participating for reasons not yet identified in previous studies. Why NBCCEDP-eligible women do not participate in screening is not well understood</w:t>
      </w:r>
      <w:r w:rsidR="000F50E6">
        <w:t>.</w:t>
      </w:r>
    </w:p>
    <w:p w:rsidR="001A5F74" w:rsidRPr="00E15057" w:rsidRDefault="001A5F74" w:rsidP="005F7122">
      <w:pPr>
        <w:pStyle w:val="BodyText"/>
      </w:pPr>
      <w:r>
        <w:t xml:space="preserve">CDC plans to conduct a communication campaign in North Carolina to increase utilization of NBCCEDP services by women who are eligible for those services. </w:t>
      </w:r>
      <w:r w:rsidRPr="00E15057">
        <w:t>The effectiveness of health communication messages/materials can be evaluated in many ways; however, all involve getting pre and post message/materials development feedback directly from the target audience (</w:t>
      </w:r>
      <w:proofErr w:type="spellStart"/>
      <w:r w:rsidRPr="00E15057">
        <w:t>Atkin</w:t>
      </w:r>
      <w:proofErr w:type="spellEnd"/>
      <w:r w:rsidRPr="00E15057">
        <w:t xml:space="preserve"> &amp; </w:t>
      </w:r>
      <w:proofErr w:type="spellStart"/>
      <w:r w:rsidRPr="00E15057">
        <w:t>Freimuth</w:t>
      </w:r>
      <w:proofErr w:type="spellEnd"/>
      <w:r w:rsidRPr="00E15057">
        <w:t>, 1989; Palmer, 1981).</w:t>
      </w:r>
      <w:r w:rsidRPr="001A5F74">
        <w:t xml:space="preserve"> </w:t>
      </w:r>
      <w:r>
        <w:t xml:space="preserve"> </w:t>
      </w:r>
      <w:r w:rsidRPr="00E15057">
        <w:t>Th</w:t>
      </w:r>
      <w:r>
        <w:t>e proposed</w:t>
      </w:r>
      <w:r w:rsidRPr="00E15057">
        <w:t xml:space="preserve"> </w:t>
      </w:r>
      <w:r>
        <w:t>new information collection</w:t>
      </w:r>
      <w:r w:rsidRPr="00E15057">
        <w:t xml:space="preserve"> will gather pre message/material development information (via focus groups) on audience characteristics, </w:t>
      </w:r>
      <w:r w:rsidRPr="00E15057">
        <w:rPr>
          <w:rFonts w:cs="Arial"/>
        </w:rPr>
        <w:t xml:space="preserve">thoughts about health, breast cancer, screening and viable messages to educate women about breast cancer and screening directly from NBCCEDP-eligible Latinas. We will also gather data directly from African American women to </w:t>
      </w:r>
      <w:r w:rsidRPr="00E15057">
        <w:t>test existing communication materials (Attachment B) and radio health messages (Attachment</w:t>
      </w:r>
      <w:r w:rsidR="00B1564D">
        <w:t>s</w:t>
      </w:r>
      <w:r w:rsidRPr="00E15057">
        <w:t xml:space="preserve"> C</w:t>
      </w:r>
      <w:r w:rsidR="00B1564D">
        <w:t>1-C3</w:t>
      </w:r>
      <w:r w:rsidRPr="00E15057">
        <w:t xml:space="preserve">) developed to increase mammography screening among NBCCEDP-eligible African American women. </w:t>
      </w:r>
    </w:p>
    <w:p w:rsidR="00FD4A87" w:rsidRPr="00E15057" w:rsidRDefault="00BA05EE" w:rsidP="005F7122">
      <w:pPr>
        <w:pStyle w:val="BodyText"/>
      </w:pPr>
      <w:r w:rsidRPr="00E15057">
        <w:t>CDC</w:t>
      </w:r>
      <w:r w:rsidR="00D26EE8" w:rsidRPr="00E15057">
        <w:t>’s</w:t>
      </w:r>
      <w:r w:rsidR="00AB7508" w:rsidRPr="00E15057">
        <w:t xml:space="preserve"> Division of Cancer Prevention and Control </w:t>
      </w:r>
      <w:r w:rsidR="00D26EE8" w:rsidRPr="00E15057">
        <w:t xml:space="preserve">(DCPC) </w:t>
      </w:r>
      <w:r w:rsidR="00AB7508" w:rsidRPr="00E15057">
        <w:t xml:space="preserve">is requesting Office of Management and Budget (OMB) approval to </w:t>
      </w:r>
      <w:r w:rsidR="003319A8" w:rsidRPr="00E15057">
        <w:t xml:space="preserve">conduct </w:t>
      </w:r>
      <w:r w:rsidR="008A479A" w:rsidRPr="00E15057">
        <w:t xml:space="preserve">message/material testing research </w:t>
      </w:r>
      <w:r w:rsidR="003319A8" w:rsidRPr="00E15057">
        <w:t>with</w:t>
      </w:r>
      <w:r w:rsidR="00775F68" w:rsidRPr="00E15057">
        <w:t xml:space="preserve"> </w:t>
      </w:r>
      <w:r w:rsidR="003319A8" w:rsidRPr="00E15057">
        <w:t xml:space="preserve">African American women using materials and messages from the </w:t>
      </w:r>
      <w:r w:rsidR="00775F68" w:rsidRPr="00E15057">
        <w:t>African American Women and Mass Media</w:t>
      </w:r>
      <w:r w:rsidR="00C06E63" w:rsidRPr="00E15057">
        <w:t xml:space="preserve"> (AAMM)</w:t>
      </w:r>
      <w:r w:rsidR="00775F68" w:rsidRPr="00E15057">
        <w:t xml:space="preserve"> project previously impleme</w:t>
      </w:r>
      <w:r w:rsidR="00A67724" w:rsidRPr="00E15057">
        <w:t>nted and evaluated in Georgia</w:t>
      </w:r>
      <w:r w:rsidR="00E130DC">
        <w:t xml:space="preserve"> (OMB No. 0920-0652, Formative Research on Issues Related to the Use of Mass Media in African-American Women, exp. 3/31/2006; and OMB No. 0920-0738, Formative Research on Issues Related to the Use of Mass Media in African-American Women, Phase II, exp. 12/31/2007)</w:t>
      </w:r>
      <w:r w:rsidR="00A67724" w:rsidRPr="00E15057">
        <w:t xml:space="preserve">. </w:t>
      </w:r>
      <w:r w:rsidR="000E0A3D" w:rsidRPr="00E15057">
        <w:t xml:space="preserve">The AAMM is a multiphase, community-based intervention using radio and print media to increase knowledge and awareness of the </w:t>
      </w:r>
      <w:r w:rsidR="00E531A5">
        <w:t xml:space="preserve">availability of </w:t>
      </w:r>
      <w:r w:rsidR="000E0A3D" w:rsidRPr="00E15057">
        <w:t>local NBCCEDP</w:t>
      </w:r>
      <w:r w:rsidR="00E531A5">
        <w:t xml:space="preserve"> screening services</w:t>
      </w:r>
      <w:r w:rsidR="000E0A3D" w:rsidRPr="00E15057">
        <w:t xml:space="preserve"> and increase use of program </w:t>
      </w:r>
      <w:r w:rsidR="00E531A5">
        <w:t xml:space="preserve">low- or </w:t>
      </w:r>
      <w:r w:rsidR="000E0A3D" w:rsidRPr="00E15057">
        <w:t xml:space="preserve">no-cost mammograms among eligible African American women. </w:t>
      </w:r>
      <w:r w:rsidR="008A479A" w:rsidRPr="00E15057">
        <w:t xml:space="preserve">In addition, we request approval to conduct formative research with women who are Hispanic/Latina </w:t>
      </w:r>
      <w:r w:rsidR="001B32A3" w:rsidRPr="00E15057">
        <w:t xml:space="preserve">(hereafter referred to </w:t>
      </w:r>
      <w:r w:rsidR="001B32A3" w:rsidRPr="00E15057">
        <w:lastRenderedPageBreak/>
        <w:t xml:space="preserve">as Latina) </w:t>
      </w:r>
      <w:r w:rsidR="008A479A" w:rsidRPr="00E15057">
        <w:t xml:space="preserve">to </w:t>
      </w:r>
      <w:r w:rsidR="008A479A" w:rsidRPr="00E15057">
        <w:rPr>
          <w:rFonts w:cs="Arial"/>
        </w:rPr>
        <w:t>learn their thoughts about health, breast cancer, screening</w:t>
      </w:r>
      <w:r w:rsidR="00E531A5">
        <w:rPr>
          <w:rFonts w:cs="Arial"/>
        </w:rPr>
        <w:t xml:space="preserve"> and early detection,</w:t>
      </w:r>
      <w:r w:rsidR="008A479A" w:rsidRPr="00E15057">
        <w:rPr>
          <w:rFonts w:cs="Arial"/>
        </w:rPr>
        <w:t xml:space="preserve"> and viable messages to educate women about breast cancer and increase screening among </w:t>
      </w:r>
      <w:r w:rsidR="00E531A5">
        <w:rPr>
          <w:rFonts w:cs="Arial"/>
        </w:rPr>
        <w:t xml:space="preserve">those </w:t>
      </w:r>
      <w:r w:rsidR="008A479A" w:rsidRPr="00E15057">
        <w:rPr>
          <w:rFonts w:cs="Arial"/>
        </w:rPr>
        <w:t>women who may qualify for free</w:t>
      </w:r>
      <w:r w:rsidR="0079398D">
        <w:rPr>
          <w:rFonts w:cs="Arial"/>
        </w:rPr>
        <w:t xml:space="preserve"> or low-cost</w:t>
      </w:r>
      <w:r w:rsidR="008A479A" w:rsidRPr="00E15057">
        <w:rPr>
          <w:rFonts w:cs="Arial"/>
        </w:rPr>
        <w:t xml:space="preserve"> breast cancer screening. </w:t>
      </w:r>
      <w:r w:rsidR="008A479A" w:rsidRPr="00E15057">
        <w:t xml:space="preserve">This </w:t>
      </w:r>
      <w:r w:rsidR="00D3564B" w:rsidRPr="00E15057">
        <w:t xml:space="preserve">project addresses </w:t>
      </w:r>
      <w:r w:rsidR="00D26EE8" w:rsidRPr="00E15057">
        <w:t xml:space="preserve">the following </w:t>
      </w:r>
      <w:r w:rsidR="00D3564B" w:rsidRPr="00E15057">
        <w:t>DCPC strategic priorities:</w:t>
      </w:r>
    </w:p>
    <w:p w:rsidR="00D3564B" w:rsidRPr="00E15057" w:rsidRDefault="00D3564B" w:rsidP="005F7122">
      <w:pPr>
        <w:pStyle w:val="Bullet1"/>
      </w:pPr>
      <w:r w:rsidRPr="00E15057">
        <w:t>Develop and assess the effectiveness of methods to influence the public regarding the prevention and early detection of cancer</w:t>
      </w:r>
    </w:p>
    <w:p w:rsidR="00D3564B" w:rsidRPr="00E15057" w:rsidRDefault="00D3564B" w:rsidP="005F7122">
      <w:pPr>
        <w:pStyle w:val="Bullet1"/>
      </w:pPr>
      <w:r w:rsidRPr="00E15057">
        <w:t>Develop, implement</w:t>
      </w:r>
      <w:r w:rsidR="004B4344" w:rsidRPr="00E15057">
        <w:t>,</w:t>
      </w:r>
      <w:r w:rsidRPr="00E15057">
        <w:t xml:space="preserve"> and rigorously test interventions designed to increase screening rates among women at highest risk</w:t>
      </w:r>
    </w:p>
    <w:p w:rsidR="00FD4A87" w:rsidRPr="00E15057" w:rsidRDefault="00D3564B" w:rsidP="005F7122">
      <w:pPr>
        <w:pStyle w:val="Bullet1Last"/>
      </w:pPr>
      <w:r w:rsidRPr="00E15057">
        <w:t>Evaluate and disseminate interventions that increase screening behaviors</w:t>
      </w:r>
    </w:p>
    <w:p w:rsidR="00426996" w:rsidRPr="007134AE" w:rsidRDefault="001E29C0" w:rsidP="005F7122">
      <w:pPr>
        <w:pStyle w:val="BodyText"/>
        <w:rPr>
          <w:u w:val="single"/>
        </w:rPr>
      </w:pPr>
      <w:r w:rsidRPr="001E29C0">
        <w:rPr>
          <w:u w:val="single"/>
        </w:rPr>
        <w:t>Privacy Impact Assessment</w:t>
      </w:r>
    </w:p>
    <w:p w:rsidR="00426996" w:rsidRDefault="00426996" w:rsidP="005F7122">
      <w:pPr>
        <w:pStyle w:val="BodyText"/>
      </w:pPr>
      <w:r>
        <w:t>Overview of the Data Collection</w:t>
      </w:r>
      <w:r w:rsidR="007134AE">
        <w:t xml:space="preserve"> System</w:t>
      </w:r>
    </w:p>
    <w:p w:rsidR="007134AE" w:rsidRPr="00E15057" w:rsidRDefault="00D76AE2" w:rsidP="007134AE">
      <w:pPr>
        <w:pStyle w:val="BodyText"/>
      </w:pPr>
      <w:r>
        <w:t>Information will be collected</w:t>
      </w:r>
      <w:r w:rsidR="007134AE">
        <w:t xml:space="preserve"> by CDC’s data collection contractor</w:t>
      </w:r>
      <w:r>
        <w:t xml:space="preserve"> </w:t>
      </w:r>
      <w:r w:rsidR="000E7BC1">
        <w:t>in</w:t>
      </w:r>
      <w:r>
        <w:t xml:space="preserve"> 12 focus group</w:t>
      </w:r>
      <w:r w:rsidR="007134AE">
        <w:t xml:space="preserve"> discussion</w:t>
      </w:r>
      <w:r>
        <w:t xml:space="preserve">s in North Carolina.  </w:t>
      </w:r>
      <w:r w:rsidR="007134AE">
        <w:t xml:space="preserve">Focus groups will be facilitated by a professional moderator.  </w:t>
      </w:r>
      <w:r w:rsidR="007134AE" w:rsidRPr="00E15057">
        <w:t xml:space="preserve">Focus group participants will include women who are eligible for use of NBCCEDP services and thereby represent a low-income, medically uninsured population. Although educationally disadvantaged individuals are not the target group, many who are economically disadvantaged have a low level of education. For this </w:t>
      </w:r>
      <w:r w:rsidR="00FA2DCF">
        <w:t>information collection</w:t>
      </w:r>
      <w:r w:rsidR="007134AE" w:rsidRPr="00E15057">
        <w:t xml:space="preserve">, we are using the same eligibility criteria that the NBCCEDP uses to determine program enrollment eligibility. To be eligible for enrollment in the State Breast Cancer Control Program (BCCP) and receive federally funded breast </w:t>
      </w:r>
      <w:r w:rsidR="007134AE">
        <w:t xml:space="preserve">cancer </w:t>
      </w:r>
      <w:r w:rsidR="007134AE" w:rsidRPr="00E15057">
        <w:t>screening, a woman must be</w:t>
      </w:r>
    </w:p>
    <w:p w:rsidR="007134AE" w:rsidRPr="00E15057" w:rsidRDefault="007134AE" w:rsidP="007134AE">
      <w:pPr>
        <w:pStyle w:val="Bullet1"/>
      </w:pPr>
      <w:r w:rsidRPr="00E15057">
        <w:t>within the age requirements for recommended breast cancer screening,</w:t>
      </w:r>
    </w:p>
    <w:p w:rsidR="007134AE" w:rsidRPr="00E15057" w:rsidRDefault="007134AE" w:rsidP="007134AE">
      <w:pPr>
        <w:pStyle w:val="Bullet1"/>
      </w:pPr>
      <w:r w:rsidRPr="00E15057">
        <w:t>at or below 200% of the Federal poverty guidelines,</w:t>
      </w:r>
    </w:p>
    <w:p w:rsidR="007134AE" w:rsidRPr="00E15057" w:rsidRDefault="007134AE" w:rsidP="007134AE">
      <w:pPr>
        <w:pStyle w:val="Bullet1"/>
      </w:pPr>
      <w:r w:rsidRPr="00E15057">
        <w:t>uninsured,</w:t>
      </w:r>
    </w:p>
    <w:p w:rsidR="007134AE" w:rsidRPr="00E15057" w:rsidRDefault="007134AE" w:rsidP="007134AE">
      <w:pPr>
        <w:pStyle w:val="Bullet1"/>
      </w:pPr>
      <w:r w:rsidRPr="00E15057">
        <w:t>aged 40–64 years,</w:t>
      </w:r>
    </w:p>
    <w:p w:rsidR="007134AE" w:rsidRDefault="007134AE" w:rsidP="007134AE">
      <w:pPr>
        <w:pStyle w:val="Bullet1Last"/>
      </w:pPr>
      <w:proofErr w:type="gramStart"/>
      <w:r w:rsidRPr="00E15057">
        <w:t>a</w:t>
      </w:r>
      <w:proofErr w:type="gramEnd"/>
      <w:r w:rsidRPr="00E15057">
        <w:t xml:space="preserve"> resident of the State of North Carolina.</w:t>
      </w:r>
    </w:p>
    <w:p w:rsidR="007A1DBA" w:rsidRDefault="00B1564D" w:rsidP="007A1DBA">
      <w:pPr>
        <w:pStyle w:val="Bullet1"/>
        <w:numPr>
          <w:ilvl w:val="0"/>
          <w:numId w:val="0"/>
        </w:numPr>
        <w:ind w:left="420"/>
      </w:pPr>
      <w:r>
        <w:t>Additionally, study subjects must participate in English.</w:t>
      </w:r>
    </w:p>
    <w:p w:rsidR="007A1DBA" w:rsidRDefault="007A1DBA" w:rsidP="007A1DBA">
      <w:pPr>
        <w:pStyle w:val="Bullet1"/>
        <w:numPr>
          <w:ilvl w:val="0"/>
          <w:numId w:val="0"/>
        </w:numPr>
        <w:ind w:left="420"/>
      </w:pPr>
    </w:p>
    <w:p w:rsidR="007134AE" w:rsidRDefault="007134AE" w:rsidP="00D76AE2">
      <w:pPr>
        <w:pStyle w:val="BodyText"/>
      </w:pPr>
      <w:r>
        <w:t xml:space="preserve">Items of Information to be </w:t>
      </w:r>
      <w:proofErr w:type="gramStart"/>
      <w:r>
        <w:t>Collected</w:t>
      </w:r>
      <w:proofErr w:type="gramEnd"/>
    </w:p>
    <w:p w:rsidR="00542F01" w:rsidRPr="00932D0C" w:rsidRDefault="000E7BC1" w:rsidP="00542F01">
      <w:pPr>
        <w:pStyle w:val="BodyText"/>
      </w:pPr>
      <w:r>
        <w:t>The screening instruments will collect information necessary to identify members of the target audience(s)</w:t>
      </w:r>
      <w:r w:rsidR="00542F01">
        <w:t xml:space="preserve"> (see Attachments E1 and E2)</w:t>
      </w:r>
      <w:r>
        <w:t xml:space="preserve">. </w:t>
      </w:r>
      <w:r w:rsidR="00542F01" w:rsidRPr="00E15057">
        <w:t xml:space="preserve">The </w:t>
      </w:r>
      <w:r w:rsidR="00542F01">
        <w:t xml:space="preserve">discussion guide for the </w:t>
      </w:r>
      <w:r w:rsidR="00542F01" w:rsidRPr="00E15057">
        <w:t xml:space="preserve">eight </w:t>
      </w:r>
      <w:r w:rsidR="003D1046">
        <w:t xml:space="preserve">moderated </w:t>
      </w:r>
      <w:r w:rsidR="00542F01" w:rsidRPr="00E15057">
        <w:t xml:space="preserve">focus groups with African American women </w:t>
      </w:r>
      <w:r w:rsidR="00542F01">
        <w:t xml:space="preserve">(Attachment J1) </w:t>
      </w:r>
      <w:r w:rsidR="00542F01" w:rsidRPr="00E15057">
        <w:t xml:space="preserve">will explore whether or not the messages and materials </w:t>
      </w:r>
      <w:r w:rsidR="00542F01">
        <w:t xml:space="preserve">previously used for a GA study </w:t>
      </w:r>
      <w:r w:rsidR="00542F01" w:rsidRPr="00E15057">
        <w:t xml:space="preserve">are clear and understandable to the target audiences in NC, are personally relevant to the NC target audiences, have sensitive or controversial elements, capture the audience’s attention, match the NC audiences’ preferences for wording and format, and confirm that selected settings and activities for intervention implementation are appropriate. </w:t>
      </w:r>
      <w:r w:rsidR="00D76AE2" w:rsidRPr="00E15057">
        <w:t xml:space="preserve">The </w:t>
      </w:r>
      <w:r w:rsidR="003D1046">
        <w:t xml:space="preserve">questions in the moderator’s </w:t>
      </w:r>
      <w:r>
        <w:t xml:space="preserve">discussion guide for the </w:t>
      </w:r>
      <w:r w:rsidR="00D76AE2" w:rsidRPr="00E15057">
        <w:t>four</w:t>
      </w:r>
      <w:r w:rsidR="00D76AE2">
        <w:t xml:space="preserve"> formative</w:t>
      </w:r>
      <w:r w:rsidR="00D76AE2" w:rsidRPr="00E15057">
        <w:t xml:space="preserve"> focus groups with Latinas </w:t>
      </w:r>
      <w:r w:rsidR="00542F01">
        <w:t xml:space="preserve">(Attachment J2) </w:t>
      </w:r>
      <w:r w:rsidR="00D76AE2" w:rsidRPr="00E15057">
        <w:t xml:space="preserve">will explore </w:t>
      </w:r>
      <w:r w:rsidR="00D76AE2" w:rsidRPr="00E15057">
        <w:rPr>
          <w:rFonts w:cs="Arial"/>
        </w:rPr>
        <w:t>women’s thoughts about health, breast cancer, screening</w:t>
      </w:r>
      <w:r w:rsidR="00D76AE2">
        <w:rPr>
          <w:rFonts w:cs="Arial"/>
        </w:rPr>
        <w:t xml:space="preserve"> and early detection,</w:t>
      </w:r>
      <w:r w:rsidR="00D76AE2" w:rsidRPr="00E15057">
        <w:rPr>
          <w:rFonts w:cs="Arial"/>
        </w:rPr>
        <w:t xml:space="preserve"> and viable messages to educate women about breast cancer and </w:t>
      </w:r>
      <w:r w:rsidR="00D76AE2">
        <w:rPr>
          <w:rFonts w:cs="Arial"/>
        </w:rPr>
        <w:t xml:space="preserve">mammography </w:t>
      </w:r>
      <w:r w:rsidR="00D76AE2" w:rsidRPr="00E15057">
        <w:rPr>
          <w:rFonts w:cs="Arial"/>
        </w:rPr>
        <w:t>screening</w:t>
      </w:r>
      <w:r w:rsidR="00D76AE2">
        <w:rPr>
          <w:rFonts w:cs="Arial"/>
        </w:rPr>
        <w:t xml:space="preserve">.  </w:t>
      </w:r>
      <w:r w:rsidR="00A5191C">
        <w:t xml:space="preserve">Each focus group participant will complete a </w:t>
      </w:r>
      <w:r w:rsidR="00844CC9">
        <w:t xml:space="preserve">Pre-discussion Information Sheet </w:t>
      </w:r>
      <w:r w:rsidR="00A5191C">
        <w:t>(P</w:t>
      </w:r>
      <w:r w:rsidR="005B12A1">
        <w:t>re-</w:t>
      </w:r>
      <w:r w:rsidR="00A5191C">
        <w:t>DIS)</w:t>
      </w:r>
      <w:r w:rsidR="00542F01">
        <w:t xml:space="preserve"> (see Attachments A1a and A2)</w:t>
      </w:r>
      <w:r w:rsidR="00A5191C">
        <w:t xml:space="preserve"> </w:t>
      </w:r>
      <w:r w:rsidR="00863F82">
        <w:t>at the beginning of the</w:t>
      </w:r>
      <w:r w:rsidR="00A5191C">
        <w:t xml:space="preserve"> focus group discussion</w:t>
      </w:r>
      <w:r w:rsidR="00795102">
        <w:t>.</w:t>
      </w:r>
      <w:r w:rsidR="00542F01">
        <w:t xml:space="preserve">  For the groups with African American women, following the discussion of the print materials (see Attachment J1) the moderator will administer the </w:t>
      </w:r>
      <w:r w:rsidR="00844CC9">
        <w:t xml:space="preserve">Post-discussion Information Sheet </w:t>
      </w:r>
      <w:r w:rsidR="00F875C3">
        <w:t>(Post-DIS)</w:t>
      </w:r>
      <w:r w:rsidR="00542F01">
        <w:t xml:space="preserve"> (Attachment A1b).</w:t>
      </w:r>
    </w:p>
    <w:p w:rsidR="00D76AE2" w:rsidRPr="00E15057" w:rsidRDefault="00D76AE2" w:rsidP="00D76AE2">
      <w:pPr>
        <w:pStyle w:val="BodyText"/>
      </w:pPr>
    </w:p>
    <w:p w:rsidR="00DD3FBF" w:rsidRPr="00E15057" w:rsidRDefault="00DD3FBF" w:rsidP="005F7122">
      <w:pPr>
        <w:pStyle w:val="Heading2"/>
      </w:pPr>
      <w:bookmarkStart w:id="9" w:name="_Toc304819982"/>
      <w:r w:rsidRPr="00E15057">
        <w:t>A2. Purpose and Use of the Information Collection</w:t>
      </w:r>
      <w:bookmarkEnd w:id="9"/>
    </w:p>
    <w:p w:rsidR="005E048C" w:rsidRDefault="00DD3FBF" w:rsidP="00CF2115">
      <w:pPr>
        <w:pStyle w:val="BodyTextNumbered"/>
        <w:numPr>
          <w:ilvl w:val="0"/>
          <w:numId w:val="0"/>
        </w:numPr>
      </w:pPr>
      <w:r w:rsidRPr="00E15057">
        <w:t xml:space="preserve">The purpose of this </w:t>
      </w:r>
      <w:r w:rsidR="00336A74">
        <w:t>information collection</w:t>
      </w:r>
      <w:r w:rsidR="00DA327A" w:rsidRPr="00E15057">
        <w:t xml:space="preserve"> request is</w:t>
      </w:r>
      <w:r w:rsidR="00896525" w:rsidRPr="00E15057">
        <w:t xml:space="preserve"> </w:t>
      </w:r>
      <w:r w:rsidR="005E048C" w:rsidRPr="00E15057">
        <w:t xml:space="preserve">to conduct research activities </w:t>
      </w:r>
      <w:r w:rsidR="00D965F1" w:rsidRPr="00E15057">
        <w:t xml:space="preserve">including </w:t>
      </w:r>
      <w:r w:rsidR="005E048C" w:rsidRPr="00E15057">
        <w:t xml:space="preserve">concept, </w:t>
      </w:r>
      <w:r w:rsidR="00D965F1" w:rsidRPr="00E15057">
        <w:t>message</w:t>
      </w:r>
      <w:r w:rsidR="00193699">
        <w:t>,</w:t>
      </w:r>
      <w:r w:rsidR="00D965F1" w:rsidRPr="00E15057">
        <w:t xml:space="preserve"> </w:t>
      </w:r>
      <w:r w:rsidR="005E048C" w:rsidRPr="00E15057">
        <w:t>and</w:t>
      </w:r>
      <w:r w:rsidR="00D965F1" w:rsidRPr="00E15057">
        <w:t xml:space="preserve"> </w:t>
      </w:r>
      <w:r w:rsidR="005E048C" w:rsidRPr="00E15057">
        <w:t>materials testing, for health communication campaigns in the area of cancer prevention and control</w:t>
      </w:r>
      <w:r w:rsidR="00336A74">
        <w:t xml:space="preserve"> in the state of North Carolina</w:t>
      </w:r>
      <w:r w:rsidR="00193699" w:rsidRPr="00DE5FF8">
        <w:t>.</w:t>
      </w:r>
      <w:r w:rsidR="00433BE5" w:rsidRPr="00DE5FF8">
        <w:t xml:space="preserve">  There will be no comparisons to the focus groups held in GA.</w:t>
      </w:r>
    </w:p>
    <w:p w:rsidR="00336A74" w:rsidRDefault="00336A74" w:rsidP="00CF2115">
      <w:pPr>
        <w:pStyle w:val="BodyTextNumbered"/>
        <w:numPr>
          <w:ilvl w:val="0"/>
          <w:numId w:val="0"/>
        </w:numPr>
      </w:pPr>
    </w:p>
    <w:p w:rsidR="00CF2115" w:rsidRDefault="00336A74" w:rsidP="00CF2115">
      <w:pPr>
        <w:pStyle w:val="BodyTextNumbered"/>
        <w:numPr>
          <w:ilvl w:val="0"/>
          <w:numId w:val="0"/>
        </w:numPr>
      </w:pPr>
      <w:r>
        <w:t>The information collection</w:t>
      </w:r>
      <w:r w:rsidRPr="00E15057">
        <w:t xml:space="preserve"> (via focus groups) </w:t>
      </w:r>
      <w:r>
        <w:t xml:space="preserve">is designed to assess </w:t>
      </w:r>
      <w:r w:rsidRPr="00E15057">
        <w:t xml:space="preserve">target audiences’ knowledge of breast cancer and screening services, use of the NBCCEDP in North Carolina (NC), sources of information to obtain health information, and information on community issues, services, and events to determine if these can be used as viable sources (and channels) to communicate with </w:t>
      </w:r>
      <w:r>
        <w:t>African American and Latina women</w:t>
      </w:r>
      <w:r w:rsidRPr="00E15057">
        <w:t xml:space="preserve"> in NC. Study results will inform the design, planning, and implementation of future CDC efforts</w:t>
      </w:r>
      <w:r>
        <w:t xml:space="preserve"> and communication campaigns designed</w:t>
      </w:r>
      <w:r w:rsidRPr="00E15057">
        <w:t xml:space="preserve"> </w:t>
      </w:r>
      <w:r>
        <w:t xml:space="preserve">to increase the NBCCEDP participation of </w:t>
      </w:r>
      <w:r w:rsidRPr="00E15057">
        <w:t>never or rarely screened women</w:t>
      </w:r>
      <w:r>
        <w:t>.</w:t>
      </w:r>
    </w:p>
    <w:p w:rsidR="00EE1161" w:rsidRPr="00E15057" w:rsidRDefault="00EE1161" w:rsidP="00CF2115">
      <w:pPr>
        <w:pStyle w:val="BodyTextNumbered"/>
        <w:numPr>
          <w:ilvl w:val="0"/>
          <w:numId w:val="0"/>
        </w:numPr>
      </w:pPr>
    </w:p>
    <w:p w:rsidR="00B224F2" w:rsidRPr="00B224F2" w:rsidRDefault="00462028" w:rsidP="00B224F2">
      <w:pPr>
        <w:pStyle w:val="BodyText"/>
      </w:pPr>
      <w:r w:rsidRPr="00DE5FF8">
        <w:t xml:space="preserve">OMB-approved instruments from the </w:t>
      </w:r>
      <w:r w:rsidR="005339C9" w:rsidRPr="00DE5FF8">
        <w:t>GA AAMM</w:t>
      </w:r>
      <w:r w:rsidRPr="00DE5FF8">
        <w:t xml:space="preserve"> study </w:t>
      </w:r>
      <w:r w:rsidR="00193699" w:rsidRPr="00DE5FF8">
        <w:t xml:space="preserve">have been </w:t>
      </w:r>
      <w:r w:rsidR="00833D0B" w:rsidRPr="00DE5FF8">
        <w:t xml:space="preserve">modified for </w:t>
      </w:r>
      <w:r w:rsidR="002B7A3F" w:rsidRPr="00DE5FF8">
        <w:t xml:space="preserve">the current </w:t>
      </w:r>
      <w:r w:rsidR="00193699" w:rsidRPr="00DE5FF8">
        <w:t>data collection</w:t>
      </w:r>
      <w:r w:rsidR="00A67724" w:rsidRPr="00DE5FF8">
        <w:t>.</w:t>
      </w:r>
      <w:r w:rsidR="00B224F2" w:rsidRPr="00DE5FF8">
        <w:t xml:space="preserve"> For the Latina groups, we </w:t>
      </w:r>
      <w:r w:rsidR="00030A0C" w:rsidRPr="00DE5FF8">
        <w:t>made minor modifications to change the</w:t>
      </w:r>
      <w:r w:rsidR="00B224F2" w:rsidRPr="00DE5FF8">
        <w:t xml:space="preserve"> language in the data collection instruments so that </w:t>
      </w:r>
      <w:r w:rsidR="00030A0C" w:rsidRPr="00DE5FF8">
        <w:t xml:space="preserve">references are specific to Latina women </w:t>
      </w:r>
      <w:r w:rsidR="00B224F2" w:rsidRPr="00DE5FF8">
        <w:t>(versus African American women in Georgia)</w:t>
      </w:r>
      <w:r w:rsidR="00030A0C" w:rsidRPr="00DE5FF8">
        <w:t xml:space="preserve">. </w:t>
      </w:r>
      <w:r w:rsidR="00B224F2" w:rsidRPr="00DE5FF8">
        <w:t>For the African American groups, we modified instruments to allow for formative and materials/message testing to be done during one set of groups versus two sets of groups as was the case in the Georgia study.</w:t>
      </w:r>
      <w:r w:rsidR="00030A0C" w:rsidRPr="00DE5FF8">
        <w:t xml:space="preserve">  For both groups of women, we added two new questions to assess whether women think that health care reform will affect where they seek health care and to assess access to radio via the Internet.  All instruments will be administered in English to both groups.  </w:t>
      </w:r>
    </w:p>
    <w:p w:rsidR="00DD3FBF" w:rsidRPr="00E15057" w:rsidRDefault="00944545" w:rsidP="005F7122">
      <w:pPr>
        <w:pStyle w:val="BodyText"/>
      </w:pPr>
      <w:r w:rsidRPr="00E15057">
        <w:t>The</w:t>
      </w:r>
      <w:r w:rsidR="00462028" w:rsidRPr="00E15057">
        <w:t xml:space="preserve"> results of this </w:t>
      </w:r>
      <w:r w:rsidR="0073731E" w:rsidRPr="00E15057">
        <w:t xml:space="preserve">new </w:t>
      </w:r>
      <w:r w:rsidR="002B7A3F">
        <w:t>collection</w:t>
      </w:r>
      <w:r w:rsidR="002B7A3F" w:rsidRPr="00E15057">
        <w:t xml:space="preserve"> </w:t>
      </w:r>
      <w:r w:rsidR="00462028" w:rsidRPr="00E15057">
        <w:t xml:space="preserve">will inform the development of health communication messages to women eligible for services through local programs in </w:t>
      </w:r>
      <w:r w:rsidR="009F535B" w:rsidRPr="00E15057">
        <w:t>NC</w:t>
      </w:r>
      <w:r w:rsidR="00462028" w:rsidRPr="00E15057">
        <w:t xml:space="preserve">. The specific planned use of the information gained from this </w:t>
      </w:r>
      <w:r w:rsidR="002B7A3F">
        <w:t>collection</w:t>
      </w:r>
      <w:r w:rsidR="002B7A3F" w:rsidRPr="00E15057">
        <w:t xml:space="preserve"> </w:t>
      </w:r>
      <w:r w:rsidR="00462028" w:rsidRPr="00E15057">
        <w:t xml:space="preserve">will help improve </w:t>
      </w:r>
      <w:r w:rsidRPr="00E15057">
        <w:t xml:space="preserve">the </w:t>
      </w:r>
      <w:r w:rsidR="009F535B" w:rsidRPr="00E15057">
        <w:t xml:space="preserve">NC </w:t>
      </w:r>
      <w:r w:rsidR="00462028" w:rsidRPr="00E15057">
        <w:t>NBCCEDP outreach to eligible African American</w:t>
      </w:r>
      <w:r w:rsidR="007C3B81" w:rsidRPr="00E15057">
        <w:t xml:space="preserve"> </w:t>
      </w:r>
      <w:r w:rsidR="00297ABC" w:rsidRPr="00E15057">
        <w:t>women and Latinas</w:t>
      </w:r>
      <w:r w:rsidR="00193699">
        <w:t xml:space="preserve"> and</w:t>
      </w:r>
      <w:r w:rsidR="00462028" w:rsidRPr="00E15057">
        <w:t xml:space="preserve">, consequently, work to address health disparities related to </w:t>
      </w:r>
      <w:r w:rsidR="005845B0" w:rsidRPr="00E15057">
        <w:t xml:space="preserve">timely </w:t>
      </w:r>
      <w:r w:rsidR="00462028" w:rsidRPr="00E15057">
        <w:t xml:space="preserve">mammography </w:t>
      </w:r>
      <w:r w:rsidR="00056900" w:rsidRPr="00E15057">
        <w:t>utilization</w:t>
      </w:r>
      <w:r w:rsidR="00193699">
        <w:t>, breast cancer detection and treatment,</w:t>
      </w:r>
      <w:r w:rsidR="005845B0" w:rsidRPr="00E15057">
        <w:t xml:space="preserve"> </w:t>
      </w:r>
      <w:r w:rsidR="00462028" w:rsidRPr="00E15057">
        <w:t>and breast cancer</w:t>
      </w:r>
      <w:r w:rsidR="005845B0" w:rsidRPr="00E15057">
        <w:t xml:space="preserve"> mortality</w:t>
      </w:r>
      <w:r w:rsidR="00462028" w:rsidRPr="00E15057">
        <w:t xml:space="preserve"> in </w:t>
      </w:r>
      <w:r w:rsidR="00546306" w:rsidRPr="00E15057">
        <w:t>these</w:t>
      </w:r>
      <w:r w:rsidR="00462028" w:rsidRPr="00E15057">
        <w:t xml:space="preserve"> population</w:t>
      </w:r>
      <w:r w:rsidR="00546306" w:rsidRPr="00E15057">
        <w:t>s</w:t>
      </w:r>
      <w:r w:rsidR="00462028" w:rsidRPr="00E15057">
        <w:t xml:space="preserve">. </w:t>
      </w:r>
    </w:p>
    <w:p w:rsidR="00DD3FBF" w:rsidRPr="00E15057" w:rsidRDefault="00DD3FBF" w:rsidP="005F7122">
      <w:pPr>
        <w:pStyle w:val="Heading2"/>
      </w:pPr>
      <w:bookmarkStart w:id="10" w:name="_Toc304819983"/>
      <w:r w:rsidRPr="00E15057">
        <w:t>A3. Use of Improved Information Technology and Burden Reduction</w:t>
      </w:r>
      <w:bookmarkEnd w:id="2"/>
      <w:bookmarkEnd w:id="10"/>
    </w:p>
    <w:p w:rsidR="00896525" w:rsidRPr="00E15057" w:rsidRDefault="00896525" w:rsidP="005F7122">
      <w:pPr>
        <w:pStyle w:val="BodyText"/>
      </w:pPr>
      <w:r w:rsidRPr="00E15057">
        <w:t xml:space="preserve">The proposed project does not involve automated, electronic, mechanical, or other advanced technologies in the collection of information other than the use of audiotape to retain an accurate record of the focus group discussions. Focus group data will be collected in </w:t>
      </w:r>
      <w:r w:rsidR="00BA3D5D" w:rsidRPr="00E15057">
        <w:t xml:space="preserve">focus group rooms </w:t>
      </w:r>
      <w:r w:rsidRPr="00E15057">
        <w:t>in Raleigh</w:t>
      </w:r>
      <w:r w:rsidR="00BA3D5D" w:rsidRPr="00E15057">
        <w:t>-Durham</w:t>
      </w:r>
      <w:r w:rsidR="00AD4C50" w:rsidRPr="00E15057">
        <w:t>,</w:t>
      </w:r>
      <w:r w:rsidRPr="00E15057">
        <w:t xml:space="preserve"> Charlotte, </w:t>
      </w:r>
      <w:r w:rsidR="00AD4C50" w:rsidRPr="00E15057">
        <w:t xml:space="preserve">and </w:t>
      </w:r>
      <w:r w:rsidR="0073731E" w:rsidRPr="00E15057">
        <w:t xml:space="preserve">potentially in </w:t>
      </w:r>
      <w:r w:rsidR="00AD4C50" w:rsidRPr="00E15057">
        <w:t>Greenville</w:t>
      </w:r>
      <w:r w:rsidR="0073731E" w:rsidRPr="00E15057">
        <w:t>, NC</w:t>
      </w:r>
      <w:r w:rsidRPr="00E15057">
        <w:t>. Participants’ use of information technology is not applicable</w:t>
      </w:r>
      <w:r w:rsidR="005B4569" w:rsidRPr="00E15057">
        <w:t xml:space="preserve"> because</w:t>
      </w:r>
      <w:r w:rsidRPr="00E15057">
        <w:t xml:space="preserve"> the Pre</w:t>
      </w:r>
      <w:r w:rsidR="00F875C3">
        <w:t>-</w:t>
      </w:r>
      <w:r w:rsidR="00844CC9">
        <w:t>discussion</w:t>
      </w:r>
      <w:r w:rsidR="00F875C3">
        <w:t xml:space="preserve"> and </w:t>
      </w:r>
      <w:r w:rsidR="00AE4750">
        <w:t>Post-</w:t>
      </w:r>
      <w:r w:rsidR="005B4569" w:rsidRPr="00E15057">
        <w:t>d</w:t>
      </w:r>
      <w:r w:rsidRPr="00E15057">
        <w:t>iscussion Information Sheet</w:t>
      </w:r>
      <w:r w:rsidR="00A20085" w:rsidRPr="00E15057">
        <w:t>s</w:t>
      </w:r>
      <w:r w:rsidR="00F875C3">
        <w:t xml:space="preserve"> </w:t>
      </w:r>
      <w:r w:rsidRPr="00E15057">
        <w:t xml:space="preserve">will be administered </w:t>
      </w:r>
      <w:r w:rsidR="005B4569" w:rsidRPr="00E15057">
        <w:t>in</w:t>
      </w:r>
      <w:r w:rsidRPr="00E15057">
        <w:t xml:space="preserve"> a pencil-and-paper format and focus group discussions will be conducted in person.</w:t>
      </w:r>
    </w:p>
    <w:p w:rsidR="00944545" w:rsidRPr="00E15057" w:rsidRDefault="00896525" w:rsidP="005F7122">
      <w:pPr>
        <w:pStyle w:val="BodyText"/>
      </w:pPr>
      <w:r w:rsidRPr="00E15057">
        <w:t>Because of the nature of this study and the population</w:t>
      </w:r>
      <w:r w:rsidR="00833D0B" w:rsidRPr="00E15057">
        <w:t>s</w:t>
      </w:r>
      <w:r w:rsidRPr="00E15057">
        <w:t xml:space="preserve"> </w:t>
      </w:r>
      <w:r w:rsidR="005B4569" w:rsidRPr="00E15057">
        <w:t>in</w:t>
      </w:r>
      <w:r w:rsidRPr="00E15057">
        <w:t xml:space="preserve"> which it is conducted, it is not feasible to </w:t>
      </w:r>
      <w:r w:rsidR="005B4569" w:rsidRPr="00E15057">
        <w:t>use</w:t>
      </w:r>
      <w:r w:rsidRPr="00E15057">
        <w:t xml:space="preserve"> information technology in the form of electronic respondent reporting. A systematic review of the evidence on literacy and health outcomes found that people who live in the South or Northeast, are female, are from certain racial or ethnic groups, are elderly, or have completed fewer years of education have </w:t>
      </w:r>
      <w:r w:rsidR="005B4569" w:rsidRPr="00E15057">
        <w:t xml:space="preserve">a </w:t>
      </w:r>
      <w:r w:rsidRPr="00E15057">
        <w:t>higher prevalence of low literacy (</w:t>
      </w:r>
      <w:proofErr w:type="spellStart"/>
      <w:r w:rsidRPr="00E15057">
        <w:t>Berkman</w:t>
      </w:r>
      <w:proofErr w:type="spellEnd"/>
      <w:r w:rsidRPr="00E15057">
        <w:t xml:space="preserve"> et al., 2004). Because many of the respondents in this study are likely to have low literacy </w:t>
      </w:r>
      <w:r w:rsidR="005B4569" w:rsidRPr="00E15057">
        <w:t xml:space="preserve">rates </w:t>
      </w:r>
      <w:r w:rsidRPr="00E15057">
        <w:t xml:space="preserve">and, as a result, may have difficulty using complicated information technology in reporting, efforts have been made to design instruments that are brief, easy to use, and understandable. In addition, the study investigators have carefully considered the content, appropriateness, and phrasing of questions in the </w:t>
      </w:r>
      <w:r w:rsidR="00495920" w:rsidRPr="00E15057">
        <w:t>screeners, P</w:t>
      </w:r>
      <w:r w:rsidR="005B12A1">
        <w:t>re-</w:t>
      </w:r>
      <w:r w:rsidR="00495920" w:rsidRPr="00E15057">
        <w:t>DISs</w:t>
      </w:r>
      <w:r w:rsidR="00A8168E">
        <w:t>,</w:t>
      </w:r>
      <w:r w:rsidR="00495920" w:rsidRPr="00E15057">
        <w:t xml:space="preserve"> </w:t>
      </w:r>
      <w:r w:rsidRPr="00E15057">
        <w:t xml:space="preserve">and the </w:t>
      </w:r>
      <w:r w:rsidR="00495920" w:rsidRPr="00E15057">
        <w:t>focus group moderator guides</w:t>
      </w:r>
      <w:r w:rsidRPr="00E15057">
        <w:t xml:space="preserve">. While focus group questions </w:t>
      </w:r>
      <w:r w:rsidRPr="00E15057">
        <w:lastRenderedPageBreak/>
        <w:t xml:space="preserve">are asked by the moderator, additional research staff members will be available to assist participants with completing the </w:t>
      </w:r>
      <w:r w:rsidR="00AE4750">
        <w:t>Pre-DIS</w:t>
      </w:r>
      <w:r w:rsidRPr="00E15057">
        <w:t xml:space="preserve">. </w:t>
      </w:r>
    </w:p>
    <w:p w:rsidR="00713AF6" w:rsidRPr="00E15057" w:rsidRDefault="00B407C6" w:rsidP="005F7122">
      <w:pPr>
        <w:pStyle w:val="BodyText"/>
      </w:pPr>
      <w:r w:rsidRPr="00E15057">
        <w:t xml:space="preserve">Efforts have been made to design </w:t>
      </w:r>
      <w:r w:rsidR="00896525" w:rsidRPr="00E15057">
        <w:t>materials</w:t>
      </w:r>
      <w:r w:rsidRPr="00E15057">
        <w:t xml:space="preserve"> that are easily understandable, not duplicative in nature, and least burdensome.</w:t>
      </w:r>
      <w:r w:rsidR="007A617B" w:rsidRPr="00E15057">
        <w:t xml:space="preserve"> </w:t>
      </w:r>
      <w:r w:rsidR="00896525" w:rsidRPr="00E15057">
        <w:t>Only the minimum information necessary for the purposes of this project will be collected. Standard focus group methodology recommends conducting multiple focus groups with any one type of participant (Krueger &amp; Casey, 2000). This is done to ensure that comparisons can be made among groups of the same type</w:t>
      </w:r>
      <w:r w:rsidR="00BF4DB7" w:rsidRPr="00E15057">
        <w:t>s</w:t>
      </w:r>
      <w:r w:rsidR="00896525" w:rsidRPr="00E15057">
        <w:t xml:space="preserve"> of participant and that saturation (i.e., the point when the range of all ideas is heard and no new information is collected) is reached. Despite this suggestion, the project will include only one focus group with each audience segment to reduce burden by collecting the minimum information necessary for the study</w:t>
      </w:r>
      <w:r w:rsidR="00BF4DB7" w:rsidRPr="00E15057">
        <w:t>,</w:t>
      </w:r>
      <w:r w:rsidR="00896525" w:rsidRPr="00E15057">
        <w:t xml:space="preserve"> as was previously approved for the </w:t>
      </w:r>
      <w:r w:rsidR="005339C9" w:rsidRPr="00E15057">
        <w:t>AAMM</w:t>
      </w:r>
      <w:r w:rsidR="00896525" w:rsidRPr="00E15057">
        <w:t xml:space="preserve"> study </w:t>
      </w:r>
      <w:r w:rsidR="000630E5" w:rsidRPr="00E15057">
        <w:t xml:space="preserve">in GA </w:t>
      </w:r>
      <w:r w:rsidR="00896525" w:rsidRPr="00E15057">
        <w:t>(OMB n</w:t>
      </w:r>
      <w:r w:rsidR="00BF4DB7" w:rsidRPr="00E15057">
        <w:t>o.</w:t>
      </w:r>
      <w:r w:rsidR="00896525" w:rsidRPr="00E15057">
        <w:t xml:space="preserve"> 0920-0652 and OMB </w:t>
      </w:r>
      <w:r w:rsidR="00BF4DB7" w:rsidRPr="00E15057">
        <w:t>no</w:t>
      </w:r>
      <w:r w:rsidR="00896525" w:rsidRPr="00E15057">
        <w:t>. 0920-0738).</w:t>
      </w:r>
    </w:p>
    <w:p w:rsidR="007A1DBA" w:rsidRPr="002A0EE2" w:rsidRDefault="007458C4" w:rsidP="007A1DBA">
      <w:pPr>
        <w:rPr>
          <w:rFonts w:ascii="Arial Narrow" w:hAnsi="Arial Narrow"/>
          <w:b/>
          <w:i/>
        </w:rPr>
      </w:pPr>
      <w:r w:rsidRPr="007458C4">
        <w:rPr>
          <w:rFonts w:ascii="Arial Narrow" w:hAnsi="Arial Narrow"/>
          <w:b/>
          <w:i/>
        </w:rPr>
        <w:t xml:space="preserve">A4. Efforts to Identify Duplication and Use of Similar Information </w:t>
      </w:r>
    </w:p>
    <w:p w:rsidR="00896525" w:rsidRPr="00E15057" w:rsidRDefault="008D5E6C" w:rsidP="005F7122">
      <w:pPr>
        <w:pStyle w:val="BodyText"/>
      </w:pPr>
      <w:r w:rsidRPr="00E15057">
        <w:t xml:space="preserve">A </w:t>
      </w:r>
      <w:r w:rsidR="00896525" w:rsidRPr="00E15057">
        <w:t xml:space="preserve">literature review on the utility of mass media outlets in communicating public health messages showed that radio </w:t>
      </w:r>
      <w:r w:rsidR="00BA3D5D" w:rsidRPr="00E15057">
        <w:t>(</w:t>
      </w:r>
      <w:r w:rsidR="00896525" w:rsidRPr="00E15057">
        <w:t>and television</w:t>
      </w:r>
      <w:r w:rsidR="00BA3D5D" w:rsidRPr="00E15057">
        <w:t>)</w:t>
      </w:r>
      <w:r w:rsidR="00896525" w:rsidRPr="00E15057">
        <w:t xml:space="preserve"> can play a role in health promotion in the African American community. Studies indicated that airing health messages on radio stations serving the African American population can be an effective way to reach a broad African American audience with information about important health issues (</w:t>
      </w:r>
      <w:r w:rsidR="006D7159" w:rsidRPr="00E15057">
        <w:t xml:space="preserve">Chen, </w:t>
      </w:r>
      <w:r w:rsidR="00F8331F" w:rsidRPr="00E15057">
        <w:t xml:space="preserve">Kohler, </w:t>
      </w:r>
      <w:proofErr w:type="spellStart"/>
      <w:r w:rsidR="006D7159" w:rsidRPr="00E15057">
        <w:t>Schoenberger</w:t>
      </w:r>
      <w:proofErr w:type="spellEnd"/>
      <w:r w:rsidR="006D7159" w:rsidRPr="00E15057">
        <w:t>, Suzuki-</w:t>
      </w:r>
      <w:proofErr w:type="spellStart"/>
      <w:r w:rsidR="006D7159" w:rsidRPr="00E15057">
        <w:t>Crumly</w:t>
      </w:r>
      <w:proofErr w:type="spellEnd"/>
      <w:r w:rsidR="006D7159" w:rsidRPr="00E15057">
        <w:t xml:space="preserve">, Davis, </w:t>
      </w:r>
      <w:r w:rsidR="00F8331F" w:rsidRPr="00E15057">
        <w:t xml:space="preserve">&amp; Powell, </w:t>
      </w:r>
      <w:r w:rsidR="006D7159" w:rsidRPr="00E15057">
        <w:t xml:space="preserve">2009; </w:t>
      </w:r>
      <w:r w:rsidR="00056900" w:rsidRPr="00E15057">
        <w:t xml:space="preserve">Hall, Johnson-Turbes, &amp; Williams, 2010; </w:t>
      </w:r>
      <w:r w:rsidR="00896525" w:rsidRPr="00E15057">
        <w:t xml:space="preserve">Johnson &amp; </w:t>
      </w:r>
      <w:proofErr w:type="spellStart"/>
      <w:r w:rsidR="00896525" w:rsidRPr="00E15057">
        <w:t>Birk</w:t>
      </w:r>
      <w:proofErr w:type="spellEnd"/>
      <w:r w:rsidR="00896525" w:rsidRPr="00E15057">
        <w:t xml:space="preserve">, 1993). Other studies indicate that visual aids and media outlets may be even more effective than print materials in sharing health information, given health literacy issues </w:t>
      </w:r>
      <w:r w:rsidR="004F2118" w:rsidRPr="00E15057">
        <w:t>in this</w:t>
      </w:r>
      <w:r w:rsidR="00896525" w:rsidRPr="00E15057">
        <w:t xml:space="preserve"> population (O’Malley, </w:t>
      </w:r>
      <w:proofErr w:type="spellStart"/>
      <w:r w:rsidR="00896525" w:rsidRPr="00E15057">
        <w:t>Kerner</w:t>
      </w:r>
      <w:proofErr w:type="spellEnd"/>
      <w:r w:rsidR="00896525" w:rsidRPr="00E15057">
        <w:t xml:space="preserve">, &amp; Johnson, 1999; Davis, </w:t>
      </w:r>
      <w:proofErr w:type="spellStart"/>
      <w:r w:rsidR="00F8331F" w:rsidRPr="00E15057">
        <w:t>Berkel</w:t>
      </w:r>
      <w:proofErr w:type="spellEnd"/>
      <w:r w:rsidR="00F8331F" w:rsidRPr="00E15057">
        <w:t xml:space="preserve">, Arnold, </w:t>
      </w:r>
      <w:proofErr w:type="spellStart"/>
      <w:r w:rsidR="00F8331F" w:rsidRPr="00E15057">
        <w:t>Nandy</w:t>
      </w:r>
      <w:proofErr w:type="spellEnd"/>
      <w:r w:rsidR="00F8331F" w:rsidRPr="00E15057">
        <w:t xml:space="preserve">, Jackson, &amp; Murphy, </w:t>
      </w:r>
      <w:r w:rsidR="00896525" w:rsidRPr="00E15057">
        <w:t>1998).</w:t>
      </w:r>
    </w:p>
    <w:p w:rsidR="00BA3D5D" w:rsidRPr="00E15057" w:rsidRDefault="00896525" w:rsidP="005F7122">
      <w:pPr>
        <w:pStyle w:val="BodyText"/>
      </w:pPr>
      <w:r w:rsidRPr="00E15057">
        <w:t xml:space="preserve">However, these studies are </w:t>
      </w:r>
      <w:r w:rsidR="008A11AD" w:rsidRPr="00E15057">
        <w:t>uncommon</w:t>
      </w:r>
      <w:r w:rsidRPr="00E15057">
        <w:t xml:space="preserve">, and there is a dearth </w:t>
      </w:r>
      <w:r w:rsidR="00A8168E" w:rsidRPr="00E15057">
        <w:t>of</w:t>
      </w:r>
      <w:r w:rsidR="00A8168E">
        <w:t xml:space="preserve"> recent </w:t>
      </w:r>
      <w:r w:rsidRPr="00E15057">
        <w:t>literature on how effective using radio stations that target African Americans can be in broadcasting health information to this population and, more important</w:t>
      </w:r>
      <w:r w:rsidR="00A8168E">
        <w:t>ly</w:t>
      </w:r>
      <w:r w:rsidRPr="00E15057">
        <w:t xml:space="preserve">, in motivating them to seek breast cancer screening. This study proposes </w:t>
      </w:r>
      <w:r w:rsidR="007C3B81" w:rsidRPr="00E15057">
        <w:t xml:space="preserve">to test and </w:t>
      </w:r>
      <w:r w:rsidR="00470021" w:rsidRPr="00E15057">
        <w:t>refine the</w:t>
      </w:r>
      <w:r w:rsidR="004F2118" w:rsidRPr="00E15057">
        <w:t xml:space="preserve"> GA AAMM’s culturally-</w:t>
      </w:r>
      <w:r w:rsidRPr="00E15057">
        <w:t xml:space="preserve">tailored </w:t>
      </w:r>
      <w:r w:rsidR="004F2118" w:rsidRPr="00E15057">
        <w:t xml:space="preserve">radio and print </w:t>
      </w:r>
      <w:r w:rsidRPr="00E15057">
        <w:t xml:space="preserve">messages </w:t>
      </w:r>
      <w:r w:rsidR="00BA3D5D" w:rsidRPr="00E15057">
        <w:t xml:space="preserve">for </w:t>
      </w:r>
      <w:r w:rsidR="002F425F" w:rsidRPr="00E15057">
        <w:t xml:space="preserve">African American women in </w:t>
      </w:r>
      <w:r w:rsidR="00BA3D5D" w:rsidRPr="00E15057">
        <w:t>NC.</w:t>
      </w:r>
      <w:r w:rsidR="007C3B81" w:rsidRPr="00E15057">
        <w:t xml:space="preserve">  Additionally, </w:t>
      </w:r>
      <w:r w:rsidR="0021060B" w:rsidRPr="00E15057">
        <w:t xml:space="preserve">due </w:t>
      </w:r>
      <w:r w:rsidR="00A8168E">
        <w:t xml:space="preserve">to </w:t>
      </w:r>
      <w:r w:rsidR="0021060B" w:rsidRPr="00E15057">
        <w:t>the lack of culturally-</w:t>
      </w:r>
      <w:r w:rsidR="002F425F" w:rsidRPr="00E15057">
        <w:t xml:space="preserve">tailored materials to promote breast cancer screening among Latinas, </w:t>
      </w:r>
      <w:r w:rsidR="007C3B81" w:rsidRPr="00E15057">
        <w:t xml:space="preserve">this study proposes </w:t>
      </w:r>
      <w:r w:rsidR="00A8168E">
        <w:t xml:space="preserve">to </w:t>
      </w:r>
      <w:r w:rsidR="0021060B" w:rsidRPr="00E15057">
        <w:t xml:space="preserve">conduct </w:t>
      </w:r>
      <w:r w:rsidR="00A8168E">
        <w:t>formative</w:t>
      </w:r>
      <w:r w:rsidR="00A8168E" w:rsidRPr="00E15057">
        <w:t xml:space="preserve"> </w:t>
      </w:r>
      <w:r w:rsidR="007C3B81" w:rsidRPr="00E15057">
        <w:t xml:space="preserve">research to </w:t>
      </w:r>
      <w:r w:rsidR="002F425F" w:rsidRPr="00E15057">
        <w:t>explore Latinas</w:t>
      </w:r>
      <w:r w:rsidR="0021060B" w:rsidRPr="00E15057">
        <w:t>’</w:t>
      </w:r>
      <w:r w:rsidR="002F425F" w:rsidRPr="00E15057">
        <w:t xml:space="preserve"> needs for health information, and trusted sources to </w:t>
      </w:r>
      <w:r w:rsidR="00470021" w:rsidRPr="00E15057">
        <w:t>develop</w:t>
      </w:r>
      <w:r w:rsidR="007C3B81" w:rsidRPr="00E15057">
        <w:t xml:space="preserve"> culturally </w:t>
      </w:r>
      <w:r w:rsidR="0021060B" w:rsidRPr="00E15057">
        <w:t xml:space="preserve">appropriate </w:t>
      </w:r>
      <w:r w:rsidR="002F425F" w:rsidRPr="00E15057">
        <w:t xml:space="preserve">breast cancer and screening awareness </w:t>
      </w:r>
      <w:r w:rsidR="007C3B81" w:rsidRPr="00E15057">
        <w:t xml:space="preserve">materials for </w:t>
      </w:r>
      <w:r w:rsidR="002F425F" w:rsidRPr="00E15057">
        <w:t>Latinas</w:t>
      </w:r>
      <w:r w:rsidR="007C3B81" w:rsidRPr="00E15057">
        <w:t>.</w:t>
      </w:r>
      <w:r w:rsidR="00725E9F">
        <w:t xml:space="preserve">  There are no existing sources of information that would allow us to adapt the existing AAMM materials for use with the target NBCCEDP-eligible target audiences in North Carolina.</w:t>
      </w:r>
    </w:p>
    <w:p w:rsidR="00DD3FBF" w:rsidRPr="00E15057" w:rsidRDefault="00DD3FBF" w:rsidP="005F7122">
      <w:pPr>
        <w:pStyle w:val="Heading2"/>
      </w:pPr>
      <w:bookmarkStart w:id="11" w:name="_Toc304819984"/>
      <w:r w:rsidRPr="00E15057">
        <w:t>A5. Impact on Small Businesses or Other Small Entities</w:t>
      </w:r>
      <w:bookmarkEnd w:id="11"/>
    </w:p>
    <w:p w:rsidR="00B53B14" w:rsidRPr="00E15057" w:rsidRDefault="00896525" w:rsidP="005F7122">
      <w:pPr>
        <w:pStyle w:val="BodyText"/>
      </w:pPr>
      <w:r w:rsidRPr="00E15057">
        <w:t xml:space="preserve">No small businesses or other small entities will be </w:t>
      </w:r>
      <w:r w:rsidR="00BF4DB7" w:rsidRPr="00E15057">
        <w:t>affected</w:t>
      </w:r>
      <w:r w:rsidRPr="00E15057">
        <w:t xml:space="preserve"> by </w:t>
      </w:r>
      <w:r w:rsidR="00BF4DB7" w:rsidRPr="00E15057">
        <w:t xml:space="preserve">collection of </w:t>
      </w:r>
      <w:r w:rsidRPr="00E15057">
        <w:t>th</w:t>
      </w:r>
      <w:r w:rsidR="00BF4DB7" w:rsidRPr="00E15057">
        <w:t>ese</w:t>
      </w:r>
      <w:r w:rsidRPr="00E15057">
        <w:t xml:space="preserve"> data.</w:t>
      </w:r>
    </w:p>
    <w:p w:rsidR="00DD3FBF" w:rsidRPr="00E15057" w:rsidRDefault="00DD3FBF" w:rsidP="005F7122">
      <w:pPr>
        <w:pStyle w:val="Heading2"/>
      </w:pPr>
      <w:bookmarkStart w:id="12" w:name="_Toc304819985"/>
      <w:r w:rsidRPr="00E15057">
        <w:t>A6. Consequences of Collecting the Information Less Frequently</w:t>
      </w:r>
      <w:bookmarkEnd w:id="12"/>
    </w:p>
    <w:p w:rsidR="005F7122" w:rsidRPr="00E15057" w:rsidRDefault="00896525" w:rsidP="002B7A3F">
      <w:pPr>
        <w:pStyle w:val="BodyText"/>
      </w:pPr>
      <w:r w:rsidRPr="00E15057">
        <w:t xml:space="preserve">This is a one-time </w:t>
      </w:r>
      <w:r w:rsidR="00E75814">
        <w:t>information collection</w:t>
      </w:r>
      <w:r w:rsidRPr="00E15057">
        <w:t xml:space="preserve">. </w:t>
      </w:r>
      <w:r w:rsidR="00116A7F">
        <w:t xml:space="preserve">If CDC does not test the existing AAMM materials for use in North Carolina, the effectiveness of communications based on these materials </w:t>
      </w:r>
      <w:r w:rsidR="00E75814">
        <w:t xml:space="preserve">and the AAMM communication channels </w:t>
      </w:r>
      <w:r w:rsidR="00116A7F">
        <w:t xml:space="preserve">may be limited. Similarly, lack of formative research with Latinas in North Carolina will limit the effectiveness of health communication messages for </w:t>
      </w:r>
      <w:r w:rsidR="00E75814">
        <w:t>this target audience</w:t>
      </w:r>
      <w:r w:rsidR="00116A7F">
        <w:t xml:space="preserve">. </w:t>
      </w:r>
      <w:r w:rsidRPr="00E15057">
        <w:t>There are no legal obstacles to reducing the burden further.</w:t>
      </w:r>
    </w:p>
    <w:p w:rsidR="00DD3FBF" w:rsidRPr="00E15057" w:rsidRDefault="00DD3FBF" w:rsidP="005F7122">
      <w:pPr>
        <w:pStyle w:val="Heading2"/>
      </w:pPr>
      <w:bookmarkStart w:id="13" w:name="_Toc304819986"/>
      <w:r w:rsidRPr="00E15057">
        <w:t xml:space="preserve">A7. Special Circumstances Relating to the Guidelines of 5 </w:t>
      </w:r>
      <w:smartTag w:uri="urn:schemas-microsoft-com:office:smarttags" w:element="stockticker">
        <w:r w:rsidRPr="00E15057">
          <w:t>CFR</w:t>
        </w:r>
      </w:smartTag>
      <w:r w:rsidRPr="00E15057">
        <w:t xml:space="preserve"> 1320.5</w:t>
      </w:r>
      <w:bookmarkEnd w:id="13"/>
    </w:p>
    <w:p w:rsidR="00DB656C" w:rsidRPr="00E15057" w:rsidRDefault="006D6E58" w:rsidP="005F7122">
      <w:pPr>
        <w:pStyle w:val="BodyText"/>
      </w:pPr>
      <w:r w:rsidRPr="00E15057">
        <w:t>There are no special circumstances. The activities outlined in this package</w:t>
      </w:r>
      <w:r w:rsidR="00C416B9" w:rsidRPr="00E15057">
        <w:t xml:space="preserve"> fully comply</w:t>
      </w:r>
      <w:r w:rsidR="00DD3FBF" w:rsidRPr="00E15057">
        <w:t xml:space="preserve"> with all guidelines of 5 </w:t>
      </w:r>
      <w:smartTag w:uri="urn:schemas-microsoft-com:office:smarttags" w:element="stockticker">
        <w:r w:rsidR="00DD3FBF" w:rsidRPr="00E15057">
          <w:t>CFR</w:t>
        </w:r>
      </w:smartTag>
      <w:r w:rsidR="00DD3FBF" w:rsidRPr="00E15057">
        <w:t xml:space="preserve"> 1320.5.</w:t>
      </w:r>
    </w:p>
    <w:p w:rsidR="00DD3FBF" w:rsidRPr="00E15057" w:rsidRDefault="00DD3FBF" w:rsidP="005F7122">
      <w:pPr>
        <w:pStyle w:val="Heading2"/>
      </w:pPr>
      <w:bookmarkStart w:id="14" w:name="_Toc304819987"/>
      <w:r w:rsidRPr="00E15057">
        <w:lastRenderedPageBreak/>
        <w:t xml:space="preserve">A8. Comments in Response to the </w:t>
      </w:r>
      <w:r w:rsidR="00DF21F9" w:rsidRPr="00E15057">
        <w:rPr>
          <w:i w:val="0"/>
        </w:rPr>
        <w:t>Federal Register</w:t>
      </w:r>
      <w:r w:rsidRPr="00E15057">
        <w:t xml:space="preserve"> Notice and Efforts to Consult Outside the Agency</w:t>
      </w:r>
      <w:bookmarkEnd w:id="14"/>
    </w:p>
    <w:p w:rsidR="00DD3FBF" w:rsidRPr="00E15057" w:rsidRDefault="00DD3FBF" w:rsidP="005F7122"/>
    <w:p w:rsidR="002B4E43" w:rsidRPr="00E15057" w:rsidRDefault="002B4E43" w:rsidP="005F7122">
      <w:pPr>
        <w:pStyle w:val="Heading2a"/>
      </w:pPr>
      <w:r w:rsidRPr="00E15057">
        <w:t>A8.a</w:t>
      </w:r>
      <w:r w:rsidR="005F7122" w:rsidRPr="00E15057">
        <w:t>.</w:t>
      </w:r>
      <w:r w:rsidRPr="00E15057">
        <w:t xml:space="preserve"> </w:t>
      </w:r>
      <w:r w:rsidR="00DF21F9" w:rsidRPr="00E15057">
        <w:rPr>
          <w:i/>
        </w:rPr>
        <w:t>Federal Register</w:t>
      </w:r>
      <w:r w:rsidRPr="00E15057">
        <w:rPr>
          <w:i/>
        </w:rPr>
        <w:t xml:space="preserve"> </w:t>
      </w:r>
      <w:r w:rsidRPr="00E15057">
        <w:t>Notice</w:t>
      </w:r>
    </w:p>
    <w:p w:rsidR="00896525" w:rsidRPr="00E15057" w:rsidRDefault="00D84A19" w:rsidP="005F7122">
      <w:pPr>
        <w:pStyle w:val="BodyText"/>
      </w:pPr>
      <w:r>
        <w:t>CDC published a Notice about the generic clearance request in the Federal Register on January 29, 2008 (vol. 73, no. 19, p. 5197).</w:t>
      </w:r>
      <w:r w:rsidRPr="00E15057">
        <w:t xml:space="preserve"> </w:t>
      </w:r>
      <w:r>
        <w:t xml:space="preserve"> The proposed information collection will be conducted prior to the expiration date of the current OMB approval (OMB no. 0920-0800, exp. 1/31/2012). CDC is seeking an Extension of the generic clearance.  An additional Notice was published August 17, 2011 (vol. 76, no. 159, p. 51035).</w:t>
      </w:r>
    </w:p>
    <w:p w:rsidR="002B4E43" w:rsidRPr="00E15057" w:rsidRDefault="002B4E43" w:rsidP="005F7122">
      <w:pPr>
        <w:pStyle w:val="Heading2a"/>
      </w:pPr>
      <w:r w:rsidRPr="00E15057">
        <w:t>A8.b</w:t>
      </w:r>
      <w:r w:rsidR="005F7122" w:rsidRPr="00E15057">
        <w:t>.</w:t>
      </w:r>
      <w:r w:rsidRPr="00E15057">
        <w:t xml:space="preserve"> Consultation</w:t>
      </w:r>
    </w:p>
    <w:p w:rsidR="009F535B" w:rsidRPr="00E15057" w:rsidRDefault="009F535B" w:rsidP="005F7122">
      <w:pPr>
        <w:pStyle w:val="BodyText"/>
      </w:pPr>
      <w:r w:rsidRPr="00E15057">
        <w:t xml:space="preserve">The following individuals inside the agency have been consulted on the design of the </w:t>
      </w:r>
      <w:r w:rsidR="00C13E89">
        <w:t>proposed information collection</w:t>
      </w:r>
      <w:r w:rsidRPr="00E15057">
        <w:t>:</w:t>
      </w:r>
    </w:p>
    <w:p w:rsidR="009F535B" w:rsidRPr="00E15057" w:rsidRDefault="009F535B" w:rsidP="005F7122">
      <w:pPr>
        <w:pStyle w:val="Address"/>
      </w:pPr>
      <w:r w:rsidRPr="00E15057">
        <w:t xml:space="preserve">Kimberly Leeks, </w:t>
      </w:r>
      <w:r w:rsidR="00797E00" w:rsidRPr="00E15057">
        <w:t xml:space="preserve">PhD, </w:t>
      </w:r>
      <w:r w:rsidRPr="00E15057">
        <w:t xml:space="preserve">MPH </w:t>
      </w:r>
    </w:p>
    <w:p w:rsidR="009F535B" w:rsidRPr="00E15057" w:rsidRDefault="009F535B" w:rsidP="005F7122">
      <w:pPr>
        <w:pStyle w:val="Address"/>
      </w:pPr>
      <w:r w:rsidRPr="00E15057">
        <w:t>Division of Cancer Prevention and Control</w:t>
      </w:r>
    </w:p>
    <w:p w:rsidR="009F535B" w:rsidRPr="00E15057" w:rsidRDefault="001000AC" w:rsidP="005F7122">
      <w:pPr>
        <w:pStyle w:val="Address"/>
      </w:pPr>
      <w:r w:rsidRPr="00E15057">
        <w:t>Centers for Disease Control and Prevention</w:t>
      </w:r>
    </w:p>
    <w:p w:rsidR="009F535B" w:rsidRPr="00E15057" w:rsidRDefault="001000AC" w:rsidP="005F7122">
      <w:pPr>
        <w:pStyle w:val="Address"/>
      </w:pPr>
      <w:r w:rsidRPr="00E15057">
        <w:t>4770 Buford Highway NE, Mailstop K57</w:t>
      </w:r>
    </w:p>
    <w:p w:rsidR="009F535B" w:rsidRPr="00E15057" w:rsidRDefault="001000AC" w:rsidP="005F7122">
      <w:pPr>
        <w:pStyle w:val="Address"/>
      </w:pPr>
      <w:r w:rsidRPr="00E15057">
        <w:t>Atlanta, GA 30341</w:t>
      </w:r>
    </w:p>
    <w:p w:rsidR="009F535B" w:rsidRPr="00E15057" w:rsidRDefault="009F535B" w:rsidP="005F7122">
      <w:pPr>
        <w:pStyle w:val="Address"/>
      </w:pPr>
      <w:r w:rsidRPr="00E15057">
        <w:t xml:space="preserve">Phone: </w:t>
      </w:r>
      <w:r w:rsidR="00A97785" w:rsidRPr="00E15057">
        <w:t>(</w:t>
      </w:r>
      <w:r w:rsidR="00924C54" w:rsidRPr="00E15057">
        <w:t>770</w:t>
      </w:r>
      <w:r w:rsidR="00A97785" w:rsidRPr="00E15057">
        <w:t xml:space="preserve">) </w:t>
      </w:r>
      <w:r w:rsidR="00924C54" w:rsidRPr="00E15057">
        <w:t>488</w:t>
      </w:r>
      <w:r w:rsidR="00A97785" w:rsidRPr="00E15057">
        <w:t>-</w:t>
      </w:r>
      <w:r w:rsidR="00924C54" w:rsidRPr="00E15057">
        <w:t>5455</w:t>
      </w:r>
      <w:hyperlink r:id="rId15" w:history="1">
        <w:r w:rsidR="00924C54" w:rsidRPr="00E15057">
          <w:rPr>
            <w:rStyle w:val="Hyperlink"/>
            <w:color w:val="auto"/>
            <w:u w:val="none"/>
          </w:rPr>
          <w:t>kfj1@cdc.gov</w:t>
        </w:r>
      </w:hyperlink>
    </w:p>
    <w:p w:rsidR="00924C54" w:rsidRPr="00E15057" w:rsidRDefault="00924C54" w:rsidP="005F7122">
      <w:pPr>
        <w:pStyle w:val="Address"/>
      </w:pPr>
    </w:p>
    <w:p w:rsidR="009F535B" w:rsidRPr="00E15057" w:rsidRDefault="009F535B" w:rsidP="005F7122">
      <w:pPr>
        <w:pStyle w:val="BodyText"/>
      </w:pPr>
      <w:r w:rsidRPr="00E15057">
        <w:t>The following individuals outside the agency have been consulted on the design of the generic clearance package:</w:t>
      </w:r>
    </w:p>
    <w:p w:rsidR="00924C54" w:rsidRPr="00E15057" w:rsidRDefault="00924C54" w:rsidP="0067614F">
      <w:pPr>
        <w:pStyle w:val="Address"/>
      </w:pPr>
      <w:proofErr w:type="spellStart"/>
      <w:r w:rsidRPr="00E15057">
        <w:t>Lakeisha</w:t>
      </w:r>
      <w:proofErr w:type="spellEnd"/>
      <w:r w:rsidRPr="00E15057">
        <w:t xml:space="preserve"> Johnson, MA</w:t>
      </w:r>
    </w:p>
    <w:p w:rsidR="00924C54" w:rsidRPr="00E15057" w:rsidRDefault="00B67400" w:rsidP="0067614F">
      <w:pPr>
        <w:pStyle w:val="Address"/>
      </w:pPr>
      <w:r w:rsidRPr="00E15057">
        <w:t xml:space="preserve">NC BCCCP </w:t>
      </w:r>
      <w:r w:rsidR="00924C54" w:rsidRPr="00E15057">
        <w:t>Assistant Branch Head</w:t>
      </w:r>
    </w:p>
    <w:p w:rsidR="00924C54" w:rsidRPr="00E15057" w:rsidRDefault="00924C54" w:rsidP="0067614F">
      <w:pPr>
        <w:pStyle w:val="Address"/>
      </w:pPr>
      <w:r w:rsidRPr="00E15057">
        <w:t>Cancer Prevention and Control Branch</w:t>
      </w:r>
    </w:p>
    <w:p w:rsidR="00924C54" w:rsidRPr="00E15057" w:rsidRDefault="00924C54" w:rsidP="0067614F">
      <w:pPr>
        <w:pStyle w:val="Address"/>
      </w:pPr>
      <w:r w:rsidRPr="00E15057">
        <w:t>NC Division of Public Health</w:t>
      </w:r>
    </w:p>
    <w:p w:rsidR="00924C54" w:rsidRPr="00E15057" w:rsidRDefault="00924C54" w:rsidP="0067614F">
      <w:pPr>
        <w:pStyle w:val="Address"/>
      </w:pPr>
      <w:r w:rsidRPr="00E15057">
        <w:t>1922 Mail Service Center</w:t>
      </w:r>
    </w:p>
    <w:p w:rsidR="00924C54" w:rsidRPr="00E15057" w:rsidRDefault="00924C54" w:rsidP="0067614F">
      <w:pPr>
        <w:pStyle w:val="Address"/>
      </w:pPr>
      <w:r w:rsidRPr="00E15057">
        <w:t>Raleigh, NC 27699-1922</w:t>
      </w:r>
    </w:p>
    <w:p w:rsidR="00924C54" w:rsidRPr="00E15057" w:rsidRDefault="00924C54" w:rsidP="0067614F">
      <w:pPr>
        <w:pStyle w:val="Address"/>
      </w:pPr>
      <w:r w:rsidRPr="00E15057">
        <w:t>Phone: (919) 707-5300</w:t>
      </w:r>
    </w:p>
    <w:p w:rsidR="00933B96" w:rsidRPr="00E15057" w:rsidRDefault="00924C54" w:rsidP="0067614F">
      <w:pPr>
        <w:pStyle w:val="Address"/>
      </w:pPr>
      <w:r w:rsidRPr="00E15057">
        <w:t>lakeisha.johnson@dhhs.nc.gov</w:t>
      </w:r>
    </w:p>
    <w:p w:rsidR="00924C54" w:rsidRPr="00E15057" w:rsidRDefault="00924C54" w:rsidP="0067614F">
      <w:pPr>
        <w:pStyle w:val="Address"/>
      </w:pPr>
    </w:p>
    <w:p w:rsidR="00924C54" w:rsidRPr="00E15057" w:rsidRDefault="00924C54" w:rsidP="0067614F">
      <w:pPr>
        <w:pStyle w:val="Address"/>
      </w:pPr>
      <w:r w:rsidRPr="00E15057">
        <w:t xml:space="preserve">Linda </w:t>
      </w:r>
      <w:proofErr w:type="spellStart"/>
      <w:r w:rsidRPr="00E15057">
        <w:t>Rascoe</w:t>
      </w:r>
      <w:proofErr w:type="spellEnd"/>
      <w:r w:rsidRPr="00E15057">
        <w:t xml:space="preserve">, </w:t>
      </w:r>
      <w:proofErr w:type="spellStart"/>
      <w:r w:rsidRPr="00E15057">
        <w:t>MEd</w:t>
      </w:r>
      <w:proofErr w:type="spellEnd"/>
      <w:r w:rsidRPr="00E15057">
        <w:t>, BSPH</w:t>
      </w:r>
    </w:p>
    <w:p w:rsidR="00924C54" w:rsidRPr="00E15057" w:rsidRDefault="00924C54" w:rsidP="0067614F">
      <w:pPr>
        <w:pStyle w:val="Address"/>
      </w:pPr>
      <w:r w:rsidRPr="00E15057">
        <w:t>NC BCCCP/WISEWOMAN Project Director</w:t>
      </w:r>
    </w:p>
    <w:p w:rsidR="00924C54" w:rsidRPr="00E15057" w:rsidRDefault="00924C54" w:rsidP="0067614F">
      <w:pPr>
        <w:pStyle w:val="Address"/>
      </w:pPr>
      <w:r w:rsidRPr="00E15057">
        <w:t>Cancer Prevention and Control Branch</w:t>
      </w:r>
    </w:p>
    <w:p w:rsidR="00924C54" w:rsidRPr="00E15057" w:rsidRDefault="00924C54" w:rsidP="0067614F">
      <w:pPr>
        <w:pStyle w:val="Address"/>
      </w:pPr>
      <w:r w:rsidRPr="00E15057">
        <w:t xml:space="preserve">NC Division of Public Health </w:t>
      </w:r>
      <w:r w:rsidRPr="00E15057">
        <w:br/>
        <w:t xml:space="preserve">1922 Mail Service Center </w:t>
      </w:r>
      <w:r w:rsidRPr="00E15057">
        <w:br/>
        <w:t xml:space="preserve">Raleigh, NC 27699-1922 </w:t>
      </w:r>
      <w:r w:rsidRPr="00E15057">
        <w:br/>
        <w:t>Phone: (919) 707-5300</w:t>
      </w:r>
      <w:r w:rsidRPr="00E15057">
        <w:br/>
        <w:t>linda.rascoe@dhhs.nc.gov</w:t>
      </w:r>
    </w:p>
    <w:p w:rsidR="005F7122" w:rsidRPr="00E15057" w:rsidRDefault="005F7122">
      <w:pPr>
        <w:rPr>
          <w:rFonts w:ascii="Arial Narrow" w:hAnsi="Arial Narrow"/>
          <w:b/>
          <w:i/>
        </w:rPr>
      </w:pPr>
      <w:bookmarkStart w:id="15" w:name="_Toc68687805"/>
    </w:p>
    <w:p w:rsidR="00933B96" w:rsidRPr="00E15057" w:rsidRDefault="00933B96" w:rsidP="005F7122">
      <w:pPr>
        <w:pStyle w:val="Heading2"/>
      </w:pPr>
      <w:bookmarkStart w:id="16" w:name="_Toc304819988"/>
      <w:r w:rsidRPr="00E15057">
        <w:t>A9. Explanation of Any Payment or Gift to Respondents</w:t>
      </w:r>
      <w:bookmarkEnd w:id="15"/>
      <w:bookmarkEnd w:id="16"/>
    </w:p>
    <w:p w:rsidR="00896525" w:rsidRPr="00E15057" w:rsidRDefault="00041C06" w:rsidP="005F7122">
      <w:pPr>
        <w:pStyle w:val="BodyText"/>
      </w:pPr>
      <w:r w:rsidRPr="00E15057">
        <w:t>Incentives serve as an acknowledgment that the information and time provided by respondents are valuable (</w:t>
      </w:r>
      <w:proofErr w:type="spellStart"/>
      <w:r w:rsidRPr="00E15057">
        <w:t>Salant</w:t>
      </w:r>
      <w:proofErr w:type="spellEnd"/>
      <w:r w:rsidRPr="00E15057">
        <w:t xml:space="preserve"> &amp; </w:t>
      </w:r>
      <w:proofErr w:type="spellStart"/>
      <w:r w:rsidRPr="00E15057">
        <w:t>Dillman</w:t>
      </w:r>
      <w:proofErr w:type="spellEnd"/>
      <w:r w:rsidRPr="00E15057">
        <w:t xml:space="preserve">, 1994). Multiple studies using a variety of data collection methodologies have shown that offering incentives increases response rates (Davis et al., 1998; </w:t>
      </w:r>
      <w:proofErr w:type="spellStart"/>
      <w:r w:rsidRPr="00E15057">
        <w:t>Salant</w:t>
      </w:r>
      <w:proofErr w:type="spellEnd"/>
      <w:r w:rsidRPr="00E15057">
        <w:t xml:space="preserve"> &amp; </w:t>
      </w:r>
      <w:proofErr w:type="spellStart"/>
      <w:r w:rsidRPr="00E15057">
        <w:t>Dillman</w:t>
      </w:r>
      <w:proofErr w:type="spellEnd"/>
      <w:r w:rsidRPr="00E15057">
        <w:t xml:space="preserve">, 1994; Church, 1993; Groves &amp; </w:t>
      </w:r>
      <w:proofErr w:type="spellStart"/>
      <w:r w:rsidRPr="00E15057">
        <w:t>Couper</w:t>
      </w:r>
      <w:proofErr w:type="spellEnd"/>
      <w:r w:rsidRPr="00E15057">
        <w:t xml:space="preserve">, 1998; Singer, </w:t>
      </w:r>
      <w:proofErr w:type="spellStart"/>
      <w:r w:rsidRPr="00E15057">
        <w:t>Gelber</w:t>
      </w:r>
      <w:proofErr w:type="spellEnd"/>
      <w:r w:rsidRPr="00E15057">
        <w:t xml:space="preserve">, Van </w:t>
      </w:r>
      <w:proofErr w:type="spellStart"/>
      <w:r w:rsidRPr="00E15057">
        <w:t>Hoewyk</w:t>
      </w:r>
      <w:proofErr w:type="spellEnd"/>
      <w:r w:rsidRPr="00E15057">
        <w:t xml:space="preserve">, &amp; Brown, 1997; Singer, Van </w:t>
      </w:r>
      <w:proofErr w:type="spellStart"/>
      <w:r w:rsidRPr="00E15057">
        <w:t>Hoewyk</w:t>
      </w:r>
      <w:proofErr w:type="spellEnd"/>
      <w:r w:rsidRPr="00E15057">
        <w:t xml:space="preserve">, &amp; Maher, 2000). Incentives are offered to increase the likelihood of participation and to thank respondents </w:t>
      </w:r>
      <w:r w:rsidRPr="00E15057">
        <w:lastRenderedPageBreak/>
        <w:t xml:space="preserve">for their time and input to the study. Although the incentive amount may vary (e.g., by the type of interviewees, the length and burden of the interview), the </w:t>
      </w:r>
      <w:r w:rsidR="00A97785" w:rsidRPr="00E15057">
        <w:t>effect</w:t>
      </w:r>
      <w:r w:rsidRPr="00E15057">
        <w:t xml:space="preserve"> of an incentive on the response rate does not vary by data collection type (</w:t>
      </w:r>
      <w:proofErr w:type="spellStart"/>
      <w:r w:rsidRPr="00E15057">
        <w:t>Salant</w:t>
      </w:r>
      <w:proofErr w:type="spellEnd"/>
      <w:r w:rsidRPr="00E15057">
        <w:t xml:space="preserve"> &amp; </w:t>
      </w:r>
      <w:proofErr w:type="spellStart"/>
      <w:r w:rsidRPr="00E15057">
        <w:t>Dillman</w:t>
      </w:r>
      <w:proofErr w:type="spellEnd"/>
      <w:r w:rsidRPr="00E15057">
        <w:t>, 1994).</w:t>
      </w:r>
    </w:p>
    <w:p w:rsidR="00041C06" w:rsidRDefault="00601660" w:rsidP="005F7122">
      <w:pPr>
        <w:pStyle w:val="BodyText"/>
      </w:pPr>
      <w:r w:rsidRPr="00E15057">
        <w:t xml:space="preserve">Participants who complete all or any part of the focus group will be given a $50 cash </w:t>
      </w:r>
      <w:r w:rsidR="00B1564D">
        <w:t>payment, which serves as an incentive, recognizes</w:t>
      </w:r>
      <w:r w:rsidRPr="00E15057">
        <w:t xml:space="preserve"> their time and willingness to participate in the group</w:t>
      </w:r>
      <w:r w:rsidR="00B1564D">
        <w:t xml:space="preserve"> and may be used to defray expenses such as</w:t>
      </w:r>
      <w:r w:rsidRPr="00E15057">
        <w:t xml:space="preserve"> transportation and child care. The cash incentive will be noted during the recruitment phase to encourage participation. After the focus group is complete</w:t>
      </w:r>
      <w:r w:rsidR="00261077" w:rsidRPr="00E15057">
        <w:t>,</w:t>
      </w:r>
      <w:r w:rsidRPr="00E15057">
        <w:t xml:space="preserve"> the respondent will receive the incentive in cash and sign a form documen</w:t>
      </w:r>
      <w:r w:rsidR="00A67724" w:rsidRPr="00E15057">
        <w:t xml:space="preserve">ting receipt of reimbursement. </w:t>
      </w:r>
      <w:r w:rsidRPr="00E15057">
        <w:t>An early</w:t>
      </w:r>
      <w:r w:rsidR="00A97785" w:rsidRPr="00E15057">
        <w:t>-</w:t>
      </w:r>
      <w:r w:rsidRPr="00E15057">
        <w:t xml:space="preserve">bird raffle of $25 will also be conducted </w:t>
      </w:r>
      <w:r w:rsidR="005F5F46" w:rsidRPr="00E15057">
        <w:t>for</w:t>
      </w:r>
      <w:r w:rsidRPr="00E15057">
        <w:t xml:space="preserve"> each group to encourage participants to arrive 15 minutes before the scheduled time of their focus group.</w:t>
      </w:r>
    </w:p>
    <w:p w:rsidR="00286B99" w:rsidRPr="00DE5FF8" w:rsidRDefault="00286B99" w:rsidP="00286B99">
      <w:pPr>
        <w:rPr>
          <w:rFonts w:ascii="Arial Narrow" w:hAnsi="Arial Narrow"/>
        </w:rPr>
      </w:pPr>
      <w:r w:rsidRPr="00DE5FF8">
        <w:rPr>
          <w:rFonts w:ascii="Arial Narrow" w:hAnsi="Arial Narrow"/>
        </w:rPr>
        <w:t xml:space="preserve">The choice of a $50 monetary incentive is consistent with what was offered to African American participants in the Georgia study.  In Georgia, the monetary incentive, in addition to </w:t>
      </w:r>
      <w:r w:rsidR="00030A0C" w:rsidRPr="00DE5FF8">
        <w:rPr>
          <w:rFonts w:ascii="Arial Narrow" w:hAnsi="Arial Narrow"/>
        </w:rPr>
        <w:t xml:space="preserve">an extra </w:t>
      </w:r>
      <w:r w:rsidRPr="00DE5FF8">
        <w:rPr>
          <w:rFonts w:ascii="Arial Narrow" w:hAnsi="Arial Narrow"/>
        </w:rPr>
        <w:t>$15 to cover transportation and child care costs, helped facilitate recruitment and our ability to fully populate the focus groups and motivate women to participate through the entire group.  Not using an incentive may reduce the number of women who agree to participate and actually attend the discussion for which they have been scheduled. Under-populated focus groups adversely affect the amount and quality of data collected and</w:t>
      </w:r>
      <w:r w:rsidR="00433BE5" w:rsidRPr="00DE5FF8">
        <w:rPr>
          <w:rFonts w:ascii="Arial Narrow" w:hAnsi="Arial Narrow"/>
        </w:rPr>
        <w:t>,</w:t>
      </w:r>
      <w:r w:rsidRPr="00DE5FF8">
        <w:rPr>
          <w:rFonts w:ascii="Arial Narrow" w:hAnsi="Arial Narrow"/>
        </w:rPr>
        <w:t xml:space="preserve"> thus reduce the utility of the focus group discussions. Group dynamic, quality of discussion, and themes raised could be affected if fewer people participate in the groups. </w:t>
      </w:r>
      <w:r w:rsidR="003A1181" w:rsidRPr="00DE5FF8">
        <w:rPr>
          <w:rFonts w:ascii="Arial Narrow" w:hAnsi="Arial Narrow"/>
        </w:rPr>
        <w:t>Having the expected number of recruited participants attend each scheduled session is crucial, since</w:t>
      </w:r>
      <w:r w:rsidRPr="00DE5FF8">
        <w:rPr>
          <w:rFonts w:ascii="Arial Narrow" w:hAnsi="Arial Narrow"/>
        </w:rPr>
        <w:t xml:space="preserve"> budget constraints generally preclude the possibility of offering additional focus group sessions if turnout to a scheduled session is low.  Morgan (1997) argues that failure to achieve adequate recruitment is the most important challenge facing focus group recruiters and suggests that using incentives helps with recruitment and participation.  </w:t>
      </w:r>
    </w:p>
    <w:p w:rsidR="00286B99" w:rsidRPr="00DE5FF8" w:rsidRDefault="00286B99" w:rsidP="00286B99">
      <w:pPr>
        <w:rPr>
          <w:rFonts w:ascii="Arial Narrow" w:hAnsi="Arial Narrow"/>
        </w:rPr>
      </w:pPr>
    </w:p>
    <w:p w:rsidR="00286B99" w:rsidRPr="00286B99" w:rsidRDefault="00286B99" w:rsidP="00286B99">
      <w:pPr>
        <w:rPr>
          <w:rFonts w:ascii="Arial Narrow" w:hAnsi="Arial Narrow"/>
        </w:rPr>
      </w:pPr>
      <w:r w:rsidRPr="00DE5FF8">
        <w:rPr>
          <w:rFonts w:ascii="Arial Narrow" w:hAnsi="Arial Narrow"/>
        </w:rPr>
        <w:t xml:space="preserve">Alternatives to a monetary incentive include refreshments, meals, gifts, vouchers, and participation in a raffle.  While these are viable incentives, studies suggest, and our experience indicates, that use of a monetary incentive is extremely effective in ensuring adequate numbers of people in this study population participate in the focus groups.  Therefore we do not offer alternative incentives as the </w:t>
      </w:r>
      <w:r w:rsidRPr="00DE5FF8">
        <w:rPr>
          <w:rFonts w:ascii="Arial Narrow" w:hAnsi="Arial Narrow"/>
          <w:i/>
        </w:rPr>
        <w:t xml:space="preserve">only </w:t>
      </w:r>
      <w:r w:rsidRPr="00DE5FF8">
        <w:rPr>
          <w:rFonts w:ascii="Arial Narrow" w:hAnsi="Arial Narrow"/>
        </w:rPr>
        <w:t>incentive to group participation.</w:t>
      </w:r>
    </w:p>
    <w:p w:rsidR="00286B99" w:rsidRPr="00E15057" w:rsidRDefault="00286B99" w:rsidP="005F7122">
      <w:pPr>
        <w:pStyle w:val="BodyText"/>
      </w:pPr>
    </w:p>
    <w:p w:rsidR="00933B96" w:rsidRPr="00E15057" w:rsidRDefault="00933B96" w:rsidP="005F7122">
      <w:pPr>
        <w:pStyle w:val="Heading2"/>
      </w:pPr>
      <w:bookmarkStart w:id="17" w:name="_Toc304819989"/>
      <w:r w:rsidRPr="00E15057">
        <w:t>A10. Assurance of Confidentiality Provided to Respondents</w:t>
      </w:r>
      <w:bookmarkEnd w:id="17"/>
    </w:p>
    <w:p w:rsidR="00152F15" w:rsidRPr="00E15057" w:rsidRDefault="003C07C6" w:rsidP="005F7122">
      <w:pPr>
        <w:pStyle w:val="BodyText"/>
      </w:pPr>
      <w:bookmarkStart w:id="18" w:name="_Toc68687807"/>
      <w:r w:rsidRPr="00E15057">
        <w:t>Response data will not be identified, stored</w:t>
      </w:r>
      <w:r w:rsidR="00A97785" w:rsidRPr="00E15057">
        <w:t>,</w:t>
      </w:r>
      <w:r w:rsidRPr="00E15057">
        <w:t xml:space="preserve"> or retrieved by respondent name</w:t>
      </w:r>
      <w:r w:rsidR="00193AFD">
        <w:t>, therefore, the Privacy Act does not apply</w:t>
      </w:r>
      <w:r w:rsidRPr="00E15057">
        <w:t>.</w:t>
      </w:r>
      <w:r w:rsidR="00A67724" w:rsidRPr="00E15057">
        <w:t xml:space="preserve"> </w:t>
      </w:r>
      <w:r w:rsidRPr="00E15057">
        <w:t>Efforts will be made to ensure that respondents’ personal information is secure at every step of the prot</w:t>
      </w:r>
      <w:r w:rsidR="00152F15" w:rsidRPr="00E15057">
        <w:t>ocol, including recruitment</w:t>
      </w:r>
      <w:r w:rsidR="00293BE0">
        <w:t xml:space="preserve"> and</w:t>
      </w:r>
      <w:r w:rsidR="00152F15" w:rsidRPr="00E15057">
        <w:t xml:space="preserve"> </w:t>
      </w:r>
      <w:r w:rsidRPr="00E15057">
        <w:t xml:space="preserve">conduct of focus group discussions. </w:t>
      </w:r>
      <w:r w:rsidR="00152F15" w:rsidRPr="00E15057">
        <w:t xml:space="preserve">Below is a description of how we will </w:t>
      </w:r>
      <w:r w:rsidR="00193AFD">
        <w:t>safeguard</w:t>
      </w:r>
      <w:r w:rsidR="00193AFD" w:rsidRPr="00E15057">
        <w:t xml:space="preserve"> </w:t>
      </w:r>
      <w:r w:rsidR="00152F15" w:rsidRPr="00E15057">
        <w:t xml:space="preserve">respondent </w:t>
      </w:r>
      <w:r w:rsidR="00193AFD">
        <w:t>privacy</w:t>
      </w:r>
      <w:r w:rsidR="00152F15" w:rsidRPr="00E15057">
        <w:t xml:space="preserve">. </w:t>
      </w:r>
    </w:p>
    <w:p w:rsidR="00152F15" w:rsidRPr="00E15057" w:rsidRDefault="00152F15" w:rsidP="00B5288F">
      <w:pPr>
        <w:pStyle w:val="BodyText"/>
        <w:numPr>
          <w:ilvl w:val="0"/>
          <w:numId w:val="30"/>
        </w:numPr>
      </w:pPr>
      <w:r w:rsidRPr="00E15057">
        <w:t>Although full names and contact information of focus group respondents will be</w:t>
      </w:r>
      <w:r w:rsidR="00193AFD">
        <w:t xml:space="preserve"> temporarily</w:t>
      </w:r>
      <w:r w:rsidRPr="00E15057">
        <w:t xml:space="preserve"> recorded for tracking purposes throughout recruitment, identifiable information will be destroyed after recruitment is completed a</w:t>
      </w:r>
      <w:r w:rsidR="00A67724" w:rsidRPr="00E15057">
        <w:t xml:space="preserve">nd participation is confirmed. </w:t>
      </w:r>
      <w:r w:rsidRPr="00E15057">
        <w:t xml:space="preserve">The identifiers used for recruitment and scheduling purposes </w:t>
      </w:r>
      <w:r w:rsidR="00A82FE8">
        <w:t>will</w:t>
      </w:r>
      <w:r w:rsidRPr="00E15057">
        <w:t xml:space="preserve"> not </w:t>
      </w:r>
      <w:r w:rsidR="00A82FE8">
        <w:t xml:space="preserve">be </w:t>
      </w:r>
      <w:r w:rsidRPr="00E15057">
        <w:t>linked to response data at any time.</w:t>
      </w:r>
    </w:p>
    <w:p w:rsidR="00152F15" w:rsidRPr="00E15057" w:rsidRDefault="00152F15" w:rsidP="00B5288F">
      <w:pPr>
        <w:pStyle w:val="BodyText"/>
        <w:numPr>
          <w:ilvl w:val="0"/>
          <w:numId w:val="30"/>
        </w:numPr>
      </w:pPr>
      <w:r w:rsidRPr="00E15057">
        <w:t>Full names and contact information for follow-up correspondence during the recruitment protocol will be kept in locked file cabinets or password-protected network files. All recruitment activities will be recorded and updated in a recruitment tracking data</w:t>
      </w:r>
      <w:r w:rsidR="00A67724" w:rsidRPr="00E15057">
        <w:t xml:space="preserve">base in Microsoft Excel. </w:t>
      </w:r>
      <w:r w:rsidRPr="00E15057">
        <w:t>Audiotapes of the focus groups will not be transcribed and all will be dest</w:t>
      </w:r>
      <w:r w:rsidR="00A67724" w:rsidRPr="00E15057">
        <w:t>royed at the end of the study.</w:t>
      </w:r>
    </w:p>
    <w:p w:rsidR="00152F15" w:rsidRPr="00E15057" w:rsidRDefault="00152F15" w:rsidP="00B5288F">
      <w:pPr>
        <w:pStyle w:val="BodyText"/>
        <w:numPr>
          <w:ilvl w:val="0"/>
          <w:numId w:val="30"/>
        </w:numPr>
      </w:pPr>
      <w:r w:rsidRPr="00E15057">
        <w:lastRenderedPageBreak/>
        <w:t>All study results will be presented in aggregate form. In every instance, respondents will be told that the information they provide in the focus groups and on the P</w:t>
      </w:r>
      <w:r w:rsidR="00F2108D">
        <w:t>re-</w:t>
      </w:r>
      <w:r w:rsidRPr="00E15057">
        <w:t>DIS</w:t>
      </w:r>
      <w:r w:rsidR="00F2108D">
        <w:t xml:space="preserve"> and Post-DIS</w:t>
      </w:r>
      <w:r w:rsidRPr="00E15057">
        <w:t xml:space="preserve"> will be treated in a secure manner and will not be disclosed except as required by law.</w:t>
      </w:r>
    </w:p>
    <w:p w:rsidR="003B225B" w:rsidRPr="00E15057" w:rsidRDefault="00193AFD" w:rsidP="00B5288F">
      <w:pPr>
        <w:pStyle w:val="BodyText"/>
        <w:numPr>
          <w:ilvl w:val="0"/>
          <w:numId w:val="30"/>
        </w:numPr>
      </w:pPr>
      <w:r>
        <w:t>F</w:t>
      </w:r>
      <w:r w:rsidR="00152F15" w:rsidRPr="00E15057">
        <w:t xml:space="preserve">ocus group participants will not be identified </w:t>
      </w:r>
      <w:r>
        <w:t xml:space="preserve">by full name </w:t>
      </w:r>
      <w:r w:rsidR="00152F15" w:rsidRPr="00E15057">
        <w:t>in the notes or in any of the analys</w:t>
      </w:r>
      <w:r w:rsidR="00A97785" w:rsidRPr="00E15057">
        <w:t>e</w:t>
      </w:r>
      <w:r w:rsidR="00152F15" w:rsidRPr="00E15057">
        <w:t xml:space="preserve">s or written reports. </w:t>
      </w:r>
      <w:r w:rsidR="00B02A13">
        <w:t>P</w:t>
      </w:r>
      <w:r w:rsidR="00152F15" w:rsidRPr="00E15057">
        <w:t xml:space="preserve">articipants' first names </w:t>
      </w:r>
      <w:r>
        <w:t xml:space="preserve">will be displayed </w:t>
      </w:r>
      <w:r w:rsidR="00152F15" w:rsidRPr="00E15057">
        <w:t>on name tents during the focus group</w:t>
      </w:r>
      <w:r w:rsidR="00B02A13">
        <w:t xml:space="preserve"> discussion</w:t>
      </w:r>
      <w:r w:rsidR="00152F15" w:rsidRPr="00E15057">
        <w:t>.</w:t>
      </w:r>
      <w:r>
        <w:t xml:space="preserve"> </w:t>
      </w:r>
    </w:p>
    <w:p w:rsidR="003B225B" w:rsidRPr="00E15057" w:rsidRDefault="00FA2DCF" w:rsidP="00B5288F">
      <w:pPr>
        <w:pStyle w:val="BodyText"/>
        <w:numPr>
          <w:ilvl w:val="0"/>
          <w:numId w:val="30"/>
        </w:numPr>
      </w:pPr>
      <w:r>
        <w:t>CDC’s data collection contractor</w:t>
      </w:r>
      <w:r w:rsidR="003B225B" w:rsidRPr="00E15057">
        <w:t xml:space="preserve"> will subcontract with one </w:t>
      </w:r>
      <w:r w:rsidR="00B1564D">
        <w:t>local site recruiter (</w:t>
      </w:r>
      <w:r w:rsidR="003B225B" w:rsidRPr="00E15057">
        <w:t>LSR</w:t>
      </w:r>
      <w:r w:rsidR="00B1564D">
        <w:t>)</w:t>
      </w:r>
      <w:r w:rsidR="003B225B" w:rsidRPr="00E15057">
        <w:t xml:space="preserve"> in </w:t>
      </w:r>
      <w:r w:rsidR="0031028D" w:rsidRPr="00E15057">
        <w:t xml:space="preserve">each data collection site </w:t>
      </w:r>
      <w:r w:rsidR="003B225B" w:rsidRPr="00E15057">
        <w:t xml:space="preserve">to conduct </w:t>
      </w:r>
      <w:r w:rsidR="0031028D" w:rsidRPr="00E15057">
        <w:t xml:space="preserve">focus group </w:t>
      </w:r>
      <w:r w:rsidR="003B225B" w:rsidRPr="00E15057">
        <w:t>rec</w:t>
      </w:r>
      <w:r w:rsidR="00A67724" w:rsidRPr="00E15057">
        <w:t xml:space="preserve">ruitment. </w:t>
      </w:r>
      <w:r w:rsidR="003B225B" w:rsidRPr="00E15057">
        <w:t xml:space="preserve">LSRs will recruit screened and unscreened women using in-person intercept recruitment techniques at a variety of locations including, but not limited to, the health department, community centers, faith-based organizations, and malls. In this effort, LSRs will use </w:t>
      </w:r>
      <w:r w:rsidR="00E747FD" w:rsidRPr="00E15057">
        <w:t xml:space="preserve">audience-specific </w:t>
      </w:r>
      <w:r w:rsidR="003B225B" w:rsidRPr="00E15057">
        <w:t>recruitment flyer</w:t>
      </w:r>
      <w:r w:rsidR="00E747FD" w:rsidRPr="00E15057">
        <w:t>s</w:t>
      </w:r>
      <w:r w:rsidR="003B225B" w:rsidRPr="00E15057">
        <w:t xml:space="preserve"> (Attachment D</w:t>
      </w:r>
      <w:r w:rsidR="00A56FD7">
        <w:t>1</w:t>
      </w:r>
      <w:r w:rsidR="00E747FD" w:rsidRPr="00E15057">
        <w:t>, Attachment D</w:t>
      </w:r>
      <w:r w:rsidR="00A56FD7">
        <w:t>2</w:t>
      </w:r>
      <w:r w:rsidR="003B225B" w:rsidRPr="00E15057">
        <w:t>) and a recruitment screener</w:t>
      </w:r>
      <w:r w:rsidR="00E747FD" w:rsidRPr="00E15057">
        <w:t xml:space="preserve">s </w:t>
      </w:r>
      <w:r w:rsidR="003B225B" w:rsidRPr="00E15057">
        <w:t xml:space="preserve"> (Attach</w:t>
      </w:r>
      <w:r w:rsidR="00A67724" w:rsidRPr="00E15057">
        <w:t>ment E</w:t>
      </w:r>
      <w:r w:rsidR="00A56FD7">
        <w:t>1</w:t>
      </w:r>
      <w:r w:rsidR="00E747FD" w:rsidRPr="00E15057">
        <w:t>, Attachment E</w:t>
      </w:r>
      <w:r w:rsidR="00A56FD7">
        <w:t>2</w:t>
      </w:r>
      <w:r w:rsidR="00A67724" w:rsidRPr="00E15057">
        <w:t xml:space="preserve">) provided by </w:t>
      </w:r>
      <w:r>
        <w:t>CDC’s data collection contractor</w:t>
      </w:r>
      <w:r w:rsidR="005563A3" w:rsidRPr="00E15057">
        <w:t>. To</w:t>
      </w:r>
      <w:r w:rsidR="003B225B" w:rsidRPr="00E15057">
        <w:t xml:space="preserve"> </w:t>
      </w:r>
      <w:r w:rsidR="00B93AF0">
        <w:t>safeguard participants’ privacy</w:t>
      </w:r>
      <w:r w:rsidR="003B225B" w:rsidRPr="00E15057">
        <w:t>, all identifying information about participants will be kept in locked cabinets and password</w:t>
      </w:r>
      <w:r w:rsidR="00A97785" w:rsidRPr="00E15057">
        <w:t>-</w:t>
      </w:r>
      <w:r w:rsidR="003B225B" w:rsidRPr="00E15057">
        <w:t>protected computer files</w:t>
      </w:r>
      <w:r w:rsidR="00A97785" w:rsidRPr="00E15057">
        <w:t>,</w:t>
      </w:r>
      <w:r w:rsidR="003B225B" w:rsidRPr="00E15057">
        <w:t xml:space="preserve"> which will be destroyed at the end of the study. All recruitment activities will be recorded and updated in a recruitment-tracking database in Microsoft Excel.</w:t>
      </w:r>
    </w:p>
    <w:p w:rsidR="00C73683" w:rsidRPr="00E15057" w:rsidRDefault="00152F15" w:rsidP="002236C7">
      <w:pPr>
        <w:pStyle w:val="Heading4"/>
      </w:pPr>
      <w:r w:rsidRPr="00E15057">
        <w:t>Access to and Protection of Respondent Names</w:t>
      </w:r>
    </w:p>
    <w:p w:rsidR="00152F15" w:rsidRPr="00E15057" w:rsidRDefault="00152F15" w:rsidP="005F7122">
      <w:pPr>
        <w:pStyle w:val="BodyText"/>
      </w:pPr>
      <w:r w:rsidRPr="00E15057">
        <w:t>At the time of the groups</w:t>
      </w:r>
      <w:r w:rsidR="009A022E" w:rsidRPr="00E15057">
        <w:t>,</w:t>
      </w:r>
      <w:r w:rsidRPr="00E15057">
        <w:t xml:space="preserve"> only </w:t>
      </w:r>
      <w:r w:rsidR="00FA2DCF">
        <w:t>CDC’s data collection contractor</w:t>
      </w:r>
      <w:r w:rsidRPr="00E15057">
        <w:t xml:space="preserve"> staff and the LSRs will ha</w:t>
      </w:r>
      <w:r w:rsidR="00A67724" w:rsidRPr="00E15057">
        <w:t xml:space="preserve">ve access to respondent names. </w:t>
      </w:r>
      <w:r w:rsidRPr="00E15057">
        <w:t>After the focus groups have been conducted, the LSRs will provide all screeners</w:t>
      </w:r>
      <w:r w:rsidR="009A022E" w:rsidRPr="00E15057">
        <w:t xml:space="preserve"> with</w:t>
      </w:r>
      <w:r w:rsidRPr="00E15057">
        <w:t xml:space="preserve"> original copies of the recruitment logs and any lists of respondent names or other identifying information to </w:t>
      </w:r>
      <w:r w:rsidR="00FA2DCF">
        <w:t>CDC’s data collection contractor</w:t>
      </w:r>
      <w:r w:rsidRPr="00E15057">
        <w:t xml:space="preserve">. </w:t>
      </w:r>
      <w:r w:rsidR="00FA2DCF">
        <w:t>Contractor</w:t>
      </w:r>
      <w:r w:rsidRPr="00E15057">
        <w:t xml:space="preserve"> staff will then be the only persons with access to respondent names and will store all materials with identifying information in locked file cabinets or password-protected computer files. At the conclusion of the project, all identifying information and audiotapes of the groups will be destroyed.</w:t>
      </w:r>
    </w:p>
    <w:p w:rsidR="00152F15" w:rsidRPr="00E15057" w:rsidRDefault="00152F15" w:rsidP="005F7122">
      <w:pPr>
        <w:pStyle w:val="BodyText"/>
      </w:pPr>
      <w:r w:rsidRPr="00E15057">
        <w:t>To further protect identifying information, all focus group observers (</w:t>
      </w:r>
      <w:r w:rsidR="00FA2DCF">
        <w:t>contractor</w:t>
      </w:r>
      <w:r w:rsidRPr="00E15057">
        <w:t xml:space="preserve"> </w:t>
      </w:r>
      <w:r w:rsidR="00A265C3">
        <w:t xml:space="preserve">staff </w:t>
      </w:r>
      <w:r w:rsidRPr="00E15057">
        <w:t xml:space="preserve">and CDC researchers) will be asked to sign an observer </w:t>
      </w:r>
      <w:r w:rsidR="00A265C3">
        <w:t>non-disclosure agreement</w:t>
      </w:r>
      <w:r w:rsidRPr="00E15057">
        <w:t xml:space="preserve"> (Attachment </w:t>
      </w:r>
      <w:r w:rsidR="003B225B" w:rsidRPr="00E15057">
        <w:t>F</w:t>
      </w:r>
      <w:r w:rsidRPr="00E15057">
        <w:t xml:space="preserve">), stating that they will treat all information they hear in a secure manner, unless otherwise required by law. The </w:t>
      </w:r>
      <w:r w:rsidR="009A022E" w:rsidRPr="00E15057">
        <w:t>LSR</w:t>
      </w:r>
      <w:r w:rsidRPr="00E15057">
        <w:t xml:space="preserve">s subcontracted by </w:t>
      </w:r>
      <w:r w:rsidR="00FA2DCF">
        <w:t>CDC’s data collection contractor</w:t>
      </w:r>
      <w:r w:rsidRPr="00E15057">
        <w:t xml:space="preserve"> will also be required to complete a </w:t>
      </w:r>
      <w:r w:rsidR="00A265C3">
        <w:t>non-disclosure agreement</w:t>
      </w:r>
      <w:r w:rsidRPr="00E15057">
        <w:t xml:space="preserve"> (Attachment </w:t>
      </w:r>
      <w:r w:rsidR="003B225B" w:rsidRPr="00E15057">
        <w:t>G</w:t>
      </w:r>
      <w:r w:rsidR="005F7122" w:rsidRPr="00E15057">
        <w:t>).</w:t>
      </w:r>
    </w:p>
    <w:p w:rsidR="00152F15" w:rsidRPr="00E15057" w:rsidRDefault="00152F15" w:rsidP="005F7122">
      <w:pPr>
        <w:pStyle w:val="BodyText"/>
      </w:pPr>
      <w:r w:rsidRPr="00E15057">
        <w:t xml:space="preserve">Focus group participants will be asked to complete an informed consent form (Attachment </w:t>
      </w:r>
      <w:r w:rsidR="003B225B" w:rsidRPr="00E15057">
        <w:t>H</w:t>
      </w:r>
      <w:r w:rsidR="00A56FD7">
        <w:t>1</w:t>
      </w:r>
      <w:r w:rsidR="0006311E" w:rsidRPr="00E15057">
        <w:t>, Attachment H</w:t>
      </w:r>
      <w:r w:rsidR="00A56FD7">
        <w:t>2</w:t>
      </w:r>
      <w:r w:rsidRPr="00E15057">
        <w:t>). At the start of each focus group, the focus group moderator will read the consent form out loud. The consent form details the limited risks and benefits of their participation, the purpose of the group, the expected duration of the group, their rights as respondents, and contact information of study personnel. The form also informs the respondents that participation is voluntary. Respondents will be asked about any concerns or questions they might have before they are asked to provide their signature, indicating consent. The moderator will serve as a witness and will also sign the consent form of each respondent.</w:t>
      </w:r>
    </w:p>
    <w:p w:rsidR="00152F15" w:rsidRPr="00E15057" w:rsidRDefault="00FA2DCF" w:rsidP="005F7122">
      <w:pPr>
        <w:pStyle w:val="BodyText"/>
      </w:pPr>
      <w:r>
        <w:t>CDC’s data collection contractor</w:t>
      </w:r>
      <w:r w:rsidR="00152F15" w:rsidRPr="00E15057">
        <w:t xml:space="preserve"> will maintain continual communication with the LSRs throu</w:t>
      </w:r>
      <w:r w:rsidR="00A67724" w:rsidRPr="00E15057">
        <w:t xml:space="preserve">ghout the recruitment process. </w:t>
      </w:r>
      <w:r w:rsidR="00AF646A">
        <w:t xml:space="preserve">  </w:t>
      </w:r>
      <w:r w:rsidR="00152F15" w:rsidRPr="00E15057">
        <w:t>LSRs</w:t>
      </w:r>
      <w:r w:rsidR="008A11AD" w:rsidRPr="00E15057">
        <w:t xml:space="preserve"> will be trained </w:t>
      </w:r>
      <w:r w:rsidR="00AD4C50" w:rsidRPr="00E15057">
        <w:t>and instructed</w:t>
      </w:r>
      <w:r w:rsidR="00152F15" w:rsidRPr="00E15057">
        <w:t xml:space="preserve"> to ask all questions in the recruitment screener</w:t>
      </w:r>
      <w:r w:rsidR="003B225B" w:rsidRPr="00E15057">
        <w:t xml:space="preserve"> </w:t>
      </w:r>
      <w:r w:rsidR="00152F15" w:rsidRPr="00E15057">
        <w:t>before terminating due to ineli</w:t>
      </w:r>
      <w:r w:rsidR="00A67724" w:rsidRPr="00E15057">
        <w:t xml:space="preserve">gibility. </w:t>
      </w:r>
      <w:r w:rsidR="00152F15" w:rsidRPr="00E15057">
        <w:t xml:space="preserve">LSRs will be instructed to complete a daily log documenting their recruitment efforts and will fax the </w:t>
      </w:r>
      <w:r w:rsidR="00A67724" w:rsidRPr="00E15057">
        <w:t xml:space="preserve">logs to </w:t>
      </w:r>
      <w:r>
        <w:t>CDC’s data collection contractor</w:t>
      </w:r>
      <w:r w:rsidR="00A67724" w:rsidRPr="00E15057">
        <w:t xml:space="preserve"> staff daily. </w:t>
      </w:r>
      <w:r w:rsidR="00152F15" w:rsidRPr="00E15057">
        <w:t>The logs will capture the date, type of activity (such as attending a church social), and time spent in each a</w:t>
      </w:r>
      <w:r w:rsidR="00A67724" w:rsidRPr="00E15057">
        <w:t xml:space="preserve">ttempted recruitment </w:t>
      </w:r>
      <w:r w:rsidR="00A67724" w:rsidRPr="00E15057">
        <w:lastRenderedPageBreak/>
        <w:t xml:space="preserve">location. </w:t>
      </w:r>
      <w:r w:rsidR="00152F15" w:rsidRPr="00E15057">
        <w:t xml:space="preserve">First and last names as well as contact information will only be recorded for women who are screened and eligible to participate in a focus group. LSRs will be instructed not to record names and contact information for women who are screened but found to be ineligible </w:t>
      </w:r>
      <w:r w:rsidR="00A67724" w:rsidRPr="00E15057">
        <w:t>for focus group participation.</w:t>
      </w:r>
    </w:p>
    <w:p w:rsidR="00152F15" w:rsidRPr="00E15057" w:rsidRDefault="00152F15" w:rsidP="005F7122">
      <w:pPr>
        <w:pStyle w:val="BodyText"/>
      </w:pPr>
      <w:r w:rsidRPr="00E15057">
        <w:t>Per their requ</w:t>
      </w:r>
      <w:r w:rsidR="003B225B" w:rsidRPr="00E15057">
        <w:t xml:space="preserve">ired </w:t>
      </w:r>
      <w:r w:rsidR="00A265C3">
        <w:t>non-disclosure agreement</w:t>
      </w:r>
      <w:r w:rsidRPr="00E15057">
        <w:t xml:space="preserve">, LSRs will keep all screeners and original copies of the logs used to track recruitment in a secure place until meeting with </w:t>
      </w:r>
      <w:r w:rsidR="00FA2DCF">
        <w:t>CDC’s data collection contractor</w:t>
      </w:r>
      <w:r w:rsidRPr="00E15057">
        <w:t xml:space="preserve"> on the </w:t>
      </w:r>
      <w:r w:rsidR="00A67724" w:rsidRPr="00E15057">
        <w:t xml:space="preserve">first day of the focus groups. </w:t>
      </w:r>
      <w:r w:rsidRPr="00E15057">
        <w:t xml:space="preserve">At that time, all screeners and original copies of the logs will be given to </w:t>
      </w:r>
      <w:r w:rsidR="00FA2DCF">
        <w:t>CDC’s data collection contractor</w:t>
      </w:r>
      <w:r w:rsidRPr="00E15057">
        <w:t xml:space="preserve">. </w:t>
      </w:r>
      <w:r w:rsidR="00CE1A32" w:rsidRPr="00E15057">
        <w:t>In addition</w:t>
      </w:r>
      <w:r w:rsidR="00C915DE" w:rsidRPr="00E15057">
        <w:t xml:space="preserve">, </w:t>
      </w:r>
      <w:r w:rsidR="00FA2DCF">
        <w:t>CDC’s data collection contractor</w:t>
      </w:r>
      <w:r w:rsidRPr="00E15057">
        <w:t xml:space="preserve"> will record and update all recruitment activities </w:t>
      </w:r>
      <w:r w:rsidR="00CE1A32" w:rsidRPr="00E15057">
        <w:t>o</w:t>
      </w:r>
      <w:r w:rsidRPr="00E15057">
        <w:t xml:space="preserve">n </w:t>
      </w:r>
      <w:r w:rsidR="00A67724" w:rsidRPr="00E15057">
        <w:t xml:space="preserve">a Microsoft Excel spreadsheet. </w:t>
      </w:r>
      <w:r w:rsidR="00CE1A32" w:rsidRPr="00E15057">
        <w:t>T</w:t>
      </w:r>
      <w:r w:rsidRPr="00E15057">
        <w:t xml:space="preserve">o </w:t>
      </w:r>
      <w:r w:rsidR="00A265C3">
        <w:t>safeguard</w:t>
      </w:r>
      <w:r w:rsidR="00A265C3" w:rsidRPr="00E15057">
        <w:t xml:space="preserve"> </w:t>
      </w:r>
      <w:r w:rsidRPr="00E15057">
        <w:t xml:space="preserve">respondents’ </w:t>
      </w:r>
      <w:r w:rsidR="00A265C3">
        <w:t>privacy</w:t>
      </w:r>
      <w:r w:rsidRPr="00E15057">
        <w:t xml:space="preserve">, </w:t>
      </w:r>
      <w:r w:rsidR="00FA2DCF">
        <w:t>CDC’s data collection contractor</w:t>
      </w:r>
      <w:r w:rsidRPr="00E15057">
        <w:t xml:space="preserve"> will keep all identifying information about participants in locked cabinets and password</w:t>
      </w:r>
      <w:r w:rsidR="00CE1A32" w:rsidRPr="00E15057">
        <w:t>-</w:t>
      </w:r>
      <w:r w:rsidRPr="00E15057">
        <w:t>protected computer files</w:t>
      </w:r>
      <w:r w:rsidR="00CE1A32" w:rsidRPr="00E15057">
        <w:t>,</w:t>
      </w:r>
      <w:r w:rsidRPr="00E15057">
        <w:t xml:space="preserve"> which will be destroyed at the end of the study. </w:t>
      </w:r>
    </w:p>
    <w:p w:rsidR="007366D9" w:rsidRPr="00E15057" w:rsidRDefault="00152F15" w:rsidP="005F7122">
      <w:pPr>
        <w:pStyle w:val="BodyText"/>
      </w:pPr>
      <w:r w:rsidRPr="00E15057">
        <w:t xml:space="preserve">On April 8, 2011, the </w:t>
      </w:r>
      <w:r w:rsidR="005555CE" w:rsidRPr="00E15057">
        <w:t xml:space="preserve">focus group portion of this project </w:t>
      </w:r>
      <w:r w:rsidRPr="00E15057">
        <w:t xml:space="preserve">obtained </w:t>
      </w:r>
      <w:r w:rsidR="009B103B" w:rsidRPr="00E15057">
        <w:t xml:space="preserve">approval from </w:t>
      </w:r>
      <w:r w:rsidR="00FA2DCF">
        <w:t>CDC’s data collection contractor</w:t>
      </w:r>
      <w:r w:rsidR="009B103B" w:rsidRPr="00E15057">
        <w:t xml:space="preserve">’s </w:t>
      </w:r>
      <w:r w:rsidR="00CE1A32" w:rsidRPr="00E15057">
        <w:t>institutional review board (IRB)</w:t>
      </w:r>
      <w:r w:rsidRPr="00E15057">
        <w:t xml:space="preserve">. </w:t>
      </w:r>
      <w:r w:rsidR="00AF646A">
        <w:t xml:space="preserve">IRB approval was amended to include the four formative research focus groups with Latinas on August 30, 2011.  </w:t>
      </w:r>
      <w:r w:rsidRPr="00E15057">
        <w:t xml:space="preserve">A copy of the </w:t>
      </w:r>
      <w:r w:rsidR="009B103B" w:rsidRPr="00E15057">
        <w:t xml:space="preserve">IRB </w:t>
      </w:r>
      <w:r w:rsidR="00246D66">
        <w:t>approval letter</w:t>
      </w:r>
      <w:r w:rsidR="00246D66" w:rsidRPr="00E15057">
        <w:t xml:space="preserve"> </w:t>
      </w:r>
      <w:r w:rsidRPr="00E15057">
        <w:t xml:space="preserve">is included in </w:t>
      </w:r>
      <w:r w:rsidR="00750593" w:rsidRPr="0008014C">
        <w:t>Attachment I.</w:t>
      </w:r>
    </w:p>
    <w:p w:rsidR="00DD3FBF" w:rsidRPr="00E15057" w:rsidRDefault="00DD3FBF" w:rsidP="005F7122">
      <w:pPr>
        <w:pStyle w:val="Heading2"/>
      </w:pPr>
      <w:bookmarkStart w:id="19" w:name="_Toc304819990"/>
      <w:r w:rsidRPr="00E15057">
        <w:t>A11. Justification for Sensitive Questions</w:t>
      </w:r>
      <w:bookmarkEnd w:id="18"/>
      <w:bookmarkEnd w:id="19"/>
    </w:p>
    <w:p w:rsidR="00670FC2" w:rsidRDefault="002A4963" w:rsidP="005F7122">
      <w:pPr>
        <w:pStyle w:val="BodyText"/>
      </w:pPr>
      <w:r w:rsidRPr="00E15057">
        <w:rPr>
          <w:color w:val="000000"/>
        </w:rPr>
        <w:t>The majority of questions asked will not be of a highly sensitive nature</w:t>
      </w:r>
      <w:r w:rsidR="00246D66">
        <w:rPr>
          <w:color w:val="000000"/>
        </w:rPr>
        <w:t>, but some questions may be viewed as somewhat sensitive by a portion of respondents</w:t>
      </w:r>
      <w:r w:rsidRPr="00E15057">
        <w:rPr>
          <w:color w:val="000000"/>
        </w:rPr>
        <w:t xml:space="preserve">. </w:t>
      </w:r>
      <w:r w:rsidR="004B626A">
        <w:t>During screening for focus group eligibility, r</w:t>
      </w:r>
      <w:r w:rsidR="00246D66" w:rsidRPr="00E15057">
        <w:t xml:space="preserve">espondents will </w:t>
      </w:r>
      <w:r w:rsidR="00246D66">
        <w:t xml:space="preserve">be asked to </w:t>
      </w:r>
      <w:r w:rsidR="00246D66" w:rsidRPr="00E15057">
        <w:t>provide limited personal (i.e., demographic) information</w:t>
      </w:r>
      <w:r w:rsidR="00246D66">
        <w:t xml:space="preserve"> to </w:t>
      </w:r>
      <w:r w:rsidR="00670FC2">
        <w:t>identify members of the target audience(s)</w:t>
      </w:r>
      <w:r w:rsidR="00246D66">
        <w:t xml:space="preserve">.  </w:t>
      </w:r>
      <w:r w:rsidR="00246D66" w:rsidRPr="00E15057">
        <w:t xml:space="preserve">These topics include race/ethnicity, income, educational level, and previous diagnosis of cancer. </w:t>
      </w:r>
      <w:r w:rsidR="00670FC2">
        <w:t>T</w:t>
      </w:r>
      <w:r w:rsidR="00246D66" w:rsidRPr="00E15057">
        <w:t>hese questions are necessary because the research investigates a health disparity related to African American</w:t>
      </w:r>
      <w:r w:rsidR="00246D66">
        <w:t xml:space="preserve"> </w:t>
      </w:r>
      <w:r w:rsidR="00246D66" w:rsidRPr="00E15057">
        <w:t>and Latina women’s use of breast cancer screening services and seeks input about concepts and messages to promote mammography in these populations. The questions are a necessary part of the screening process to ensure (1) eligibility to participate and (2) that the focus groups are racially homogeneous to facilitate group interviewing. In addition, to minimize psychological distress to participants, the moderator will inform participants that they do not have to respond to any questions they do not want to answer and they may stop participating at any time.</w:t>
      </w:r>
    </w:p>
    <w:p w:rsidR="005F7122" w:rsidRPr="00E15057" w:rsidRDefault="00670FC2" w:rsidP="005F7122">
      <w:pPr>
        <w:pStyle w:val="BodyText"/>
      </w:pPr>
      <w:r>
        <w:rPr>
          <w:color w:val="000000"/>
        </w:rPr>
        <w:t>S</w:t>
      </w:r>
      <w:r w:rsidR="002A4963" w:rsidRPr="00E15057">
        <w:rPr>
          <w:color w:val="000000"/>
        </w:rPr>
        <w:t xml:space="preserve">ome respondents may find thinking about and discussing breast cancer unpleasant. </w:t>
      </w:r>
      <w:r w:rsidR="00041C06" w:rsidRPr="00E15057">
        <w:t xml:space="preserve">The questions in the </w:t>
      </w:r>
      <w:r w:rsidR="003B225B" w:rsidRPr="00E15057">
        <w:t>participant version</w:t>
      </w:r>
      <w:r w:rsidR="007D26B2" w:rsidRPr="00E15057">
        <w:t>s</w:t>
      </w:r>
      <w:r w:rsidR="003B225B" w:rsidRPr="00E15057">
        <w:t xml:space="preserve"> of the </w:t>
      </w:r>
      <w:r w:rsidR="00041C06" w:rsidRPr="00E15057">
        <w:t>DIS</w:t>
      </w:r>
      <w:r w:rsidR="003B225B" w:rsidRPr="00E15057">
        <w:t xml:space="preserve"> (Attachment A</w:t>
      </w:r>
      <w:r w:rsidR="00A56FD7">
        <w:t>1</w:t>
      </w:r>
      <w:r w:rsidR="00CB4A83">
        <w:t>a</w:t>
      </w:r>
      <w:r w:rsidR="0006311E" w:rsidRPr="00E15057">
        <w:t xml:space="preserve">, </w:t>
      </w:r>
      <w:r w:rsidR="00CB4A83">
        <w:t xml:space="preserve">Attachment A1b, </w:t>
      </w:r>
      <w:r w:rsidR="00795102">
        <w:t xml:space="preserve">and </w:t>
      </w:r>
      <w:r w:rsidR="0006311E" w:rsidRPr="00E15057">
        <w:t>Attachment A</w:t>
      </w:r>
      <w:r w:rsidR="00A56FD7">
        <w:t>2</w:t>
      </w:r>
      <w:r w:rsidR="003B225B" w:rsidRPr="00E15057">
        <w:t>) or moderator guide</w:t>
      </w:r>
      <w:r w:rsidR="007D26B2" w:rsidRPr="00E15057">
        <w:t>s</w:t>
      </w:r>
      <w:r w:rsidR="003B225B" w:rsidRPr="00E15057">
        <w:t xml:space="preserve"> (Attachment J</w:t>
      </w:r>
      <w:r w:rsidR="00A56FD7">
        <w:t>1</w:t>
      </w:r>
      <w:r w:rsidR="0006311E" w:rsidRPr="00E15057">
        <w:t>, Attachment J</w:t>
      </w:r>
      <w:r w:rsidR="00A56FD7">
        <w:t>2</w:t>
      </w:r>
      <w:r w:rsidR="003B225B" w:rsidRPr="00E15057">
        <w:t>)</w:t>
      </w:r>
      <w:r w:rsidR="00041C06" w:rsidRPr="00E15057">
        <w:t xml:space="preserve"> ask about respondents’ opinions and thoughts </w:t>
      </w:r>
      <w:r w:rsidR="00CE1A32" w:rsidRPr="00E15057">
        <w:t>about</w:t>
      </w:r>
      <w:r w:rsidR="00041C06" w:rsidRPr="00E15057">
        <w:t xml:space="preserve"> </w:t>
      </w:r>
      <w:r w:rsidR="007D26B2" w:rsidRPr="00E15057">
        <w:t xml:space="preserve">health, breast cancer, screening, </w:t>
      </w:r>
      <w:r w:rsidR="0008295D" w:rsidRPr="00E15057">
        <w:t xml:space="preserve">and/or </w:t>
      </w:r>
      <w:r w:rsidR="007D26B2" w:rsidRPr="00E15057">
        <w:t xml:space="preserve">specific messages/materials </w:t>
      </w:r>
      <w:r w:rsidR="003B225B" w:rsidRPr="00E15057">
        <w:t>and</w:t>
      </w:r>
      <w:r w:rsidR="00041C06" w:rsidRPr="00E15057">
        <w:t xml:space="preserve"> appropriateness. Questions </w:t>
      </w:r>
      <w:r w:rsidR="0008295D" w:rsidRPr="00E15057">
        <w:t xml:space="preserve">about messages/materials </w:t>
      </w:r>
      <w:r w:rsidR="00041C06" w:rsidRPr="00E15057">
        <w:t xml:space="preserve">are designed to determine if </w:t>
      </w:r>
      <w:r w:rsidR="00153EBF">
        <w:t>materials</w:t>
      </w:r>
      <w:r w:rsidR="00153EBF" w:rsidRPr="00E15057">
        <w:t xml:space="preserve"> </w:t>
      </w:r>
      <w:r w:rsidR="0008295D" w:rsidRPr="00E15057">
        <w:t xml:space="preserve">are </w:t>
      </w:r>
      <w:r w:rsidR="00041C06" w:rsidRPr="00E15057">
        <w:t>clear and understandable to the target audience</w:t>
      </w:r>
      <w:r w:rsidR="00CE1A32" w:rsidRPr="00E15057">
        <w:t>,</w:t>
      </w:r>
      <w:r w:rsidR="00041C06" w:rsidRPr="00E15057">
        <w:t xml:space="preserve"> are personally relevant to the target audience</w:t>
      </w:r>
      <w:r w:rsidR="00CE1A32" w:rsidRPr="00E15057">
        <w:t>,</w:t>
      </w:r>
      <w:r w:rsidR="00041C06" w:rsidRPr="00E15057">
        <w:t xml:space="preserve"> have sensitive or controversial elements</w:t>
      </w:r>
      <w:r w:rsidR="00CE1A32" w:rsidRPr="00E15057">
        <w:t>,</w:t>
      </w:r>
      <w:r w:rsidR="00041C06" w:rsidRPr="00E15057">
        <w:t xml:space="preserve"> capture the audience’s attention</w:t>
      </w:r>
      <w:r w:rsidR="00CE1A32" w:rsidRPr="00E15057">
        <w:t>,</w:t>
      </w:r>
      <w:r w:rsidR="00041C06" w:rsidRPr="00E15057">
        <w:t xml:space="preserve"> match the audience’s preferences for wording and format</w:t>
      </w:r>
      <w:r w:rsidR="00CE1A32" w:rsidRPr="00E15057">
        <w:t>,</w:t>
      </w:r>
      <w:r w:rsidR="00041C06" w:rsidRPr="00E15057">
        <w:t xml:space="preserve"> and confirm that selected settings and activities are appropriate. </w:t>
      </w:r>
      <w:r w:rsidR="00CE0DAD">
        <w:t xml:space="preserve">These questions are necessary in order to achieve the specific aims of this information collection. </w:t>
      </w:r>
      <w:r w:rsidR="0008295D" w:rsidRPr="00E15057">
        <w:t>P</w:t>
      </w:r>
      <w:r w:rsidR="00041C06" w:rsidRPr="00E15057">
        <w:t>articipants will not be asked about their own p</w:t>
      </w:r>
      <w:r w:rsidR="005F7122" w:rsidRPr="00E15057">
        <w:t>ersonal health in focus groups.</w:t>
      </w:r>
      <w:r w:rsidR="00E747FD" w:rsidRPr="00E15057">
        <w:t xml:space="preserve"> </w:t>
      </w:r>
      <w:bookmarkStart w:id="20" w:name="_Toc68687808"/>
    </w:p>
    <w:p w:rsidR="00DD3FBF" w:rsidRPr="00E15057" w:rsidRDefault="00DD3FBF" w:rsidP="005F7122">
      <w:pPr>
        <w:pStyle w:val="Heading2"/>
      </w:pPr>
      <w:bookmarkStart w:id="21" w:name="_Toc304819991"/>
      <w:r w:rsidRPr="00E15057">
        <w:t>A12. Estimates of Annualized Burden Hours and Costs</w:t>
      </w:r>
      <w:bookmarkEnd w:id="20"/>
      <w:bookmarkEnd w:id="21"/>
    </w:p>
    <w:p w:rsidR="004D57DE" w:rsidRPr="00E15057" w:rsidRDefault="004D57DE" w:rsidP="004D57DE">
      <w:pPr>
        <w:pStyle w:val="BodyText"/>
      </w:pPr>
      <w:r w:rsidRPr="00E15057">
        <w:t xml:space="preserve">A. Burden for this effort is based on an 80% response rate (i.e., 80% of persons who are recruited to participate are eligible and agree to participate) for the focus groups. </w:t>
      </w:r>
      <w:r w:rsidR="00A56FD7" w:rsidRPr="00E15057">
        <w:t>The recruitment screeners (Attachment E</w:t>
      </w:r>
      <w:r w:rsidR="00A56FD7">
        <w:t>1</w:t>
      </w:r>
      <w:r w:rsidR="00A56FD7" w:rsidRPr="00E15057">
        <w:t>, Attachment E</w:t>
      </w:r>
      <w:r w:rsidR="00A56FD7">
        <w:t>2</w:t>
      </w:r>
      <w:r w:rsidR="00A56FD7" w:rsidRPr="00E15057">
        <w:t xml:space="preserve">) will each take approximately 5 minutes to complete. </w:t>
      </w:r>
      <w:r w:rsidRPr="00E15057">
        <w:t xml:space="preserve">Therefore, of the 225 women who are approached during recruitment for the 12 focus groups, a total of 180 (15 per group) will be eligible and agree to participate. These 180 eligible women will be scheduled to attend groups to account for attrition; however, only 120 women will actually participate in the groups in total (10 per group for the 12 </w:t>
      </w:r>
      <w:r w:rsidRPr="00E15057">
        <w:lastRenderedPageBreak/>
        <w:t xml:space="preserve">groups). In addition, of the 180 eligible women scheduled to attend the focus groups, 20% (36 </w:t>
      </w:r>
      <w:proofErr w:type="gramStart"/>
      <w:r w:rsidRPr="00E15057">
        <w:t>total</w:t>
      </w:r>
      <w:proofErr w:type="gramEnd"/>
      <w:r w:rsidRPr="00E15057">
        <w:t xml:space="preserve">, 3 per group) will be rescreened by </w:t>
      </w:r>
      <w:r w:rsidR="00FA2DCF">
        <w:t>CDC’s data collection contractor</w:t>
      </w:r>
      <w:r w:rsidRPr="00E15057">
        <w:t xml:space="preserve"> for quality assurance purposes.</w:t>
      </w:r>
      <w:r w:rsidR="00A56FD7">
        <w:t xml:space="preserve">  Eight of the 12 focus groups will be held with African-American women</w:t>
      </w:r>
      <w:r w:rsidR="009339FE">
        <w:t xml:space="preserve"> (see the discussion guide in Attachment J1)</w:t>
      </w:r>
      <w:r w:rsidR="00A56FD7">
        <w:t>, and four of the 12 focus groups will be held with Latinas</w:t>
      </w:r>
      <w:r w:rsidR="009339FE">
        <w:t xml:space="preserve"> (see the discussion guide in Attachment J2)</w:t>
      </w:r>
      <w:r w:rsidR="00A56FD7">
        <w:t>.</w:t>
      </w:r>
      <w:r w:rsidR="00916C3E">
        <w:t xml:space="preserve"> </w:t>
      </w:r>
    </w:p>
    <w:p w:rsidR="00B7421E" w:rsidRDefault="00B7421E" w:rsidP="00F54BF9">
      <w:pPr>
        <w:pStyle w:val="BodyText"/>
      </w:pPr>
      <w:r>
        <w:t>For African American women, p</w:t>
      </w:r>
      <w:r w:rsidR="009339FE">
        <w:t xml:space="preserve">articipants in each </w:t>
      </w:r>
      <w:r w:rsidR="001216F5">
        <w:t xml:space="preserve">focus </w:t>
      </w:r>
      <w:r w:rsidR="009339FE">
        <w:t>group will complete a</w:t>
      </w:r>
      <w:r w:rsidR="00CC0E75" w:rsidRPr="00E15057">
        <w:t xml:space="preserve"> </w:t>
      </w:r>
      <w:r w:rsidR="002268C3">
        <w:t>P</w:t>
      </w:r>
      <w:r w:rsidR="00F2108D">
        <w:t>re-</w:t>
      </w:r>
      <w:r w:rsidR="00844CC9">
        <w:t>discussion Information Sheet (Pre-DIS)</w:t>
      </w:r>
      <w:r w:rsidR="00F2108D">
        <w:t xml:space="preserve"> and a </w:t>
      </w:r>
      <w:r w:rsidR="00F875C3">
        <w:t>Post-</w:t>
      </w:r>
      <w:r w:rsidR="00844CC9">
        <w:t>discussion Information Sheet (Post-DIS)</w:t>
      </w:r>
      <w:r w:rsidR="001216F5">
        <w:t xml:space="preserve">.  </w:t>
      </w:r>
      <w:r w:rsidR="00404C21">
        <w:t>The P</w:t>
      </w:r>
      <w:r w:rsidR="00F2108D">
        <w:t>re-</w:t>
      </w:r>
      <w:r w:rsidR="00404C21">
        <w:t xml:space="preserve">DIS (Attachment A1a) will take approximately 10 minutes and will be administered prior to the start of the </w:t>
      </w:r>
      <w:r w:rsidR="000F50E6">
        <w:t xml:space="preserve">90-minute </w:t>
      </w:r>
      <w:r w:rsidR="00404C21">
        <w:t xml:space="preserve">focus group discussion.  </w:t>
      </w:r>
      <w:r w:rsidR="00187017">
        <w:t>The</w:t>
      </w:r>
      <w:r w:rsidR="00404C21">
        <w:t xml:space="preserve"> </w:t>
      </w:r>
      <w:r w:rsidR="00187017">
        <w:t>Post-DIS</w:t>
      </w:r>
      <w:r w:rsidR="00404C21">
        <w:t xml:space="preserve"> (Attachment A1b</w:t>
      </w:r>
      <w:r w:rsidR="00187017">
        <w:t>) will</w:t>
      </w:r>
      <w:r w:rsidR="00404C21">
        <w:t xml:space="preserve"> take approximately 20 minutes</w:t>
      </w:r>
      <w:r w:rsidR="0015747F">
        <w:t xml:space="preserve"> and will be administered towards the end of the focus group discussion as part of the radio message testing section</w:t>
      </w:r>
      <w:r w:rsidR="00404C21">
        <w:t xml:space="preserve">.  </w:t>
      </w:r>
      <w:r>
        <w:t xml:space="preserve"> </w:t>
      </w:r>
      <w:r w:rsidR="008C38C5">
        <w:t>This acti</w:t>
      </w:r>
      <w:r w:rsidR="00940572">
        <w:t>vity is managed as a continuous</w:t>
      </w:r>
      <w:r w:rsidR="00940572" w:rsidRPr="00940572">
        <w:t xml:space="preserve"> focus group data collection</w:t>
      </w:r>
      <w:r w:rsidR="008C38C5">
        <w:t>, so t</w:t>
      </w:r>
      <w:r w:rsidR="00187017">
        <w:t>he</w:t>
      </w:r>
      <w:r>
        <w:t xml:space="preserve"> total estimated burden per respondent is 2 hours, </w:t>
      </w:r>
      <w:r w:rsidR="000831E2">
        <w:t>including the Pre</w:t>
      </w:r>
      <w:r w:rsidR="004D6F00">
        <w:t xml:space="preserve">-discussion and Post-discussion Information Sheets </w:t>
      </w:r>
      <w:r w:rsidR="000831E2">
        <w:t xml:space="preserve">and the focus group discussion. </w:t>
      </w:r>
      <w:r w:rsidR="00844CC9">
        <w:t xml:space="preserve"> </w:t>
      </w:r>
    </w:p>
    <w:p w:rsidR="00CB4DD1" w:rsidRDefault="00187017" w:rsidP="00F54BF9">
      <w:pPr>
        <w:pStyle w:val="BodyText"/>
      </w:pPr>
      <w:r>
        <w:t xml:space="preserve">For Latina women, a Pre-Discussion </w:t>
      </w:r>
      <w:r w:rsidR="0015747F">
        <w:t xml:space="preserve">Information Sheet </w:t>
      </w:r>
      <w:r w:rsidR="00B7421E">
        <w:t>will take approximately 30 minutes</w:t>
      </w:r>
      <w:r w:rsidR="0015747F">
        <w:t xml:space="preserve"> and will be administered at the start of the focus group discussion</w:t>
      </w:r>
      <w:r w:rsidR="000F50E6">
        <w:t>, which will last approximately 110 minutes</w:t>
      </w:r>
      <w:r w:rsidR="00B7421E">
        <w:t xml:space="preserve">.  </w:t>
      </w:r>
      <w:r w:rsidR="00940572">
        <w:t>This activity is managed as a continuous</w:t>
      </w:r>
      <w:r w:rsidR="00940572" w:rsidRPr="00940572">
        <w:t xml:space="preserve"> focus group data collection</w:t>
      </w:r>
      <w:r w:rsidR="008C38C5">
        <w:t xml:space="preserve">, so the </w:t>
      </w:r>
      <w:r w:rsidR="00844CC9">
        <w:t>total estimated burden per respondent is 2 hours and 20 minutes</w:t>
      </w:r>
      <w:r w:rsidR="00B7421E">
        <w:t xml:space="preserve">, including the </w:t>
      </w:r>
      <w:r>
        <w:t>Pre-DIS</w:t>
      </w:r>
      <w:r w:rsidR="00B7421E">
        <w:t xml:space="preserve"> and the focus group discussion</w:t>
      </w:r>
      <w:r w:rsidR="00844CC9">
        <w:t>.</w:t>
      </w:r>
      <w:r w:rsidR="000831E2">
        <w:t xml:space="preserve"> </w:t>
      </w:r>
    </w:p>
    <w:p w:rsidR="00187017" w:rsidRDefault="00187017" w:rsidP="00F54BF9">
      <w:pPr>
        <w:pStyle w:val="BodyText"/>
      </w:pPr>
      <w:r>
        <w:t>Additionally, t</w:t>
      </w:r>
      <w:r w:rsidR="000F0E0C" w:rsidRPr="00E15057">
        <w:t>he</w:t>
      </w:r>
      <w:r w:rsidR="00A56FD7" w:rsidRPr="00E15057">
        <w:t xml:space="preserve"> P</w:t>
      </w:r>
      <w:r w:rsidR="00F2108D">
        <w:t>re</w:t>
      </w:r>
      <w:r w:rsidR="00BD779A">
        <w:t>- and Post-</w:t>
      </w:r>
      <w:r w:rsidR="00F2108D">
        <w:t>discussion Information Sheet</w:t>
      </w:r>
      <w:r w:rsidR="00BD779A">
        <w:t>s</w:t>
      </w:r>
      <w:r w:rsidR="00F2108D" w:rsidRPr="00E15057">
        <w:t xml:space="preserve"> </w:t>
      </w:r>
      <w:r w:rsidR="00BD779A">
        <w:t xml:space="preserve">have </w:t>
      </w:r>
      <w:r w:rsidR="00A56FD7">
        <w:t xml:space="preserve">been </w:t>
      </w:r>
      <w:proofErr w:type="gramStart"/>
      <w:r w:rsidR="00A56FD7" w:rsidRPr="00E15057">
        <w:t>adapted</w:t>
      </w:r>
      <w:r w:rsidR="00A56FD7">
        <w:t>/annotated</w:t>
      </w:r>
      <w:proofErr w:type="gramEnd"/>
      <w:r w:rsidR="00A56FD7">
        <w:t xml:space="preserve"> solely</w:t>
      </w:r>
      <w:r w:rsidR="00A56FD7" w:rsidRPr="00E15057">
        <w:t xml:space="preserve"> for the moderator’s use (Attachment K).</w:t>
      </w:r>
      <w:r w:rsidR="00A56FD7">
        <w:t xml:space="preserve"> </w:t>
      </w:r>
      <w:r w:rsidR="00CB4DD1">
        <w:t>This P</w:t>
      </w:r>
      <w:r w:rsidR="00F2108D">
        <w:t>re/Post-discussion Information Sheet do</w:t>
      </w:r>
      <w:r w:rsidR="004D6F00">
        <w:t>es</w:t>
      </w:r>
      <w:r w:rsidR="00CB4DD1">
        <w:t xml:space="preserve"> not entail additional burden to respondents.</w:t>
      </w:r>
      <w:r w:rsidR="00A56FD7">
        <w:t xml:space="preserve"> </w:t>
      </w:r>
    </w:p>
    <w:p w:rsidR="005F7122" w:rsidRPr="00E15057" w:rsidRDefault="00187017" w:rsidP="00F54BF9">
      <w:pPr>
        <w:pStyle w:val="BodyText"/>
      </w:pPr>
      <w:r>
        <w:t>For all information collection, t</w:t>
      </w:r>
      <w:r w:rsidRPr="00E15057">
        <w:t xml:space="preserve">he </w:t>
      </w:r>
      <w:r>
        <w:t xml:space="preserve">total </w:t>
      </w:r>
      <w:r w:rsidRPr="00E15057">
        <w:t xml:space="preserve">estimated burden to respondents is </w:t>
      </w:r>
      <w:r w:rsidR="000F50E6">
        <w:t>31</w:t>
      </w:r>
      <w:r>
        <w:t xml:space="preserve">5 hours, as </w:t>
      </w:r>
      <w:r w:rsidRPr="00E15057">
        <w:t>summarized in Table A12-A below.</w:t>
      </w:r>
    </w:p>
    <w:p w:rsidR="0084777F" w:rsidRPr="00E15057" w:rsidRDefault="0084777F" w:rsidP="0084777F">
      <w:r w:rsidRPr="00E15057">
        <w:rPr>
          <w:rFonts w:ascii="Arial Narrow" w:hAnsi="Arial Narrow"/>
          <w:b/>
        </w:rPr>
        <w:t>Table A12-A. Estimated Annualized Burden to Respondents</w:t>
      </w:r>
    </w:p>
    <w:tbl>
      <w:tblPr>
        <w:tblStyle w:val="TableGrid"/>
        <w:tblW w:w="0" w:type="auto"/>
        <w:tblLook w:val="04A0"/>
      </w:tblPr>
      <w:tblGrid>
        <w:gridCol w:w="1458"/>
        <w:gridCol w:w="2227"/>
        <w:gridCol w:w="1463"/>
        <w:gridCol w:w="1530"/>
        <w:gridCol w:w="1440"/>
        <w:gridCol w:w="1458"/>
      </w:tblGrid>
      <w:tr w:rsidR="00091688" w:rsidTr="00A53DA4">
        <w:tc>
          <w:tcPr>
            <w:tcW w:w="1458" w:type="dxa"/>
            <w:vAlign w:val="bottom"/>
          </w:tcPr>
          <w:p w:rsidR="00091688" w:rsidRPr="00DC0926" w:rsidRDefault="00091688" w:rsidP="00A53DA4">
            <w:pPr>
              <w:rPr>
                <w:rFonts w:ascii="Arial Narrow" w:hAnsi="Arial Narrow"/>
              </w:rPr>
            </w:pPr>
            <w:r w:rsidRPr="00DC0926">
              <w:rPr>
                <w:rFonts w:ascii="Arial Narrow" w:hAnsi="Arial Narrow"/>
                <w:b/>
              </w:rPr>
              <w:t>Type of Respondent</w:t>
            </w:r>
          </w:p>
        </w:tc>
        <w:tc>
          <w:tcPr>
            <w:tcW w:w="2227" w:type="dxa"/>
            <w:vAlign w:val="bottom"/>
          </w:tcPr>
          <w:p w:rsidR="00091688" w:rsidRPr="00DC0926" w:rsidRDefault="00091688" w:rsidP="00A53DA4">
            <w:pPr>
              <w:rPr>
                <w:rFonts w:ascii="Arial Narrow" w:hAnsi="Arial Narrow"/>
              </w:rPr>
            </w:pPr>
            <w:r w:rsidRPr="00DC0926">
              <w:rPr>
                <w:rFonts w:ascii="Arial Narrow" w:hAnsi="Arial Narrow"/>
                <w:b/>
              </w:rPr>
              <w:t>Form Name</w:t>
            </w:r>
          </w:p>
        </w:tc>
        <w:tc>
          <w:tcPr>
            <w:tcW w:w="1463" w:type="dxa"/>
            <w:vAlign w:val="bottom"/>
          </w:tcPr>
          <w:p w:rsidR="00091688" w:rsidRPr="00DC0926" w:rsidRDefault="00091688" w:rsidP="00A53DA4">
            <w:pPr>
              <w:rPr>
                <w:rFonts w:ascii="Arial Narrow" w:hAnsi="Arial Narrow"/>
              </w:rPr>
            </w:pPr>
            <w:r w:rsidRPr="00DC0926">
              <w:rPr>
                <w:rFonts w:ascii="Arial Narrow" w:hAnsi="Arial Narrow"/>
                <w:b/>
              </w:rPr>
              <w:t>Number of Respondents</w:t>
            </w:r>
          </w:p>
        </w:tc>
        <w:tc>
          <w:tcPr>
            <w:tcW w:w="1530" w:type="dxa"/>
            <w:vAlign w:val="bottom"/>
          </w:tcPr>
          <w:p w:rsidR="00091688" w:rsidRPr="00DC0926" w:rsidRDefault="00091688" w:rsidP="00A53DA4">
            <w:pPr>
              <w:rPr>
                <w:rFonts w:ascii="Arial Narrow" w:hAnsi="Arial Narrow"/>
              </w:rPr>
            </w:pPr>
            <w:r w:rsidRPr="00DC0926">
              <w:rPr>
                <w:rFonts w:ascii="Arial Narrow" w:hAnsi="Arial Narrow"/>
                <w:b/>
              </w:rPr>
              <w:t>Number of Responses per Respondent</w:t>
            </w:r>
          </w:p>
        </w:tc>
        <w:tc>
          <w:tcPr>
            <w:tcW w:w="1440" w:type="dxa"/>
            <w:vAlign w:val="bottom"/>
          </w:tcPr>
          <w:p w:rsidR="00091688" w:rsidRPr="00DC0926" w:rsidRDefault="00091688" w:rsidP="00A53DA4">
            <w:pPr>
              <w:rPr>
                <w:rFonts w:ascii="Arial Narrow" w:hAnsi="Arial Narrow"/>
              </w:rPr>
            </w:pPr>
            <w:r w:rsidRPr="00DC0926">
              <w:rPr>
                <w:rFonts w:ascii="Arial Narrow" w:hAnsi="Arial Narrow"/>
                <w:b/>
              </w:rPr>
              <w:t>Average Burden per Response</w:t>
            </w:r>
            <w:r w:rsidRPr="00DC0926">
              <w:rPr>
                <w:rFonts w:ascii="Arial Narrow" w:hAnsi="Arial Narrow"/>
                <w:b/>
              </w:rPr>
              <w:br/>
              <w:t>(in hours)</w:t>
            </w:r>
          </w:p>
        </w:tc>
        <w:tc>
          <w:tcPr>
            <w:tcW w:w="1458" w:type="dxa"/>
            <w:vAlign w:val="bottom"/>
          </w:tcPr>
          <w:p w:rsidR="00091688" w:rsidRPr="00C374E2" w:rsidRDefault="00091688" w:rsidP="00A53DA4">
            <w:pPr>
              <w:pStyle w:val="TableHeader1"/>
            </w:pPr>
            <w:r w:rsidRPr="00C374E2">
              <w:t>Total Burden</w:t>
            </w:r>
          </w:p>
          <w:p w:rsidR="00091688" w:rsidRPr="00DC0926" w:rsidRDefault="00091688" w:rsidP="00A53DA4">
            <w:pPr>
              <w:rPr>
                <w:rFonts w:ascii="Arial Narrow" w:hAnsi="Arial Narrow"/>
              </w:rPr>
            </w:pPr>
            <w:r w:rsidRPr="00DC0926">
              <w:rPr>
                <w:rFonts w:ascii="Arial Narrow" w:hAnsi="Arial Narrow"/>
                <w:b/>
              </w:rPr>
              <w:t>(in hours)</w:t>
            </w:r>
          </w:p>
        </w:tc>
      </w:tr>
      <w:tr w:rsidR="00091688" w:rsidTr="00A53DA4">
        <w:tc>
          <w:tcPr>
            <w:tcW w:w="1458" w:type="dxa"/>
            <w:vMerge w:val="restart"/>
            <w:vAlign w:val="center"/>
          </w:tcPr>
          <w:p w:rsidR="00091688" w:rsidRPr="00DC0926" w:rsidRDefault="00091688" w:rsidP="00A53DA4">
            <w:pPr>
              <w:jc w:val="center"/>
              <w:rPr>
                <w:rFonts w:ascii="Arial Narrow" w:hAnsi="Arial Narrow"/>
              </w:rPr>
            </w:pPr>
            <w:r w:rsidRPr="00DC0926">
              <w:rPr>
                <w:rFonts w:ascii="Arial Narrow" w:hAnsi="Arial Narrow"/>
              </w:rPr>
              <w:t>African American women aged 40–64 years</w:t>
            </w:r>
          </w:p>
        </w:tc>
        <w:tc>
          <w:tcPr>
            <w:tcW w:w="2227" w:type="dxa"/>
            <w:vAlign w:val="center"/>
          </w:tcPr>
          <w:p w:rsidR="00091688" w:rsidRPr="00DC0926" w:rsidRDefault="00091688" w:rsidP="00A53DA4">
            <w:pPr>
              <w:jc w:val="center"/>
              <w:rPr>
                <w:rFonts w:ascii="Arial Narrow" w:hAnsi="Arial Narrow"/>
              </w:rPr>
            </w:pPr>
            <w:r w:rsidRPr="00DC0926">
              <w:rPr>
                <w:rFonts w:ascii="Arial Narrow" w:hAnsi="Arial Narrow"/>
              </w:rPr>
              <w:t>Recruitment Screener (initial)</w:t>
            </w:r>
          </w:p>
        </w:tc>
        <w:tc>
          <w:tcPr>
            <w:tcW w:w="1463" w:type="dxa"/>
            <w:vAlign w:val="center"/>
          </w:tcPr>
          <w:p w:rsidR="00091688" w:rsidRPr="00DC0926" w:rsidRDefault="00091688" w:rsidP="00A53DA4">
            <w:pPr>
              <w:jc w:val="center"/>
              <w:rPr>
                <w:rFonts w:ascii="Arial Narrow" w:hAnsi="Arial Narrow"/>
              </w:rPr>
            </w:pPr>
            <w:r w:rsidRPr="00DC0926">
              <w:rPr>
                <w:rFonts w:ascii="Arial Narrow" w:hAnsi="Arial Narrow"/>
              </w:rPr>
              <w:t>150</w:t>
            </w:r>
          </w:p>
        </w:tc>
        <w:tc>
          <w:tcPr>
            <w:tcW w:w="1530" w:type="dxa"/>
            <w:vAlign w:val="center"/>
          </w:tcPr>
          <w:p w:rsidR="00091688" w:rsidRPr="00DC0926" w:rsidRDefault="00091688" w:rsidP="00A53DA4">
            <w:pPr>
              <w:jc w:val="center"/>
              <w:rPr>
                <w:rFonts w:ascii="Arial Narrow" w:hAnsi="Arial Narrow"/>
              </w:rPr>
            </w:pPr>
            <w:r>
              <w:rPr>
                <w:rFonts w:ascii="Arial Narrow" w:hAnsi="Arial Narrow"/>
              </w:rPr>
              <w:t>1</w:t>
            </w:r>
          </w:p>
        </w:tc>
        <w:tc>
          <w:tcPr>
            <w:tcW w:w="1440" w:type="dxa"/>
            <w:vAlign w:val="center"/>
          </w:tcPr>
          <w:p w:rsidR="00091688" w:rsidRPr="00DC0926" w:rsidRDefault="00091688" w:rsidP="00A53DA4">
            <w:pPr>
              <w:jc w:val="center"/>
              <w:rPr>
                <w:rFonts w:ascii="Arial Narrow" w:hAnsi="Arial Narrow"/>
              </w:rPr>
            </w:pPr>
            <w:r>
              <w:rPr>
                <w:rFonts w:ascii="Arial Narrow" w:hAnsi="Arial Narrow"/>
              </w:rPr>
              <w:t>5/60</w:t>
            </w:r>
          </w:p>
        </w:tc>
        <w:tc>
          <w:tcPr>
            <w:tcW w:w="1458" w:type="dxa"/>
            <w:vAlign w:val="center"/>
          </w:tcPr>
          <w:p w:rsidR="00091688" w:rsidRPr="00DC0926" w:rsidRDefault="00091688" w:rsidP="00A53DA4">
            <w:pPr>
              <w:jc w:val="center"/>
              <w:rPr>
                <w:rFonts w:ascii="Arial Narrow" w:hAnsi="Arial Narrow"/>
              </w:rPr>
            </w:pPr>
            <w:r>
              <w:rPr>
                <w:rFonts w:ascii="Arial Narrow" w:hAnsi="Arial Narrow"/>
              </w:rPr>
              <w:t>13</w:t>
            </w:r>
          </w:p>
        </w:tc>
      </w:tr>
      <w:tr w:rsidR="00091688" w:rsidTr="00A53DA4">
        <w:tc>
          <w:tcPr>
            <w:tcW w:w="1458" w:type="dxa"/>
            <w:vMerge/>
            <w:vAlign w:val="center"/>
          </w:tcPr>
          <w:p w:rsidR="00091688" w:rsidRPr="00DC0926" w:rsidRDefault="00091688" w:rsidP="00A53DA4">
            <w:pPr>
              <w:jc w:val="center"/>
              <w:rPr>
                <w:rFonts w:ascii="Arial Narrow" w:hAnsi="Arial Narrow"/>
              </w:rPr>
            </w:pPr>
          </w:p>
        </w:tc>
        <w:tc>
          <w:tcPr>
            <w:tcW w:w="2227" w:type="dxa"/>
            <w:vAlign w:val="center"/>
          </w:tcPr>
          <w:p w:rsidR="00091688" w:rsidRPr="00DC0926" w:rsidRDefault="00091688" w:rsidP="00A53DA4">
            <w:pPr>
              <w:jc w:val="center"/>
              <w:rPr>
                <w:rFonts w:ascii="Arial Narrow" w:hAnsi="Arial Narrow"/>
              </w:rPr>
            </w:pPr>
            <w:r w:rsidRPr="00DC0926">
              <w:rPr>
                <w:rFonts w:ascii="Arial Narrow" w:hAnsi="Arial Narrow"/>
              </w:rPr>
              <w:t>Recruitment Screener (spot-check)</w:t>
            </w:r>
          </w:p>
        </w:tc>
        <w:tc>
          <w:tcPr>
            <w:tcW w:w="1463" w:type="dxa"/>
            <w:vAlign w:val="center"/>
          </w:tcPr>
          <w:p w:rsidR="00091688" w:rsidRPr="00DC0926" w:rsidRDefault="00091688" w:rsidP="00A53DA4">
            <w:pPr>
              <w:jc w:val="center"/>
              <w:rPr>
                <w:rFonts w:ascii="Arial Narrow" w:hAnsi="Arial Narrow"/>
              </w:rPr>
            </w:pPr>
            <w:r w:rsidRPr="00DC0926">
              <w:rPr>
                <w:rFonts w:ascii="Arial Narrow" w:hAnsi="Arial Narrow"/>
              </w:rPr>
              <w:t>24</w:t>
            </w:r>
          </w:p>
        </w:tc>
        <w:tc>
          <w:tcPr>
            <w:tcW w:w="1530" w:type="dxa"/>
            <w:vAlign w:val="center"/>
          </w:tcPr>
          <w:p w:rsidR="00091688" w:rsidRPr="00DC0926" w:rsidRDefault="00091688" w:rsidP="00A53DA4">
            <w:pPr>
              <w:jc w:val="center"/>
              <w:rPr>
                <w:rFonts w:ascii="Arial Narrow" w:hAnsi="Arial Narrow"/>
              </w:rPr>
            </w:pPr>
            <w:r>
              <w:rPr>
                <w:rFonts w:ascii="Arial Narrow" w:hAnsi="Arial Narrow"/>
              </w:rPr>
              <w:t>1</w:t>
            </w:r>
          </w:p>
        </w:tc>
        <w:tc>
          <w:tcPr>
            <w:tcW w:w="1440" w:type="dxa"/>
            <w:vAlign w:val="center"/>
          </w:tcPr>
          <w:p w:rsidR="00091688" w:rsidRPr="00DC0926" w:rsidRDefault="00091688" w:rsidP="00A53DA4">
            <w:pPr>
              <w:jc w:val="center"/>
              <w:rPr>
                <w:rFonts w:ascii="Arial Narrow" w:hAnsi="Arial Narrow"/>
              </w:rPr>
            </w:pPr>
            <w:r>
              <w:rPr>
                <w:rFonts w:ascii="Arial Narrow" w:hAnsi="Arial Narrow"/>
              </w:rPr>
              <w:t>5/60</w:t>
            </w:r>
          </w:p>
        </w:tc>
        <w:tc>
          <w:tcPr>
            <w:tcW w:w="1458" w:type="dxa"/>
            <w:vAlign w:val="center"/>
          </w:tcPr>
          <w:p w:rsidR="00091688" w:rsidRPr="00DC0926" w:rsidRDefault="00091688" w:rsidP="00A53DA4">
            <w:pPr>
              <w:jc w:val="center"/>
              <w:rPr>
                <w:rFonts w:ascii="Arial Narrow" w:hAnsi="Arial Narrow"/>
              </w:rPr>
            </w:pPr>
            <w:r>
              <w:rPr>
                <w:rFonts w:ascii="Arial Narrow" w:hAnsi="Arial Narrow"/>
              </w:rPr>
              <w:t>2</w:t>
            </w:r>
          </w:p>
        </w:tc>
      </w:tr>
      <w:tr w:rsidR="00091688" w:rsidTr="00A53DA4">
        <w:tc>
          <w:tcPr>
            <w:tcW w:w="1458" w:type="dxa"/>
            <w:vMerge/>
            <w:vAlign w:val="center"/>
          </w:tcPr>
          <w:p w:rsidR="00091688" w:rsidRPr="00DC0926" w:rsidRDefault="00091688" w:rsidP="00A53DA4">
            <w:pPr>
              <w:jc w:val="center"/>
              <w:rPr>
                <w:rFonts w:ascii="Arial Narrow" w:hAnsi="Arial Narrow"/>
              </w:rPr>
            </w:pPr>
          </w:p>
        </w:tc>
        <w:tc>
          <w:tcPr>
            <w:tcW w:w="2227" w:type="dxa"/>
            <w:vAlign w:val="center"/>
          </w:tcPr>
          <w:p w:rsidR="00091688" w:rsidRPr="00DC0926" w:rsidRDefault="00091688" w:rsidP="00A53DA4">
            <w:pPr>
              <w:jc w:val="center"/>
              <w:rPr>
                <w:rFonts w:ascii="Arial Narrow" w:hAnsi="Arial Narrow"/>
              </w:rPr>
            </w:pPr>
            <w:r w:rsidRPr="00DC0926">
              <w:rPr>
                <w:rFonts w:ascii="Arial Narrow" w:hAnsi="Arial Narrow"/>
              </w:rPr>
              <w:t>Pre</w:t>
            </w:r>
            <w:r w:rsidR="00546252">
              <w:rPr>
                <w:rFonts w:ascii="Arial Narrow" w:hAnsi="Arial Narrow"/>
              </w:rPr>
              <w:t>-</w:t>
            </w:r>
            <w:r w:rsidRPr="00DC0926">
              <w:rPr>
                <w:rFonts w:ascii="Arial Narrow" w:hAnsi="Arial Narrow"/>
              </w:rPr>
              <w:t>discussion Information Sheet</w:t>
            </w:r>
          </w:p>
        </w:tc>
        <w:tc>
          <w:tcPr>
            <w:tcW w:w="1463" w:type="dxa"/>
            <w:vAlign w:val="center"/>
          </w:tcPr>
          <w:p w:rsidR="00091688" w:rsidRPr="00DC0926" w:rsidRDefault="00091688" w:rsidP="00A53DA4">
            <w:pPr>
              <w:jc w:val="center"/>
              <w:rPr>
                <w:rFonts w:ascii="Arial Narrow" w:hAnsi="Arial Narrow"/>
              </w:rPr>
            </w:pPr>
            <w:r w:rsidRPr="00DC0926">
              <w:rPr>
                <w:rFonts w:ascii="Arial Narrow" w:hAnsi="Arial Narrow"/>
              </w:rPr>
              <w:t>80</w:t>
            </w:r>
          </w:p>
        </w:tc>
        <w:tc>
          <w:tcPr>
            <w:tcW w:w="1530" w:type="dxa"/>
            <w:vAlign w:val="center"/>
          </w:tcPr>
          <w:p w:rsidR="00091688" w:rsidRPr="00DC0926" w:rsidRDefault="00091688" w:rsidP="00A53DA4">
            <w:pPr>
              <w:jc w:val="center"/>
              <w:rPr>
                <w:rFonts w:ascii="Arial Narrow" w:hAnsi="Arial Narrow"/>
              </w:rPr>
            </w:pPr>
            <w:r>
              <w:rPr>
                <w:rFonts w:ascii="Arial Narrow" w:hAnsi="Arial Narrow"/>
              </w:rPr>
              <w:t>1</w:t>
            </w:r>
          </w:p>
        </w:tc>
        <w:tc>
          <w:tcPr>
            <w:tcW w:w="1440" w:type="dxa"/>
            <w:vAlign w:val="center"/>
          </w:tcPr>
          <w:p w:rsidR="00091688" w:rsidRPr="00DC0926" w:rsidRDefault="000444D7" w:rsidP="00A53DA4">
            <w:pPr>
              <w:jc w:val="center"/>
              <w:rPr>
                <w:rFonts w:ascii="Arial Narrow" w:hAnsi="Arial Narrow"/>
              </w:rPr>
            </w:pPr>
            <w:r>
              <w:rPr>
                <w:rFonts w:ascii="Arial Narrow" w:hAnsi="Arial Narrow"/>
              </w:rPr>
              <w:t>1</w:t>
            </w:r>
            <w:r w:rsidR="00091688">
              <w:rPr>
                <w:rFonts w:ascii="Arial Narrow" w:hAnsi="Arial Narrow"/>
              </w:rPr>
              <w:t>0/60</w:t>
            </w:r>
          </w:p>
        </w:tc>
        <w:tc>
          <w:tcPr>
            <w:tcW w:w="1458" w:type="dxa"/>
            <w:vAlign w:val="center"/>
          </w:tcPr>
          <w:p w:rsidR="00091688" w:rsidRPr="00DC0926" w:rsidRDefault="000444D7" w:rsidP="00A53DA4">
            <w:pPr>
              <w:jc w:val="center"/>
              <w:rPr>
                <w:rFonts w:ascii="Arial Narrow" w:hAnsi="Arial Narrow"/>
              </w:rPr>
            </w:pPr>
            <w:r>
              <w:rPr>
                <w:rFonts w:ascii="Arial Narrow" w:hAnsi="Arial Narrow"/>
              </w:rPr>
              <w:t>13</w:t>
            </w:r>
          </w:p>
        </w:tc>
      </w:tr>
      <w:tr w:rsidR="000444D7" w:rsidTr="00A53DA4">
        <w:tc>
          <w:tcPr>
            <w:tcW w:w="1458" w:type="dxa"/>
            <w:vMerge/>
            <w:vAlign w:val="center"/>
          </w:tcPr>
          <w:p w:rsidR="000444D7" w:rsidRPr="00DC0926" w:rsidRDefault="000444D7" w:rsidP="00A53DA4">
            <w:pPr>
              <w:jc w:val="center"/>
              <w:rPr>
                <w:rFonts w:ascii="Arial Narrow" w:hAnsi="Arial Narrow"/>
              </w:rPr>
            </w:pPr>
          </w:p>
        </w:tc>
        <w:tc>
          <w:tcPr>
            <w:tcW w:w="2227" w:type="dxa"/>
            <w:vAlign w:val="center"/>
          </w:tcPr>
          <w:p w:rsidR="000444D7" w:rsidRPr="00DC0926" w:rsidRDefault="000444D7" w:rsidP="00A53DA4">
            <w:pPr>
              <w:jc w:val="center"/>
              <w:rPr>
                <w:rFonts w:ascii="Arial Narrow" w:hAnsi="Arial Narrow"/>
              </w:rPr>
            </w:pPr>
            <w:r>
              <w:rPr>
                <w:rFonts w:ascii="Arial Narrow" w:hAnsi="Arial Narrow"/>
              </w:rPr>
              <w:t>Post</w:t>
            </w:r>
            <w:r w:rsidR="00546252">
              <w:rPr>
                <w:rFonts w:ascii="Arial Narrow" w:hAnsi="Arial Narrow"/>
              </w:rPr>
              <w:t>-</w:t>
            </w:r>
            <w:r>
              <w:rPr>
                <w:rFonts w:ascii="Arial Narrow" w:hAnsi="Arial Narrow"/>
              </w:rPr>
              <w:t>discussion Information Sheet</w:t>
            </w:r>
          </w:p>
        </w:tc>
        <w:tc>
          <w:tcPr>
            <w:tcW w:w="1463" w:type="dxa"/>
            <w:vAlign w:val="center"/>
          </w:tcPr>
          <w:p w:rsidR="000444D7" w:rsidRPr="00DC0926" w:rsidRDefault="000444D7" w:rsidP="00A53DA4">
            <w:pPr>
              <w:jc w:val="center"/>
              <w:rPr>
                <w:rFonts w:ascii="Arial Narrow" w:hAnsi="Arial Narrow"/>
              </w:rPr>
            </w:pPr>
            <w:r>
              <w:rPr>
                <w:rFonts w:ascii="Arial Narrow" w:hAnsi="Arial Narrow"/>
              </w:rPr>
              <w:t>80</w:t>
            </w:r>
          </w:p>
        </w:tc>
        <w:tc>
          <w:tcPr>
            <w:tcW w:w="1530" w:type="dxa"/>
            <w:vAlign w:val="center"/>
          </w:tcPr>
          <w:p w:rsidR="000444D7" w:rsidRDefault="000444D7" w:rsidP="00A53DA4">
            <w:pPr>
              <w:jc w:val="center"/>
              <w:rPr>
                <w:rFonts w:ascii="Arial Narrow" w:hAnsi="Arial Narrow"/>
              </w:rPr>
            </w:pPr>
            <w:r>
              <w:rPr>
                <w:rFonts w:ascii="Arial Narrow" w:hAnsi="Arial Narrow"/>
              </w:rPr>
              <w:t>1</w:t>
            </w:r>
          </w:p>
        </w:tc>
        <w:tc>
          <w:tcPr>
            <w:tcW w:w="1440" w:type="dxa"/>
            <w:vAlign w:val="center"/>
          </w:tcPr>
          <w:p w:rsidR="000444D7" w:rsidRDefault="000444D7" w:rsidP="00A53DA4">
            <w:pPr>
              <w:jc w:val="center"/>
              <w:rPr>
                <w:rFonts w:ascii="Arial Narrow" w:hAnsi="Arial Narrow"/>
              </w:rPr>
            </w:pPr>
            <w:r>
              <w:rPr>
                <w:rFonts w:ascii="Arial Narrow" w:hAnsi="Arial Narrow"/>
              </w:rPr>
              <w:t>20/60</w:t>
            </w:r>
          </w:p>
        </w:tc>
        <w:tc>
          <w:tcPr>
            <w:tcW w:w="1458" w:type="dxa"/>
            <w:vAlign w:val="center"/>
          </w:tcPr>
          <w:p w:rsidR="000444D7" w:rsidRDefault="000444D7" w:rsidP="00A53DA4">
            <w:pPr>
              <w:jc w:val="center"/>
              <w:rPr>
                <w:rFonts w:ascii="Arial Narrow" w:hAnsi="Arial Narrow"/>
              </w:rPr>
            </w:pPr>
            <w:r>
              <w:rPr>
                <w:rFonts w:ascii="Arial Narrow" w:hAnsi="Arial Narrow"/>
              </w:rPr>
              <w:t>27</w:t>
            </w:r>
          </w:p>
        </w:tc>
      </w:tr>
      <w:tr w:rsidR="00091688" w:rsidTr="00A53DA4">
        <w:tc>
          <w:tcPr>
            <w:tcW w:w="1458" w:type="dxa"/>
            <w:vMerge/>
            <w:vAlign w:val="center"/>
          </w:tcPr>
          <w:p w:rsidR="00091688" w:rsidRPr="00DC0926" w:rsidRDefault="00091688" w:rsidP="00A53DA4">
            <w:pPr>
              <w:jc w:val="center"/>
              <w:rPr>
                <w:rFonts w:ascii="Arial Narrow" w:hAnsi="Arial Narrow"/>
              </w:rPr>
            </w:pPr>
          </w:p>
        </w:tc>
        <w:tc>
          <w:tcPr>
            <w:tcW w:w="2227" w:type="dxa"/>
            <w:vAlign w:val="center"/>
          </w:tcPr>
          <w:p w:rsidR="00091688" w:rsidRPr="00DC0926" w:rsidRDefault="00091688" w:rsidP="00A53DA4">
            <w:pPr>
              <w:jc w:val="center"/>
              <w:rPr>
                <w:rFonts w:ascii="Arial Narrow" w:hAnsi="Arial Narrow"/>
              </w:rPr>
            </w:pPr>
            <w:r w:rsidRPr="00DC0926">
              <w:rPr>
                <w:rFonts w:ascii="Arial Narrow" w:hAnsi="Arial Narrow"/>
              </w:rPr>
              <w:t>Focus Group Discussion Guide</w:t>
            </w:r>
          </w:p>
        </w:tc>
        <w:tc>
          <w:tcPr>
            <w:tcW w:w="1463" w:type="dxa"/>
            <w:vAlign w:val="center"/>
          </w:tcPr>
          <w:p w:rsidR="00091688" w:rsidRPr="00DC0926" w:rsidRDefault="00091688" w:rsidP="00A53DA4">
            <w:pPr>
              <w:jc w:val="center"/>
              <w:rPr>
                <w:rFonts w:ascii="Arial Narrow" w:hAnsi="Arial Narrow"/>
              </w:rPr>
            </w:pPr>
            <w:r w:rsidRPr="00DC0926">
              <w:rPr>
                <w:rFonts w:ascii="Arial Narrow" w:hAnsi="Arial Narrow"/>
              </w:rPr>
              <w:t>80</w:t>
            </w:r>
          </w:p>
        </w:tc>
        <w:tc>
          <w:tcPr>
            <w:tcW w:w="1530" w:type="dxa"/>
            <w:vAlign w:val="center"/>
          </w:tcPr>
          <w:p w:rsidR="00091688" w:rsidRPr="00DC0926" w:rsidRDefault="00091688" w:rsidP="00A53DA4">
            <w:pPr>
              <w:jc w:val="center"/>
              <w:rPr>
                <w:rFonts w:ascii="Arial Narrow" w:hAnsi="Arial Narrow"/>
              </w:rPr>
            </w:pPr>
            <w:r>
              <w:rPr>
                <w:rFonts w:ascii="Arial Narrow" w:hAnsi="Arial Narrow"/>
              </w:rPr>
              <w:t>1</w:t>
            </w:r>
          </w:p>
        </w:tc>
        <w:tc>
          <w:tcPr>
            <w:tcW w:w="1440" w:type="dxa"/>
            <w:vAlign w:val="center"/>
          </w:tcPr>
          <w:p w:rsidR="004B687C" w:rsidRDefault="00C93FEF">
            <w:pPr>
              <w:jc w:val="center"/>
              <w:rPr>
                <w:rFonts w:ascii="Arial Narrow" w:hAnsi="Arial Narrow"/>
                <w:b/>
                <w:bCs/>
                <w:caps/>
                <w:sz w:val="28"/>
                <w:szCs w:val="28"/>
              </w:rPr>
            </w:pPr>
            <w:r>
              <w:rPr>
                <w:rFonts w:ascii="Arial Narrow" w:hAnsi="Arial Narrow"/>
              </w:rPr>
              <w:t>90</w:t>
            </w:r>
            <w:r w:rsidR="00091688">
              <w:rPr>
                <w:rFonts w:ascii="Arial Narrow" w:hAnsi="Arial Narrow"/>
              </w:rPr>
              <w:t>/60</w:t>
            </w:r>
          </w:p>
        </w:tc>
        <w:tc>
          <w:tcPr>
            <w:tcW w:w="1458" w:type="dxa"/>
            <w:vAlign w:val="center"/>
          </w:tcPr>
          <w:p w:rsidR="004B687C" w:rsidRDefault="00BD779A">
            <w:pPr>
              <w:jc w:val="center"/>
              <w:rPr>
                <w:rFonts w:ascii="Arial Narrow" w:hAnsi="Arial Narrow"/>
                <w:b/>
                <w:bCs/>
                <w:caps/>
                <w:sz w:val="28"/>
                <w:szCs w:val="28"/>
              </w:rPr>
            </w:pPr>
            <w:r>
              <w:rPr>
                <w:rFonts w:ascii="Arial Narrow" w:hAnsi="Arial Narrow"/>
              </w:rPr>
              <w:t>160</w:t>
            </w:r>
          </w:p>
        </w:tc>
      </w:tr>
      <w:tr w:rsidR="00091688" w:rsidTr="00A53DA4">
        <w:tc>
          <w:tcPr>
            <w:tcW w:w="1458" w:type="dxa"/>
            <w:vMerge w:val="restart"/>
            <w:vAlign w:val="center"/>
          </w:tcPr>
          <w:p w:rsidR="00091688" w:rsidRPr="00DC0926" w:rsidRDefault="00091688" w:rsidP="00A53DA4">
            <w:pPr>
              <w:jc w:val="center"/>
              <w:rPr>
                <w:rFonts w:ascii="Arial Narrow" w:hAnsi="Arial Narrow"/>
              </w:rPr>
            </w:pPr>
            <w:r w:rsidRPr="00DC0926">
              <w:rPr>
                <w:rFonts w:ascii="Arial Narrow" w:hAnsi="Arial Narrow"/>
              </w:rPr>
              <w:t>Latinas aged 40–64 years</w:t>
            </w:r>
          </w:p>
        </w:tc>
        <w:tc>
          <w:tcPr>
            <w:tcW w:w="2227" w:type="dxa"/>
            <w:vAlign w:val="center"/>
          </w:tcPr>
          <w:p w:rsidR="00091688" w:rsidRPr="00DC0926" w:rsidRDefault="00091688" w:rsidP="00A53DA4">
            <w:pPr>
              <w:jc w:val="center"/>
              <w:rPr>
                <w:rFonts w:ascii="Arial Narrow" w:hAnsi="Arial Narrow"/>
              </w:rPr>
            </w:pPr>
            <w:r w:rsidRPr="00DC0926">
              <w:rPr>
                <w:rFonts w:ascii="Arial Narrow" w:hAnsi="Arial Narrow"/>
              </w:rPr>
              <w:t>Recruitment Screener (initial)</w:t>
            </w:r>
          </w:p>
        </w:tc>
        <w:tc>
          <w:tcPr>
            <w:tcW w:w="1463" w:type="dxa"/>
            <w:vAlign w:val="center"/>
          </w:tcPr>
          <w:p w:rsidR="00091688" w:rsidRPr="00DC0926" w:rsidRDefault="00091688" w:rsidP="00A53DA4">
            <w:pPr>
              <w:jc w:val="center"/>
              <w:rPr>
                <w:rFonts w:ascii="Arial Narrow" w:hAnsi="Arial Narrow"/>
              </w:rPr>
            </w:pPr>
            <w:r w:rsidRPr="00DC0926">
              <w:rPr>
                <w:rFonts w:ascii="Arial Narrow" w:hAnsi="Arial Narrow"/>
              </w:rPr>
              <w:t>75</w:t>
            </w:r>
          </w:p>
        </w:tc>
        <w:tc>
          <w:tcPr>
            <w:tcW w:w="1530" w:type="dxa"/>
            <w:vAlign w:val="center"/>
          </w:tcPr>
          <w:p w:rsidR="00091688" w:rsidRPr="00DC0926" w:rsidRDefault="00091688" w:rsidP="00A53DA4">
            <w:pPr>
              <w:jc w:val="center"/>
              <w:rPr>
                <w:rFonts w:ascii="Arial Narrow" w:hAnsi="Arial Narrow"/>
              </w:rPr>
            </w:pPr>
            <w:r>
              <w:rPr>
                <w:rFonts w:ascii="Arial Narrow" w:hAnsi="Arial Narrow"/>
              </w:rPr>
              <w:t>1</w:t>
            </w:r>
          </w:p>
        </w:tc>
        <w:tc>
          <w:tcPr>
            <w:tcW w:w="1440" w:type="dxa"/>
            <w:vAlign w:val="center"/>
          </w:tcPr>
          <w:p w:rsidR="00091688" w:rsidRPr="00DC0926" w:rsidRDefault="00091688" w:rsidP="00A53DA4">
            <w:pPr>
              <w:jc w:val="center"/>
              <w:rPr>
                <w:rFonts w:ascii="Arial Narrow" w:hAnsi="Arial Narrow"/>
              </w:rPr>
            </w:pPr>
            <w:r>
              <w:rPr>
                <w:rFonts w:ascii="Arial Narrow" w:hAnsi="Arial Narrow"/>
              </w:rPr>
              <w:t>5/60</w:t>
            </w:r>
          </w:p>
        </w:tc>
        <w:tc>
          <w:tcPr>
            <w:tcW w:w="1458" w:type="dxa"/>
            <w:vAlign w:val="center"/>
          </w:tcPr>
          <w:p w:rsidR="00091688" w:rsidRPr="00DC0926" w:rsidRDefault="00091688" w:rsidP="00A53DA4">
            <w:pPr>
              <w:jc w:val="center"/>
              <w:rPr>
                <w:rFonts w:ascii="Arial Narrow" w:hAnsi="Arial Narrow"/>
              </w:rPr>
            </w:pPr>
            <w:r>
              <w:rPr>
                <w:rFonts w:ascii="Arial Narrow" w:hAnsi="Arial Narrow"/>
              </w:rPr>
              <w:t>6</w:t>
            </w:r>
          </w:p>
        </w:tc>
      </w:tr>
      <w:tr w:rsidR="00091688" w:rsidTr="00A53DA4">
        <w:tc>
          <w:tcPr>
            <w:tcW w:w="1458" w:type="dxa"/>
            <w:vMerge/>
            <w:vAlign w:val="center"/>
          </w:tcPr>
          <w:p w:rsidR="00091688" w:rsidRPr="00DC0926" w:rsidRDefault="00091688" w:rsidP="00A53DA4">
            <w:pPr>
              <w:jc w:val="center"/>
              <w:rPr>
                <w:rFonts w:ascii="Arial Narrow" w:hAnsi="Arial Narrow"/>
              </w:rPr>
            </w:pPr>
          </w:p>
        </w:tc>
        <w:tc>
          <w:tcPr>
            <w:tcW w:w="2227" w:type="dxa"/>
            <w:vAlign w:val="center"/>
          </w:tcPr>
          <w:p w:rsidR="00091688" w:rsidRPr="00DC0926" w:rsidRDefault="00091688" w:rsidP="00A53DA4">
            <w:pPr>
              <w:jc w:val="center"/>
              <w:rPr>
                <w:rFonts w:ascii="Arial Narrow" w:hAnsi="Arial Narrow"/>
              </w:rPr>
            </w:pPr>
            <w:r w:rsidRPr="00DC0926">
              <w:rPr>
                <w:rFonts w:ascii="Arial Narrow" w:hAnsi="Arial Narrow"/>
              </w:rPr>
              <w:t>Recruitment Screener (spot-check)</w:t>
            </w:r>
          </w:p>
        </w:tc>
        <w:tc>
          <w:tcPr>
            <w:tcW w:w="1463" w:type="dxa"/>
            <w:vAlign w:val="center"/>
          </w:tcPr>
          <w:p w:rsidR="00091688" w:rsidRPr="00DC0926" w:rsidRDefault="00091688" w:rsidP="00A53DA4">
            <w:pPr>
              <w:jc w:val="center"/>
              <w:rPr>
                <w:rFonts w:ascii="Arial Narrow" w:hAnsi="Arial Narrow"/>
              </w:rPr>
            </w:pPr>
            <w:r w:rsidRPr="00DC0926">
              <w:rPr>
                <w:rFonts w:ascii="Arial Narrow" w:hAnsi="Arial Narrow"/>
              </w:rPr>
              <w:t>12</w:t>
            </w:r>
          </w:p>
        </w:tc>
        <w:tc>
          <w:tcPr>
            <w:tcW w:w="1530" w:type="dxa"/>
            <w:vAlign w:val="center"/>
          </w:tcPr>
          <w:p w:rsidR="00091688" w:rsidRPr="00DC0926" w:rsidRDefault="00091688" w:rsidP="00A53DA4">
            <w:pPr>
              <w:jc w:val="center"/>
              <w:rPr>
                <w:rFonts w:ascii="Arial Narrow" w:hAnsi="Arial Narrow"/>
              </w:rPr>
            </w:pPr>
            <w:r>
              <w:rPr>
                <w:rFonts w:ascii="Arial Narrow" w:hAnsi="Arial Narrow"/>
              </w:rPr>
              <w:t>1</w:t>
            </w:r>
          </w:p>
        </w:tc>
        <w:tc>
          <w:tcPr>
            <w:tcW w:w="1440" w:type="dxa"/>
            <w:vAlign w:val="center"/>
          </w:tcPr>
          <w:p w:rsidR="00091688" w:rsidRPr="00DC0926" w:rsidRDefault="00091688" w:rsidP="00A53DA4">
            <w:pPr>
              <w:jc w:val="center"/>
              <w:rPr>
                <w:rFonts w:ascii="Arial Narrow" w:hAnsi="Arial Narrow"/>
              </w:rPr>
            </w:pPr>
            <w:r>
              <w:rPr>
                <w:rFonts w:ascii="Arial Narrow" w:hAnsi="Arial Narrow"/>
              </w:rPr>
              <w:t>5/60</w:t>
            </w:r>
          </w:p>
        </w:tc>
        <w:tc>
          <w:tcPr>
            <w:tcW w:w="1458" w:type="dxa"/>
            <w:vAlign w:val="center"/>
          </w:tcPr>
          <w:p w:rsidR="00091688" w:rsidRPr="00DC0926" w:rsidRDefault="00091688" w:rsidP="00A53DA4">
            <w:pPr>
              <w:jc w:val="center"/>
              <w:rPr>
                <w:rFonts w:ascii="Arial Narrow" w:hAnsi="Arial Narrow"/>
              </w:rPr>
            </w:pPr>
            <w:r>
              <w:rPr>
                <w:rFonts w:ascii="Arial Narrow" w:hAnsi="Arial Narrow"/>
              </w:rPr>
              <w:t>1</w:t>
            </w:r>
          </w:p>
        </w:tc>
      </w:tr>
      <w:tr w:rsidR="00091688" w:rsidTr="00A53DA4">
        <w:tc>
          <w:tcPr>
            <w:tcW w:w="1458" w:type="dxa"/>
            <w:vMerge/>
            <w:vAlign w:val="center"/>
          </w:tcPr>
          <w:p w:rsidR="00091688" w:rsidRPr="00DC0926" w:rsidRDefault="00091688" w:rsidP="00A53DA4">
            <w:pPr>
              <w:jc w:val="center"/>
              <w:rPr>
                <w:rFonts w:ascii="Arial Narrow" w:hAnsi="Arial Narrow"/>
              </w:rPr>
            </w:pPr>
          </w:p>
        </w:tc>
        <w:tc>
          <w:tcPr>
            <w:tcW w:w="2227" w:type="dxa"/>
            <w:vAlign w:val="center"/>
          </w:tcPr>
          <w:p w:rsidR="00091688" w:rsidRPr="00DC0926" w:rsidRDefault="00091688" w:rsidP="00A53DA4">
            <w:pPr>
              <w:jc w:val="center"/>
              <w:rPr>
                <w:rFonts w:ascii="Arial Narrow" w:hAnsi="Arial Narrow"/>
              </w:rPr>
            </w:pPr>
            <w:r w:rsidRPr="00DC0926">
              <w:rPr>
                <w:rFonts w:ascii="Arial Narrow" w:hAnsi="Arial Narrow"/>
              </w:rPr>
              <w:t>Pre</w:t>
            </w:r>
            <w:r w:rsidR="00546252">
              <w:rPr>
                <w:rFonts w:ascii="Arial Narrow" w:hAnsi="Arial Narrow"/>
              </w:rPr>
              <w:t>-</w:t>
            </w:r>
            <w:r w:rsidRPr="00DC0926">
              <w:rPr>
                <w:rFonts w:ascii="Arial Narrow" w:hAnsi="Arial Narrow"/>
              </w:rPr>
              <w:t>discussion Information Sheet</w:t>
            </w:r>
          </w:p>
        </w:tc>
        <w:tc>
          <w:tcPr>
            <w:tcW w:w="1463" w:type="dxa"/>
            <w:vAlign w:val="center"/>
          </w:tcPr>
          <w:p w:rsidR="00091688" w:rsidRPr="00DC0926" w:rsidRDefault="00091688" w:rsidP="00A53DA4">
            <w:pPr>
              <w:jc w:val="center"/>
              <w:rPr>
                <w:rFonts w:ascii="Arial Narrow" w:hAnsi="Arial Narrow"/>
              </w:rPr>
            </w:pPr>
            <w:r w:rsidRPr="00DC0926">
              <w:rPr>
                <w:rFonts w:ascii="Arial Narrow" w:hAnsi="Arial Narrow"/>
              </w:rPr>
              <w:t>40</w:t>
            </w:r>
          </w:p>
        </w:tc>
        <w:tc>
          <w:tcPr>
            <w:tcW w:w="1530" w:type="dxa"/>
            <w:vAlign w:val="center"/>
          </w:tcPr>
          <w:p w:rsidR="00091688" w:rsidRPr="00DC0926" w:rsidRDefault="00091688" w:rsidP="00A53DA4">
            <w:pPr>
              <w:jc w:val="center"/>
              <w:rPr>
                <w:rFonts w:ascii="Arial Narrow" w:hAnsi="Arial Narrow"/>
              </w:rPr>
            </w:pPr>
            <w:r>
              <w:rPr>
                <w:rFonts w:ascii="Arial Narrow" w:hAnsi="Arial Narrow"/>
              </w:rPr>
              <w:t>1</w:t>
            </w:r>
          </w:p>
        </w:tc>
        <w:tc>
          <w:tcPr>
            <w:tcW w:w="1440" w:type="dxa"/>
            <w:vAlign w:val="center"/>
          </w:tcPr>
          <w:p w:rsidR="00091688" w:rsidRPr="00DC0926" w:rsidRDefault="00912EB0" w:rsidP="00A53DA4">
            <w:pPr>
              <w:jc w:val="center"/>
              <w:rPr>
                <w:rFonts w:ascii="Arial Narrow" w:hAnsi="Arial Narrow"/>
              </w:rPr>
            </w:pPr>
            <w:r>
              <w:rPr>
                <w:rFonts w:ascii="Arial Narrow" w:hAnsi="Arial Narrow"/>
              </w:rPr>
              <w:t>30</w:t>
            </w:r>
            <w:r w:rsidR="00091688">
              <w:rPr>
                <w:rFonts w:ascii="Arial Narrow" w:hAnsi="Arial Narrow"/>
              </w:rPr>
              <w:t>/60</w:t>
            </w:r>
          </w:p>
        </w:tc>
        <w:tc>
          <w:tcPr>
            <w:tcW w:w="1458" w:type="dxa"/>
            <w:vAlign w:val="center"/>
          </w:tcPr>
          <w:p w:rsidR="00091688" w:rsidRPr="00DC0926" w:rsidRDefault="00091688" w:rsidP="00A53DA4">
            <w:pPr>
              <w:jc w:val="center"/>
              <w:rPr>
                <w:rFonts w:ascii="Arial Narrow" w:hAnsi="Arial Narrow"/>
              </w:rPr>
            </w:pPr>
            <w:r>
              <w:rPr>
                <w:rFonts w:ascii="Arial Narrow" w:hAnsi="Arial Narrow"/>
              </w:rPr>
              <w:t>20</w:t>
            </w:r>
          </w:p>
        </w:tc>
      </w:tr>
      <w:tr w:rsidR="00091688" w:rsidTr="00A53DA4">
        <w:tc>
          <w:tcPr>
            <w:tcW w:w="1458" w:type="dxa"/>
            <w:vMerge/>
            <w:vAlign w:val="center"/>
          </w:tcPr>
          <w:p w:rsidR="00091688" w:rsidRPr="00DC0926" w:rsidRDefault="00091688" w:rsidP="00A53DA4">
            <w:pPr>
              <w:jc w:val="center"/>
              <w:rPr>
                <w:rFonts w:ascii="Arial Narrow" w:hAnsi="Arial Narrow"/>
              </w:rPr>
            </w:pPr>
          </w:p>
        </w:tc>
        <w:tc>
          <w:tcPr>
            <w:tcW w:w="2227" w:type="dxa"/>
            <w:vAlign w:val="center"/>
          </w:tcPr>
          <w:p w:rsidR="00091688" w:rsidRPr="00DC0926" w:rsidRDefault="00091688" w:rsidP="00A53DA4">
            <w:pPr>
              <w:jc w:val="center"/>
              <w:rPr>
                <w:rFonts w:ascii="Arial Narrow" w:hAnsi="Arial Narrow"/>
              </w:rPr>
            </w:pPr>
            <w:r w:rsidRPr="00DC0926">
              <w:rPr>
                <w:rFonts w:ascii="Arial Narrow" w:hAnsi="Arial Narrow"/>
              </w:rPr>
              <w:t>Focus Group Discussion Guide</w:t>
            </w:r>
          </w:p>
        </w:tc>
        <w:tc>
          <w:tcPr>
            <w:tcW w:w="1463" w:type="dxa"/>
            <w:vAlign w:val="center"/>
          </w:tcPr>
          <w:p w:rsidR="00091688" w:rsidRPr="00DC0926" w:rsidRDefault="00091688" w:rsidP="00A53DA4">
            <w:pPr>
              <w:jc w:val="center"/>
              <w:rPr>
                <w:rFonts w:ascii="Arial Narrow" w:hAnsi="Arial Narrow"/>
              </w:rPr>
            </w:pPr>
            <w:r w:rsidRPr="00DC0926">
              <w:rPr>
                <w:rFonts w:ascii="Arial Narrow" w:hAnsi="Arial Narrow"/>
              </w:rPr>
              <w:t>40</w:t>
            </w:r>
          </w:p>
        </w:tc>
        <w:tc>
          <w:tcPr>
            <w:tcW w:w="1530" w:type="dxa"/>
            <w:vAlign w:val="center"/>
          </w:tcPr>
          <w:p w:rsidR="00091688" w:rsidRPr="00DC0926" w:rsidRDefault="00091688" w:rsidP="00A53DA4">
            <w:pPr>
              <w:jc w:val="center"/>
              <w:rPr>
                <w:rFonts w:ascii="Arial Narrow" w:hAnsi="Arial Narrow"/>
              </w:rPr>
            </w:pPr>
            <w:r>
              <w:rPr>
                <w:rFonts w:ascii="Arial Narrow" w:hAnsi="Arial Narrow"/>
              </w:rPr>
              <w:t>1</w:t>
            </w:r>
          </w:p>
        </w:tc>
        <w:tc>
          <w:tcPr>
            <w:tcW w:w="1440" w:type="dxa"/>
            <w:vAlign w:val="center"/>
          </w:tcPr>
          <w:p w:rsidR="00091688" w:rsidRPr="00DC0926" w:rsidRDefault="00BD779A" w:rsidP="00C93FEF">
            <w:pPr>
              <w:jc w:val="center"/>
              <w:rPr>
                <w:rFonts w:ascii="Arial Narrow" w:hAnsi="Arial Narrow"/>
              </w:rPr>
            </w:pPr>
            <w:r>
              <w:rPr>
                <w:rFonts w:ascii="Arial Narrow" w:hAnsi="Arial Narrow"/>
              </w:rPr>
              <w:t>1</w:t>
            </w:r>
            <w:r w:rsidR="00C93FEF">
              <w:rPr>
                <w:rFonts w:ascii="Arial Narrow" w:hAnsi="Arial Narrow"/>
              </w:rPr>
              <w:t>1</w:t>
            </w:r>
            <w:r w:rsidR="00912EB0">
              <w:rPr>
                <w:rFonts w:ascii="Arial Narrow" w:hAnsi="Arial Narrow"/>
              </w:rPr>
              <w:t>0</w:t>
            </w:r>
            <w:r w:rsidR="00091688">
              <w:rPr>
                <w:rFonts w:ascii="Arial Narrow" w:hAnsi="Arial Narrow"/>
              </w:rPr>
              <w:t>/60</w:t>
            </w:r>
          </w:p>
        </w:tc>
        <w:tc>
          <w:tcPr>
            <w:tcW w:w="1458" w:type="dxa"/>
            <w:vAlign w:val="center"/>
          </w:tcPr>
          <w:p w:rsidR="00091688" w:rsidRPr="00DC0926" w:rsidRDefault="00D22F9E" w:rsidP="00A53DA4">
            <w:pPr>
              <w:jc w:val="center"/>
              <w:rPr>
                <w:rFonts w:ascii="Arial Narrow" w:hAnsi="Arial Narrow"/>
              </w:rPr>
            </w:pPr>
            <w:r>
              <w:rPr>
                <w:rFonts w:ascii="Arial Narrow" w:hAnsi="Arial Narrow"/>
              </w:rPr>
              <w:t>7</w:t>
            </w:r>
            <w:r w:rsidR="00912EB0">
              <w:rPr>
                <w:rFonts w:ascii="Arial Narrow" w:hAnsi="Arial Narrow"/>
              </w:rPr>
              <w:t>3</w:t>
            </w:r>
          </w:p>
        </w:tc>
      </w:tr>
      <w:tr w:rsidR="00091688" w:rsidTr="00A53DA4">
        <w:tc>
          <w:tcPr>
            <w:tcW w:w="1458" w:type="dxa"/>
            <w:vAlign w:val="center"/>
          </w:tcPr>
          <w:p w:rsidR="00091688" w:rsidRPr="00DC0926" w:rsidRDefault="00091688" w:rsidP="00A53DA4">
            <w:pPr>
              <w:jc w:val="center"/>
              <w:rPr>
                <w:rFonts w:ascii="Arial Narrow" w:hAnsi="Arial Narrow"/>
              </w:rPr>
            </w:pPr>
          </w:p>
        </w:tc>
        <w:tc>
          <w:tcPr>
            <w:tcW w:w="2227" w:type="dxa"/>
            <w:vAlign w:val="center"/>
          </w:tcPr>
          <w:p w:rsidR="00091688" w:rsidRPr="00DC0926" w:rsidRDefault="00091688" w:rsidP="00A53DA4">
            <w:pPr>
              <w:jc w:val="center"/>
              <w:rPr>
                <w:rFonts w:ascii="Arial Narrow" w:hAnsi="Arial Narrow"/>
                <w:b/>
              </w:rPr>
            </w:pPr>
          </w:p>
        </w:tc>
        <w:tc>
          <w:tcPr>
            <w:tcW w:w="1463" w:type="dxa"/>
            <w:vAlign w:val="center"/>
          </w:tcPr>
          <w:p w:rsidR="00091688" w:rsidRPr="00DC0926" w:rsidRDefault="00091688" w:rsidP="00A53DA4">
            <w:pPr>
              <w:jc w:val="center"/>
              <w:rPr>
                <w:rFonts w:ascii="Arial Narrow" w:hAnsi="Arial Narrow"/>
              </w:rPr>
            </w:pPr>
          </w:p>
        </w:tc>
        <w:tc>
          <w:tcPr>
            <w:tcW w:w="1530" w:type="dxa"/>
            <w:vAlign w:val="center"/>
          </w:tcPr>
          <w:p w:rsidR="00091688" w:rsidRPr="00DC0926" w:rsidRDefault="00091688" w:rsidP="00A53DA4">
            <w:pPr>
              <w:jc w:val="center"/>
              <w:rPr>
                <w:rFonts w:ascii="Arial Narrow" w:hAnsi="Arial Narrow"/>
              </w:rPr>
            </w:pPr>
          </w:p>
        </w:tc>
        <w:tc>
          <w:tcPr>
            <w:tcW w:w="1440" w:type="dxa"/>
            <w:vAlign w:val="center"/>
          </w:tcPr>
          <w:p w:rsidR="00091688" w:rsidRPr="00DC0926" w:rsidRDefault="00091688" w:rsidP="00A53DA4">
            <w:pPr>
              <w:jc w:val="center"/>
              <w:rPr>
                <w:rFonts w:ascii="Arial Narrow" w:hAnsi="Arial Narrow"/>
              </w:rPr>
            </w:pPr>
            <w:r>
              <w:rPr>
                <w:rFonts w:ascii="Arial Narrow" w:hAnsi="Arial Narrow"/>
              </w:rPr>
              <w:t>Total</w:t>
            </w:r>
          </w:p>
        </w:tc>
        <w:tc>
          <w:tcPr>
            <w:tcW w:w="1458" w:type="dxa"/>
            <w:vAlign w:val="center"/>
          </w:tcPr>
          <w:p w:rsidR="004B687C" w:rsidRDefault="00D22F9E" w:rsidP="00912EB0">
            <w:pPr>
              <w:jc w:val="center"/>
              <w:rPr>
                <w:rFonts w:ascii="Arial Narrow" w:hAnsi="Arial Narrow"/>
                <w:b/>
                <w:bCs/>
                <w:caps/>
                <w:sz w:val="28"/>
                <w:szCs w:val="28"/>
              </w:rPr>
            </w:pPr>
            <w:r>
              <w:rPr>
                <w:rFonts w:ascii="Arial Narrow" w:hAnsi="Arial Narrow"/>
              </w:rPr>
              <w:t>31</w:t>
            </w:r>
            <w:r w:rsidR="00912EB0">
              <w:rPr>
                <w:rFonts w:ascii="Arial Narrow" w:hAnsi="Arial Narrow"/>
              </w:rPr>
              <w:t>5</w:t>
            </w:r>
          </w:p>
        </w:tc>
      </w:tr>
    </w:tbl>
    <w:p w:rsidR="00900AA9" w:rsidRDefault="00900AA9" w:rsidP="0084777F">
      <w:pPr>
        <w:pStyle w:val="BodyText"/>
      </w:pPr>
    </w:p>
    <w:p w:rsidR="0084777F" w:rsidRPr="00E15057" w:rsidRDefault="0084777F" w:rsidP="0084777F">
      <w:pPr>
        <w:pStyle w:val="BodyText"/>
      </w:pPr>
      <w:r w:rsidRPr="00E15057">
        <w:t xml:space="preserve">B. Table A12-B presents the calculations for cost of annualized burden hours. </w:t>
      </w:r>
      <w:r w:rsidR="00685B4F">
        <w:t>North Carolina</w:t>
      </w:r>
      <w:r w:rsidR="00685B4F" w:rsidRPr="00E15057">
        <w:t xml:space="preserve"> </w:t>
      </w:r>
      <w:r w:rsidRPr="00E15057">
        <w:t>State minimum hourly wage rate information is from the U.S. Department of Labor (</w:t>
      </w:r>
      <w:r w:rsidR="00576F4B" w:rsidRPr="00576F4B">
        <w:t>http://www.nclabor.com/wh/fact%20sheets/minimum_wage_in_NC.htm</w:t>
      </w:r>
      <w:r w:rsidRPr="00E15057">
        <w:t xml:space="preserve">) Web site. The total annualized respondent cost of burden hours is estimated at </w:t>
      </w:r>
      <w:r w:rsidRPr="00327667">
        <w:t>$</w:t>
      </w:r>
      <w:r w:rsidR="00685B4F" w:rsidRPr="00327667">
        <w:t xml:space="preserve"> </w:t>
      </w:r>
      <w:r w:rsidR="00DF7009">
        <w:t>1,995</w:t>
      </w:r>
      <w:r w:rsidRPr="00E15057">
        <w:t>.</w:t>
      </w:r>
    </w:p>
    <w:p w:rsidR="0084777F" w:rsidRPr="00E15057" w:rsidRDefault="0084777F" w:rsidP="0084777F">
      <w:pPr>
        <w:pStyle w:val="ExhibitTitle"/>
      </w:pPr>
      <w:bookmarkStart w:id="22" w:name="_Toc294614792"/>
      <w:proofErr w:type="gramStart"/>
      <w:r w:rsidRPr="00E15057">
        <w:t>Table A12-B.</w:t>
      </w:r>
      <w:proofErr w:type="gramEnd"/>
      <w:r w:rsidRPr="00E15057">
        <w:t xml:space="preserve"> Estimated Annualized Cost to Respondents</w:t>
      </w:r>
    </w:p>
    <w:tbl>
      <w:tblPr>
        <w:tblStyle w:val="TableGrid"/>
        <w:tblW w:w="0" w:type="auto"/>
        <w:tblLook w:val="04A0"/>
      </w:tblPr>
      <w:tblGrid>
        <w:gridCol w:w="1420"/>
        <w:gridCol w:w="1658"/>
        <w:gridCol w:w="1530"/>
        <w:gridCol w:w="1354"/>
        <w:gridCol w:w="1436"/>
        <w:gridCol w:w="1172"/>
        <w:gridCol w:w="1006"/>
      </w:tblGrid>
      <w:tr w:rsidR="004011B0" w:rsidRPr="00DC0926" w:rsidTr="00260F78">
        <w:tc>
          <w:tcPr>
            <w:tcW w:w="1420" w:type="dxa"/>
            <w:vAlign w:val="bottom"/>
          </w:tcPr>
          <w:p w:rsidR="004011B0" w:rsidRPr="00DC0926" w:rsidRDefault="004011B0" w:rsidP="004011B0">
            <w:pPr>
              <w:rPr>
                <w:rFonts w:ascii="Arial Narrow" w:hAnsi="Arial Narrow"/>
              </w:rPr>
            </w:pPr>
            <w:bookmarkStart w:id="23" w:name="_Toc68687809"/>
            <w:bookmarkEnd w:id="22"/>
            <w:r w:rsidRPr="00DC0926">
              <w:rPr>
                <w:rFonts w:ascii="Arial Narrow" w:hAnsi="Arial Narrow"/>
                <w:b/>
              </w:rPr>
              <w:t>Type of Respondent</w:t>
            </w:r>
          </w:p>
        </w:tc>
        <w:tc>
          <w:tcPr>
            <w:tcW w:w="1658" w:type="dxa"/>
            <w:vAlign w:val="bottom"/>
          </w:tcPr>
          <w:p w:rsidR="004011B0" w:rsidRPr="00DC0926" w:rsidRDefault="004011B0" w:rsidP="004011B0">
            <w:pPr>
              <w:rPr>
                <w:rFonts w:ascii="Arial Narrow" w:hAnsi="Arial Narrow"/>
              </w:rPr>
            </w:pPr>
            <w:r w:rsidRPr="00DC0926">
              <w:rPr>
                <w:rFonts w:ascii="Arial Narrow" w:hAnsi="Arial Narrow"/>
                <w:b/>
              </w:rPr>
              <w:t>Form Name</w:t>
            </w:r>
          </w:p>
        </w:tc>
        <w:tc>
          <w:tcPr>
            <w:tcW w:w="1530" w:type="dxa"/>
            <w:vAlign w:val="bottom"/>
          </w:tcPr>
          <w:p w:rsidR="004011B0" w:rsidRPr="00DC0926" w:rsidRDefault="004011B0" w:rsidP="004011B0">
            <w:pPr>
              <w:rPr>
                <w:rFonts w:ascii="Arial Narrow" w:hAnsi="Arial Narrow"/>
              </w:rPr>
            </w:pPr>
            <w:r w:rsidRPr="00DC0926">
              <w:rPr>
                <w:rFonts w:ascii="Arial Narrow" w:hAnsi="Arial Narrow"/>
                <w:b/>
              </w:rPr>
              <w:t>Number of Respondents</w:t>
            </w:r>
          </w:p>
        </w:tc>
        <w:tc>
          <w:tcPr>
            <w:tcW w:w="1354" w:type="dxa"/>
            <w:vAlign w:val="bottom"/>
          </w:tcPr>
          <w:p w:rsidR="004011B0" w:rsidRPr="00DC0926" w:rsidRDefault="004011B0" w:rsidP="004011B0">
            <w:pPr>
              <w:rPr>
                <w:rFonts w:ascii="Arial Narrow" w:hAnsi="Arial Narrow"/>
              </w:rPr>
            </w:pPr>
            <w:r w:rsidRPr="00DC0926">
              <w:rPr>
                <w:rFonts w:ascii="Arial Narrow" w:hAnsi="Arial Narrow"/>
                <w:b/>
              </w:rPr>
              <w:t>Number of Responses per Respondent</w:t>
            </w:r>
          </w:p>
        </w:tc>
        <w:tc>
          <w:tcPr>
            <w:tcW w:w="1436" w:type="dxa"/>
            <w:vAlign w:val="bottom"/>
          </w:tcPr>
          <w:p w:rsidR="004011B0" w:rsidRPr="00DC0926" w:rsidRDefault="004011B0" w:rsidP="004011B0">
            <w:pPr>
              <w:rPr>
                <w:rFonts w:ascii="Arial Narrow" w:hAnsi="Arial Narrow"/>
              </w:rPr>
            </w:pPr>
            <w:r w:rsidRPr="00DC0926">
              <w:rPr>
                <w:rFonts w:ascii="Arial Narrow" w:hAnsi="Arial Narrow"/>
                <w:b/>
              </w:rPr>
              <w:t>Average Burden per Response</w:t>
            </w:r>
            <w:r w:rsidRPr="00DC0926">
              <w:rPr>
                <w:rFonts w:ascii="Arial Narrow" w:hAnsi="Arial Narrow"/>
                <w:b/>
              </w:rPr>
              <w:br/>
              <w:t>(in hours)</w:t>
            </w:r>
          </w:p>
        </w:tc>
        <w:tc>
          <w:tcPr>
            <w:tcW w:w="1172" w:type="dxa"/>
            <w:vAlign w:val="bottom"/>
          </w:tcPr>
          <w:p w:rsidR="004011B0" w:rsidRPr="00260F78" w:rsidRDefault="00260F78" w:rsidP="00260F78">
            <w:pPr>
              <w:jc w:val="center"/>
              <w:rPr>
                <w:rFonts w:ascii="Arial Narrow" w:hAnsi="Arial Narrow"/>
                <w:b/>
              </w:rPr>
            </w:pPr>
            <w:r w:rsidRPr="00260F78">
              <w:rPr>
                <w:rFonts w:ascii="Arial Narrow" w:hAnsi="Arial Narrow"/>
                <w:b/>
              </w:rPr>
              <w:t>Average Hourly Wage</w:t>
            </w:r>
          </w:p>
        </w:tc>
        <w:tc>
          <w:tcPr>
            <w:tcW w:w="1006" w:type="dxa"/>
            <w:vAlign w:val="bottom"/>
          </w:tcPr>
          <w:p w:rsidR="004011B0" w:rsidRPr="00260F78" w:rsidRDefault="00260F78" w:rsidP="00260F78">
            <w:pPr>
              <w:jc w:val="center"/>
              <w:rPr>
                <w:rFonts w:ascii="Arial Narrow" w:hAnsi="Arial Narrow"/>
                <w:b/>
              </w:rPr>
            </w:pPr>
            <w:r w:rsidRPr="00260F78">
              <w:rPr>
                <w:rFonts w:ascii="Arial Narrow" w:hAnsi="Arial Narrow"/>
                <w:b/>
              </w:rPr>
              <w:t>Total Cost</w:t>
            </w:r>
          </w:p>
        </w:tc>
      </w:tr>
      <w:tr w:rsidR="004011B0" w:rsidRPr="00DC0926" w:rsidTr="00260F78">
        <w:tc>
          <w:tcPr>
            <w:tcW w:w="1420" w:type="dxa"/>
            <w:vMerge w:val="restart"/>
            <w:vAlign w:val="center"/>
          </w:tcPr>
          <w:p w:rsidR="004011B0" w:rsidRPr="00DC0926" w:rsidRDefault="004011B0" w:rsidP="004011B0">
            <w:pPr>
              <w:jc w:val="center"/>
              <w:rPr>
                <w:rFonts w:ascii="Arial Narrow" w:hAnsi="Arial Narrow"/>
              </w:rPr>
            </w:pPr>
            <w:r w:rsidRPr="00DC0926">
              <w:rPr>
                <w:rFonts w:ascii="Arial Narrow" w:hAnsi="Arial Narrow"/>
              </w:rPr>
              <w:t>African American women aged 40–64 years</w:t>
            </w:r>
          </w:p>
        </w:tc>
        <w:tc>
          <w:tcPr>
            <w:tcW w:w="1658" w:type="dxa"/>
            <w:vAlign w:val="center"/>
          </w:tcPr>
          <w:p w:rsidR="004011B0" w:rsidRPr="00DC0926" w:rsidRDefault="004011B0" w:rsidP="004011B0">
            <w:pPr>
              <w:jc w:val="center"/>
              <w:rPr>
                <w:rFonts w:ascii="Arial Narrow" w:hAnsi="Arial Narrow"/>
              </w:rPr>
            </w:pPr>
            <w:r w:rsidRPr="00DC0926">
              <w:rPr>
                <w:rFonts w:ascii="Arial Narrow" w:hAnsi="Arial Narrow"/>
              </w:rPr>
              <w:t>Recruitment Screener (initial)</w:t>
            </w:r>
          </w:p>
        </w:tc>
        <w:tc>
          <w:tcPr>
            <w:tcW w:w="1530" w:type="dxa"/>
            <w:vAlign w:val="center"/>
          </w:tcPr>
          <w:p w:rsidR="004011B0" w:rsidRPr="00DC0926" w:rsidRDefault="004011B0" w:rsidP="00260F78">
            <w:pPr>
              <w:jc w:val="center"/>
              <w:rPr>
                <w:rFonts w:ascii="Arial Narrow" w:hAnsi="Arial Narrow"/>
              </w:rPr>
            </w:pPr>
            <w:r w:rsidRPr="00DC0926">
              <w:rPr>
                <w:rFonts w:ascii="Arial Narrow" w:hAnsi="Arial Narrow"/>
              </w:rPr>
              <w:t>150</w:t>
            </w:r>
          </w:p>
        </w:tc>
        <w:tc>
          <w:tcPr>
            <w:tcW w:w="1354" w:type="dxa"/>
            <w:vAlign w:val="center"/>
          </w:tcPr>
          <w:p w:rsidR="004011B0" w:rsidRPr="00DC0926" w:rsidRDefault="004011B0" w:rsidP="00260F78">
            <w:pPr>
              <w:jc w:val="center"/>
              <w:rPr>
                <w:rFonts w:ascii="Arial Narrow" w:hAnsi="Arial Narrow"/>
              </w:rPr>
            </w:pPr>
            <w:r>
              <w:rPr>
                <w:rFonts w:ascii="Arial Narrow" w:hAnsi="Arial Narrow"/>
              </w:rPr>
              <w:t>1</w:t>
            </w:r>
          </w:p>
        </w:tc>
        <w:tc>
          <w:tcPr>
            <w:tcW w:w="1436" w:type="dxa"/>
            <w:vAlign w:val="center"/>
          </w:tcPr>
          <w:p w:rsidR="004011B0" w:rsidRPr="00DC0926" w:rsidRDefault="004011B0" w:rsidP="00260F78">
            <w:pPr>
              <w:jc w:val="center"/>
              <w:rPr>
                <w:rFonts w:ascii="Arial Narrow" w:hAnsi="Arial Narrow"/>
              </w:rPr>
            </w:pPr>
            <w:r>
              <w:rPr>
                <w:rFonts w:ascii="Arial Narrow" w:hAnsi="Arial Narrow"/>
              </w:rPr>
              <w:t>5/60</w:t>
            </w:r>
          </w:p>
        </w:tc>
        <w:tc>
          <w:tcPr>
            <w:tcW w:w="1172" w:type="dxa"/>
            <w:vAlign w:val="center"/>
          </w:tcPr>
          <w:p w:rsidR="004011B0" w:rsidRPr="00DC0926" w:rsidRDefault="00260F78" w:rsidP="00260F78">
            <w:pPr>
              <w:jc w:val="center"/>
              <w:rPr>
                <w:rFonts w:ascii="Arial Narrow" w:hAnsi="Arial Narrow"/>
              </w:rPr>
            </w:pPr>
            <w:r>
              <w:rPr>
                <w:rFonts w:ascii="Arial Narrow" w:hAnsi="Arial Narrow"/>
              </w:rPr>
              <w:t>$7.25</w:t>
            </w:r>
          </w:p>
        </w:tc>
        <w:tc>
          <w:tcPr>
            <w:tcW w:w="1006" w:type="dxa"/>
            <w:vAlign w:val="center"/>
          </w:tcPr>
          <w:p w:rsidR="004011B0" w:rsidRPr="00DC0926" w:rsidRDefault="00260F78" w:rsidP="00260F78">
            <w:pPr>
              <w:jc w:val="center"/>
              <w:rPr>
                <w:rFonts w:ascii="Arial Narrow" w:hAnsi="Arial Narrow"/>
              </w:rPr>
            </w:pPr>
            <w:r>
              <w:rPr>
                <w:rFonts w:ascii="Arial Narrow" w:hAnsi="Arial Narrow"/>
              </w:rPr>
              <w:t>$91</w:t>
            </w:r>
          </w:p>
        </w:tc>
      </w:tr>
      <w:tr w:rsidR="004011B0" w:rsidRPr="00DC0926" w:rsidTr="00260F78">
        <w:tc>
          <w:tcPr>
            <w:tcW w:w="1420" w:type="dxa"/>
            <w:vMerge/>
            <w:vAlign w:val="center"/>
          </w:tcPr>
          <w:p w:rsidR="004011B0" w:rsidRPr="00DC0926" w:rsidRDefault="004011B0" w:rsidP="004011B0">
            <w:pPr>
              <w:jc w:val="center"/>
              <w:rPr>
                <w:rFonts w:ascii="Arial Narrow" w:hAnsi="Arial Narrow"/>
              </w:rPr>
            </w:pPr>
          </w:p>
        </w:tc>
        <w:tc>
          <w:tcPr>
            <w:tcW w:w="1658" w:type="dxa"/>
            <w:vAlign w:val="center"/>
          </w:tcPr>
          <w:p w:rsidR="004011B0" w:rsidRPr="00DC0926" w:rsidRDefault="004011B0" w:rsidP="004011B0">
            <w:pPr>
              <w:jc w:val="center"/>
              <w:rPr>
                <w:rFonts w:ascii="Arial Narrow" w:hAnsi="Arial Narrow"/>
              </w:rPr>
            </w:pPr>
            <w:r w:rsidRPr="00DC0926">
              <w:rPr>
                <w:rFonts w:ascii="Arial Narrow" w:hAnsi="Arial Narrow"/>
              </w:rPr>
              <w:t>Recruitment Screener (spot-check)</w:t>
            </w:r>
          </w:p>
        </w:tc>
        <w:tc>
          <w:tcPr>
            <w:tcW w:w="1530" w:type="dxa"/>
            <w:vAlign w:val="center"/>
          </w:tcPr>
          <w:p w:rsidR="004011B0" w:rsidRPr="00DC0926" w:rsidRDefault="004011B0" w:rsidP="00260F78">
            <w:pPr>
              <w:jc w:val="center"/>
              <w:rPr>
                <w:rFonts w:ascii="Arial Narrow" w:hAnsi="Arial Narrow"/>
              </w:rPr>
            </w:pPr>
            <w:r w:rsidRPr="00DC0926">
              <w:rPr>
                <w:rFonts w:ascii="Arial Narrow" w:hAnsi="Arial Narrow"/>
              </w:rPr>
              <w:t>24</w:t>
            </w:r>
          </w:p>
        </w:tc>
        <w:tc>
          <w:tcPr>
            <w:tcW w:w="1354" w:type="dxa"/>
            <w:vAlign w:val="center"/>
          </w:tcPr>
          <w:p w:rsidR="004011B0" w:rsidRPr="00DC0926" w:rsidRDefault="004011B0" w:rsidP="00260F78">
            <w:pPr>
              <w:jc w:val="center"/>
              <w:rPr>
                <w:rFonts w:ascii="Arial Narrow" w:hAnsi="Arial Narrow"/>
              </w:rPr>
            </w:pPr>
            <w:r>
              <w:rPr>
                <w:rFonts w:ascii="Arial Narrow" w:hAnsi="Arial Narrow"/>
              </w:rPr>
              <w:t>1</w:t>
            </w:r>
          </w:p>
        </w:tc>
        <w:tc>
          <w:tcPr>
            <w:tcW w:w="1436" w:type="dxa"/>
            <w:vAlign w:val="center"/>
          </w:tcPr>
          <w:p w:rsidR="004011B0" w:rsidRPr="00DC0926" w:rsidRDefault="004011B0" w:rsidP="00260F78">
            <w:pPr>
              <w:jc w:val="center"/>
              <w:rPr>
                <w:rFonts w:ascii="Arial Narrow" w:hAnsi="Arial Narrow"/>
              </w:rPr>
            </w:pPr>
            <w:r>
              <w:rPr>
                <w:rFonts w:ascii="Arial Narrow" w:hAnsi="Arial Narrow"/>
              </w:rPr>
              <w:t>5/60</w:t>
            </w:r>
          </w:p>
        </w:tc>
        <w:tc>
          <w:tcPr>
            <w:tcW w:w="1172" w:type="dxa"/>
            <w:vAlign w:val="center"/>
          </w:tcPr>
          <w:p w:rsidR="004011B0" w:rsidRPr="00DC0926" w:rsidRDefault="00260F78" w:rsidP="00260F78">
            <w:pPr>
              <w:jc w:val="center"/>
              <w:rPr>
                <w:rFonts w:ascii="Arial Narrow" w:hAnsi="Arial Narrow"/>
              </w:rPr>
            </w:pPr>
            <w:r>
              <w:rPr>
                <w:rFonts w:ascii="Arial Narrow" w:hAnsi="Arial Narrow"/>
              </w:rPr>
              <w:t>$7.25</w:t>
            </w:r>
          </w:p>
        </w:tc>
        <w:tc>
          <w:tcPr>
            <w:tcW w:w="1006" w:type="dxa"/>
            <w:vAlign w:val="center"/>
          </w:tcPr>
          <w:p w:rsidR="004011B0" w:rsidRPr="00DC0926" w:rsidRDefault="00260F78" w:rsidP="00260F78">
            <w:pPr>
              <w:jc w:val="center"/>
              <w:rPr>
                <w:rFonts w:ascii="Arial Narrow" w:hAnsi="Arial Narrow"/>
              </w:rPr>
            </w:pPr>
            <w:r>
              <w:rPr>
                <w:rFonts w:ascii="Arial Narrow" w:hAnsi="Arial Narrow"/>
              </w:rPr>
              <w:t>$15</w:t>
            </w:r>
          </w:p>
        </w:tc>
      </w:tr>
      <w:tr w:rsidR="004011B0" w:rsidRPr="00DC0926" w:rsidTr="00260F78">
        <w:tc>
          <w:tcPr>
            <w:tcW w:w="1420" w:type="dxa"/>
            <w:vMerge/>
            <w:vAlign w:val="center"/>
          </w:tcPr>
          <w:p w:rsidR="004011B0" w:rsidRPr="00DC0926" w:rsidRDefault="004011B0" w:rsidP="004011B0">
            <w:pPr>
              <w:jc w:val="center"/>
              <w:rPr>
                <w:rFonts w:ascii="Arial Narrow" w:hAnsi="Arial Narrow"/>
              </w:rPr>
            </w:pPr>
          </w:p>
        </w:tc>
        <w:tc>
          <w:tcPr>
            <w:tcW w:w="1658" w:type="dxa"/>
            <w:vAlign w:val="center"/>
          </w:tcPr>
          <w:p w:rsidR="004011B0" w:rsidRPr="00DC0926" w:rsidRDefault="004011B0" w:rsidP="004011B0">
            <w:pPr>
              <w:jc w:val="center"/>
              <w:rPr>
                <w:rFonts w:ascii="Arial Narrow" w:hAnsi="Arial Narrow"/>
              </w:rPr>
            </w:pPr>
            <w:r w:rsidRPr="00DC0926">
              <w:rPr>
                <w:rFonts w:ascii="Arial Narrow" w:hAnsi="Arial Narrow"/>
              </w:rPr>
              <w:t>Pre</w:t>
            </w:r>
            <w:r>
              <w:rPr>
                <w:rFonts w:ascii="Arial Narrow" w:hAnsi="Arial Narrow"/>
              </w:rPr>
              <w:t>-</w:t>
            </w:r>
            <w:r w:rsidRPr="00DC0926">
              <w:rPr>
                <w:rFonts w:ascii="Arial Narrow" w:hAnsi="Arial Narrow"/>
              </w:rPr>
              <w:t>discussion Information Sheet</w:t>
            </w:r>
          </w:p>
        </w:tc>
        <w:tc>
          <w:tcPr>
            <w:tcW w:w="1530" w:type="dxa"/>
            <w:vAlign w:val="center"/>
          </w:tcPr>
          <w:p w:rsidR="004011B0" w:rsidRPr="00DC0926" w:rsidRDefault="004011B0" w:rsidP="00260F78">
            <w:pPr>
              <w:jc w:val="center"/>
              <w:rPr>
                <w:rFonts w:ascii="Arial Narrow" w:hAnsi="Arial Narrow"/>
              </w:rPr>
            </w:pPr>
            <w:r w:rsidRPr="00DC0926">
              <w:rPr>
                <w:rFonts w:ascii="Arial Narrow" w:hAnsi="Arial Narrow"/>
              </w:rPr>
              <w:t>80</w:t>
            </w:r>
          </w:p>
        </w:tc>
        <w:tc>
          <w:tcPr>
            <w:tcW w:w="1354" w:type="dxa"/>
            <w:vAlign w:val="center"/>
          </w:tcPr>
          <w:p w:rsidR="004011B0" w:rsidRPr="00DC0926" w:rsidRDefault="004011B0" w:rsidP="00260F78">
            <w:pPr>
              <w:jc w:val="center"/>
              <w:rPr>
                <w:rFonts w:ascii="Arial Narrow" w:hAnsi="Arial Narrow"/>
              </w:rPr>
            </w:pPr>
            <w:r>
              <w:rPr>
                <w:rFonts w:ascii="Arial Narrow" w:hAnsi="Arial Narrow"/>
              </w:rPr>
              <w:t>1</w:t>
            </w:r>
          </w:p>
        </w:tc>
        <w:tc>
          <w:tcPr>
            <w:tcW w:w="1436" w:type="dxa"/>
            <w:vAlign w:val="center"/>
          </w:tcPr>
          <w:p w:rsidR="004011B0" w:rsidRPr="00DC0926" w:rsidRDefault="004011B0" w:rsidP="00260F78">
            <w:pPr>
              <w:jc w:val="center"/>
              <w:rPr>
                <w:rFonts w:ascii="Arial Narrow" w:hAnsi="Arial Narrow"/>
              </w:rPr>
            </w:pPr>
            <w:r>
              <w:rPr>
                <w:rFonts w:ascii="Arial Narrow" w:hAnsi="Arial Narrow"/>
              </w:rPr>
              <w:t>10/60</w:t>
            </w:r>
          </w:p>
        </w:tc>
        <w:tc>
          <w:tcPr>
            <w:tcW w:w="1172" w:type="dxa"/>
            <w:vAlign w:val="center"/>
          </w:tcPr>
          <w:p w:rsidR="004011B0" w:rsidRPr="00DC0926" w:rsidRDefault="00260F78" w:rsidP="00260F78">
            <w:pPr>
              <w:jc w:val="center"/>
              <w:rPr>
                <w:rFonts w:ascii="Arial Narrow" w:hAnsi="Arial Narrow"/>
              </w:rPr>
            </w:pPr>
            <w:r>
              <w:rPr>
                <w:rFonts w:ascii="Arial Narrow" w:hAnsi="Arial Narrow"/>
              </w:rPr>
              <w:t>$7.25</w:t>
            </w:r>
          </w:p>
        </w:tc>
        <w:tc>
          <w:tcPr>
            <w:tcW w:w="1006" w:type="dxa"/>
            <w:vAlign w:val="center"/>
          </w:tcPr>
          <w:p w:rsidR="004011B0" w:rsidRPr="00DC0926" w:rsidRDefault="00260F78" w:rsidP="00260F78">
            <w:pPr>
              <w:jc w:val="center"/>
              <w:rPr>
                <w:rFonts w:ascii="Arial Narrow" w:hAnsi="Arial Narrow"/>
              </w:rPr>
            </w:pPr>
            <w:r>
              <w:rPr>
                <w:rFonts w:ascii="Arial Narrow" w:hAnsi="Arial Narrow"/>
              </w:rPr>
              <w:t>$97</w:t>
            </w:r>
          </w:p>
        </w:tc>
      </w:tr>
      <w:tr w:rsidR="004011B0" w:rsidTr="00260F78">
        <w:tc>
          <w:tcPr>
            <w:tcW w:w="1420" w:type="dxa"/>
            <w:vMerge/>
            <w:vAlign w:val="center"/>
          </w:tcPr>
          <w:p w:rsidR="004011B0" w:rsidRPr="00DC0926" w:rsidRDefault="004011B0" w:rsidP="004011B0">
            <w:pPr>
              <w:jc w:val="center"/>
              <w:rPr>
                <w:rFonts w:ascii="Arial Narrow" w:hAnsi="Arial Narrow"/>
              </w:rPr>
            </w:pPr>
          </w:p>
        </w:tc>
        <w:tc>
          <w:tcPr>
            <w:tcW w:w="1658" w:type="dxa"/>
            <w:vAlign w:val="center"/>
          </w:tcPr>
          <w:p w:rsidR="004011B0" w:rsidRPr="00DC0926" w:rsidRDefault="004011B0" w:rsidP="004011B0">
            <w:pPr>
              <w:jc w:val="center"/>
              <w:rPr>
                <w:rFonts w:ascii="Arial Narrow" w:hAnsi="Arial Narrow"/>
              </w:rPr>
            </w:pPr>
            <w:r>
              <w:rPr>
                <w:rFonts w:ascii="Arial Narrow" w:hAnsi="Arial Narrow"/>
              </w:rPr>
              <w:t>Post-discussion Information Sheet</w:t>
            </w:r>
          </w:p>
        </w:tc>
        <w:tc>
          <w:tcPr>
            <w:tcW w:w="1530" w:type="dxa"/>
            <w:vAlign w:val="center"/>
          </w:tcPr>
          <w:p w:rsidR="004011B0" w:rsidRPr="00DC0926" w:rsidRDefault="004011B0" w:rsidP="00260F78">
            <w:pPr>
              <w:jc w:val="center"/>
              <w:rPr>
                <w:rFonts w:ascii="Arial Narrow" w:hAnsi="Arial Narrow"/>
              </w:rPr>
            </w:pPr>
            <w:r>
              <w:rPr>
                <w:rFonts w:ascii="Arial Narrow" w:hAnsi="Arial Narrow"/>
              </w:rPr>
              <w:t>80</w:t>
            </w:r>
          </w:p>
        </w:tc>
        <w:tc>
          <w:tcPr>
            <w:tcW w:w="1354" w:type="dxa"/>
            <w:vAlign w:val="center"/>
          </w:tcPr>
          <w:p w:rsidR="004011B0" w:rsidRDefault="004011B0" w:rsidP="00260F78">
            <w:pPr>
              <w:jc w:val="center"/>
              <w:rPr>
                <w:rFonts w:ascii="Arial Narrow" w:hAnsi="Arial Narrow"/>
              </w:rPr>
            </w:pPr>
            <w:r>
              <w:rPr>
                <w:rFonts w:ascii="Arial Narrow" w:hAnsi="Arial Narrow"/>
              </w:rPr>
              <w:t>1</w:t>
            </w:r>
          </w:p>
        </w:tc>
        <w:tc>
          <w:tcPr>
            <w:tcW w:w="1436" w:type="dxa"/>
            <w:vAlign w:val="center"/>
          </w:tcPr>
          <w:p w:rsidR="004011B0" w:rsidRDefault="004011B0" w:rsidP="00260F78">
            <w:pPr>
              <w:jc w:val="center"/>
              <w:rPr>
                <w:rFonts w:ascii="Arial Narrow" w:hAnsi="Arial Narrow"/>
              </w:rPr>
            </w:pPr>
            <w:r>
              <w:rPr>
                <w:rFonts w:ascii="Arial Narrow" w:hAnsi="Arial Narrow"/>
              </w:rPr>
              <w:t>20/60</w:t>
            </w:r>
          </w:p>
        </w:tc>
        <w:tc>
          <w:tcPr>
            <w:tcW w:w="1172" w:type="dxa"/>
            <w:vAlign w:val="center"/>
          </w:tcPr>
          <w:p w:rsidR="004011B0" w:rsidRDefault="00260F78" w:rsidP="00260F78">
            <w:pPr>
              <w:jc w:val="center"/>
              <w:rPr>
                <w:rFonts w:ascii="Arial Narrow" w:hAnsi="Arial Narrow"/>
              </w:rPr>
            </w:pPr>
            <w:r>
              <w:rPr>
                <w:rFonts w:ascii="Arial Narrow" w:hAnsi="Arial Narrow"/>
              </w:rPr>
              <w:t>$7.25</w:t>
            </w:r>
          </w:p>
        </w:tc>
        <w:tc>
          <w:tcPr>
            <w:tcW w:w="1006" w:type="dxa"/>
            <w:vAlign w:val="center"/>
          </w:tcPr>
          <w:p w:rsidR="004011B0" w:rsidRDefault="00260F78" w:rsidP="00260F78">
            <w:pPr>
              <w:jc w:val="center"/>
              <w:rPr>
                <w:rFonts w:ascii="Arial Narrow" w:hAnsi="Arial Narrow"/>
              </w:rPr>
            </w:pPr>
            <w:r>
              <w:rPr>
                <w:rFonts w:ascii="Arial Narrow" w:hAnsi="Arial Narrow"/>
              </w:rPr>
              <w:t>$193</w:t>
            </w:r>
          </w:p>
        </w:tc>
      </w:tr>
      <w:tr w:rsidR="004011B0" w:rsidTr="00260F78">
        <w:tc>
          <w:tcPr>
            <w:tcW w:w="1420" w:type="dxa"/>
            <w:vMerge/>
            <w:vAlign w:val="center"/>
          </w:tcPr>
          <w:p w:rsidR="004011B0" w:rsidRPr="00DC0926" w:rsidRDefault="004011B0" w:rsidP="004011B0">
            <w:pPr>
              <w:jc w:val="center"/>
              <w:rPr>
                <w:rFonts w:ascii="Arial Narrow" w:hAnsi="Arial Narrow"/>
              </w:rPr>
            </w:pPr>
          </w:p>
        </w:tc>
        <w:tc>
          <w:tcPr>
            <w:tcW w:w="1658" w:type="dxa"/>
            <w:vAlign w:val="center"/>
          </w:tcPr>
          <w:p w:rsidR="004011B0" w:rsidRPr="00DC0926" w:rsidRDefault="004011B0" w:rsidP="004011B0">
            <w:pPr>
              <w:jc w:val="center"/>
              <w:rPr>
                <w:rFonts w:ascii="Arial Narrow" w:hAnsi="Arial Narrow"/>
              </w:rPr>
            </w:pPr>
            <w:r w:rsidRPr="00DC0926">
              <w:rPr>
                <w:rFonts w:ascii="Arial Narrow" w:hAnsi="Arial Narrow"/>
              </w:rPr>
              <w:t>Focus Group Discussion Guide</w:t>
            </w:r>
          </w:p>
        </w:tc>
        <w:tc>
          <w:tcPr>
            <w:tcW w:w="1530" w:type="dxa"/>
            <w:vAlign w:val="center"/>
          </w:tcPr>
          <w:p w:rsidR="004011B0" w:rsidRPr="00DC0926" w:rsidRDefault="004011B0" w:rsidP="00260F78">
            <w:pPr>
              <w:jc w:val="center"/>
              <w:rPr>
                <w:rFonts w:ascii="Arial Narrow" w:hAnsi="Arial Narrow"/>
              </w:rPr>
            </w:pPr>
            <w:r w:rsidRPr="00DC0926">
              <w:rPr>
                <w:rFonts w:ascii="Arial Narrow" w:hAnsi="Arial Narrow"/>
              </w:rPr>
              <w:t>80</w:t>
            </w:r>
          </w:p>
        </w:tc>
        <w:tc>
          <w:tcPr>
            <w:tcW w:w="1354" w:type="dxa"/>
            <w:vAlign w:val="center"/>
          </w:tcPr>
          <w:p w:rsidR="004011B0" w:rsidRPr="00DC0926" w:rsidRDefault="004011B0" w:rsidP="00260F78">
            <w:pPr>
              <w:jc w:val="center"/>
              <w:rPr>
                <w:rFonts w:ascii="Arial Narrow" w:hAnsi="Arial Narrow"/>
              </w:rPr>
            </w:pPr>
            <w:r>
              <w:rPr>
                <w:rFonts w:ascii="Arial Narrow" w:hAnsi="Arial Narrow"/>
              </w:rPr>
              <w:t>1</w:t>
            </w:r>
          </w:p>
        </w:tc>
        <w:tc>
          <w:tcPr>
            <w:tcW w:w="1436" w:type="dxa"/>
            <w:vAlign w:val="center"/>
          </w:tcPr>
          <w:p w:rsidR="004011B0" w:rsidRDefault="004011B0" w:rsidP="00260F78">
            <w:pPr>
              <w:jc w:val="center"/>
              <w:rPr>
                <w:rFonts w:ascii="Arial Narrow" w:hAnsi="Arial Narrow"/>
                <w:b/>
                <w:bCs/>
                <w:caps/>
                <w:sz w:val="28"/>
                <w:szCs w:val="28"/>
              </w:rPr>
            </w:pPr>
            <w:r>
              <w:rPr>
                <w:rFonts w:ascii="Arial Narrow" w:hAnsi="Arial Narrow"/>
              </w:rPr>
              <w:t>90/60</w:t>
            </w:r>
          </w:p>
        </w:tc>
        <w:tc>
          <w:tcPr>
            <w:tcW w:w="1172" w:type="dxa"/>
            <w:vAlign w:val="center"/>
          </w:tcPr>
          <w:p w:rsidR="004011B0" w:rsidRDefault="00260F78" w:rsidP="00260F78">
            <w:pPr>
              <w:jc w:val="center"/>
              <w:rPr>
                <w:rFonts w:ascii="Arial Narrow" w:hAnsi="Arial Narrow"/>
                <w:b/>
                <w:bCs/>
                <w:caps/>
                <w:sz w:val="28"/>
                <w:szCs w:val="28"/>
              </w:rPr>
            </w:pPr>
            <w:r>
              <w:rPr>
                <w:rFonts w:ascii="Arial Narrow" w:hAnsi="Arial Narrow"/>
              </w:rPr>
              <w:t>$7.25</w:t>
            </w:r>
          </w:p>
        </w:tc>
        <w:tc>
          <w:tcPr>
            <w:tcW w:w="1006" w:type="dxa"/>
            <w:vAlign w:val="center"/>
          </w:tcPr>
          <w:p w:rsidR="004011B0" w:rsidRPr="00260F78" w:rsidRDefault="00260F78" w:rsidP="00260F78">
            <w:pPr>
              <w:jc w:val="center"/>
              <w:rPr>
                <w:rFonts w:ascii="Arial Narrow" w:hAnsi="Arial Narrow"/>
                <w:bCs/>
                <w:caps/>
              </w:rPr>
            </w:pPr>
            <w:r w:rsidRPr="00260F78">
              <w:rPr>
                <w:rFonts w:ascii="Arial Narrow" w:hAnsi="Arial Narrow"/>
                <w:bCs/>
                <w:caps/>
              </w:rPr>
              <w:t>$870</w:t>
            </w:r>
          </w:p>
        </w:tc>
      </w:tr>
      <w:tr w:rsidR="004011B0" w:rsidRPr="00DC0926" w:rsidTr="00260F78">
        <w:tc>
          <w:tcPr>
            <w:tcW w:w="1420" w:type="dxa"/>
            <w:vMerge w:val="restart"/>
            <w:vAlign w:val="center"/>
          </w:tcPr>
          <w:p w:rsidR="004011B0" w:rsidRPr="00DC0926" w:rsidRDefault="004011B0" w:rsidP="004011B0">
            <w:pPr>
              <w:jc w:val="center"/>
              <w:rPr>
                <w:rFonts w:ascii="Arial Narrow" w:hAnsi="Arial Narrow"/>
              </w:rPr>
            </w:pPr>
            <w:r w:rsidRPr="00DC0926">
              <w:rPr>
                <w:rFonts w:ascii="Arial Narrow" w:hAnsi="Arial Narrow"/>
              </w:rPr>
              <w:t>Latinas aged 40–64 years</w:t>
            </w:r>
          </w:p>
        </w:tc>
        <w:tc>
          <w:tcPr>
            <w:tcW w:w="1658" w:type="dxa"/>
            <w:vAlign w:val="center"/>
          </w:tcPr>
          <w:p w:rsidR="004011B0" w:rsidRPr="00DC0926" w:rsidRDefault="004011B0" w:rsidP="004011B0">
            <w:pPr>
              <w:jc w:val="center"/>
              <w:rPr>
                <w:rFonts w:ascii="Arial Narrow" w:hAnsi="Arial Narrow"/>
              </w:rPr>
            </w:pPr>
            <w:r w:rsidRPr="00DC0926">
              <w:rPr>
                <w:rFonts w:ascii="Arial Narrow" w:hAnsi="Arial Narrow"/>
              </w:rPr>
              <w:t>Recruitment Screener (initial)</w:t>
            </w:r>
          </w:p>
        </w:tc>
        <w:tc>
          <w:tcPr>
            <w:tcW w:w="1530" w:type="dxa"/>
            <w:vAlign w:val="center"/>
          </w:tcPr>
          <w:p w:rsidR="004011B0" w:rsidRPr="00DC0926" w:rsidRDefault="004011B0" w:rsidP="00260F78">
            <w:pPr>
              <w:jc w:val="center"/>
              <w:rPr>
                <w:rFonts w:ascii="Arial Narrow" w:hAnsi="Arial Narrow"/>
              </w:rPr>
            </w:pPr>
            <w:r w:rsidRPr="00DC0926">
              <w:rPr>
                <w:rFonts w:ascii="Arial Narrow" w:hAnsi="Arial Narrow"/>
              </w:rPr>
              <w:t>75</w:t>
            </w:r>
          </w:p>
        </w:tc>
        <w:tc>
          <w:tcPr>
            <w:tcW w:w="1354" w:type="dxa"/>
            <w:vAlign w:val="center"/>
          </w:tcPr>
          <w:p w:rsidR="004011B0" w:rsidRPr="00DC0926" w:rsidRDefault="004011B0" w:rsidP="00260F78">
            <w:pPr>
              <w:jc w:val="center"/>
              <w:rPr>
                <w:rFonts w:ascii="Arial Narrow" w:hAnsi="Arial Narrow"/>
              </w:rPr>
            </w:pPr>
            <w:r>
              <w:rPr>
                <w:rFonts w:ascii="Arial Narrow" w:hAnsi="Arial Narrow"/>
              </w:rPr>
              <w:t>1</w:t>
            </w:r>
          </w:p>
        </w:tc>
        <w:tc>
          <w:tcPr>
            <w:tcW w:w="1436" w:type="dxa"/>
            <w:vAlign w:val="center"/>
          </w:tcPr>
          <w:p w:rsidR="004011B0" w:rsidRPr="00DC0926" w:rsidRDefault="004011B0" w:rsidP="00260F78">
            <w:pPr>
              <w:jc w:val="center"/>
              <w:rPr>
                <w:rFonts w:ascii="Arial Narrow" w:hAnsi="Arial Narrow"/>
              </w:rPr>
            </w:pPr>
            <w:r>
              <w:rPr>
                <w:rFonts w:ascii="Arial Narrow" w:hAnsi="Arial Narrow"/>
              </w:rPr>
              <w:t>5/60</w:t>
            </w:r>
          </w:p>
        </w:tc>
        <w:tc>
          <w:tcPr>
            <w:tcW w:w="1172" w:type="dxa"/>
            <w:vAlign w:val="center"/>
          </w:tcPr>
          <w:p w:rsidR="004011B0" w:rsidRPr="00DC0926" w:rsidRDefault="00260F78" w:rsidP="00260F78">
            <w:pPr>
              <w:jc w:val="center"/>
              <w:rPr>
                <w:rFonts w:ascii="Arial Narrow" w:hAnsi="Arial Narrow"/>
              </w:rPr>
            </w:pPr>
            <w:r>
              <w:rPr>
                <w:rFonts w:ascii="Arial Narrow" w:hAnsi="Arial Narrow"/>
              </w:rPr>
              <w:t>$7.25</w:t>
            </w:r>
          </w:p>
        </w:tc>
        <w:tc>
          <w:tcPr>
            <w:tcW w:w="1006" w:type="dxa"/>
            <w:vAlign w:val="center"/>
          </w:tcPr>
          <w:p w:rsidR="004011B0" w:rsidRPr="00260F78" w:rsidRDefault="00260F78" w:rsidP="00260F78">
            <w:pPr>
              <w:jc w:val="center"/>
              <w:rPr>
                <w:rFonts w:ascii="Arial Narrow" w:hAnsi="Arial Narrow"/>
              </w:rPr>
            </w:pPr>
            <w:r>
              <w:rPr>
                <w:rFonts w:ascii="Arial Narrow" w:hAnsi="Arial Narrow"/>
              </w:rPr>
              <w:t>$45</w:t>
            </w:r>
          </w:p>
        </w:tc>
      </w:tr>
      <w:tr w:rsidR="004011B0" w:rsidRPr="00DC0926" w:rsidTr="00260F78">
        <w:tc>
          <w:tcPr>
            <w:tcW w:w="1420" w:type="dxa"/>
            <w:vMerge/>
            <w:vAlign w:val="center"/>
          </w:tcPr>
          <w:p w:rsidR="004011B0" w:rsidRPr="00DC0926" w:rsidRDefault="004011B0" w:rsidP="004011B0">
            <w:pPr>
              <w:jc w:val="center"/>
              <w:rPr>
                <w:rFonts w:ascii="Arial Narrow" w:hAnsi="Arial Narrow"/>
              </w:rPr>
            </w:pPr>
          </w:p>
        </w:tc>
        <w:tc>
          <w:tcPr>
            <w:tcW w:w="1658" w:type="dxa"/>
            <w:vAlign w:val="center"/>
          </w:tcPr>
          <w:p w:rsidR="004011B0" w:rsidRPr="00DC0926" w:rsidRDefault="004011B0" w:rsidP="004011B0">
            <w:pPr>
              <w:jc w:val="center"/>
              <w:rPr>
                <w:rFonts w:ascii="Arial Narrow" w:hAnsi="Arial Narrow"/>
              </w:rPr>
            </w:pPr>
            <w:r w:rsidRPr="00DC0926">
              <w:rPr>
                <w:rFonts w:ascii="Arial Narrow" w:hAnsi="Arial Narrow"/>
              </w:rPr>
              <w:t>Recruitment Screener (spot-check)</w:t>
            </w:r>
          </w:p>
        </w:tc>
        <w:tc>
          <w:tcPr>
            <w:tcW w:w="1530" w:type="dxa"/>
            <w:vAlign w:val="center"/>
          </w:tcPr>
          <w:p w:rsidR="004011B0" w:rsidRPr="00DC0926" w:rsidRDefault="004011B0" w:rsidP="00260F78">
            <w:pPr>
              <w:jc w:val="center"/>
              <w:rPr>
                <w:rFonts w:ascii="Arial Narrow" w:hAnsi="Arial Narrow"/>
              </w:rPr>
            </w:pPr>
            <w:r w:rsidRPr="00DC0926">
              <w:rPr>
                <w:rFonts w:ascii="Arial Narrow" w:hAnsi="Arial Narrow"/>
              </w:rPr>
              <w:t>12</w:t>
            </w:r>
          </w:p>
        </w:tc>
        <w:tc>
          <w:tcPr>
            <w:tcW w:w="1354" w:type="dxa"/>
            <w:vAlign w:val="center"/>
          </w:tcPr>
          <w:p w:rsidR="004011B0" w:rsidRPr="00DC0926" w:rsidRDefault="004011B0" w:rsidP="00260F78">
            <w:pPr>
              <w:jc w:val="center"/>
              <w:rPr>
                <w:rFonts w:ascii="Arial Narrow" w:hAnsi="Arial Narrow"/>
              </w:rPr>
            </w:pPr>
            <w:r>
              <w:rPr>
                <w:rFonts w:ascii="Arial Narrow" w:hAnsi="Arial Narrow"/>
              </w:rPr>
              <w:t>1</w:t>
            </w:r>
          </w:p>
        </w:tc>
        <w:tc>
          <w:tcPr>
            <w:tcW w:w="1436" w:type="dxa"/>
            <w:vAlign w:val="center"/>
          </w:tcPr>
          <w:p w:rsidR="004011B0" w:rsidRPr="00DC0926" w:rsidRDefault="004011B0" w:rsidP="00260F78">
            <w:pPr>
              <w:jc w:val="center"/>
              <w:rPr>
                <w:rFonts w:ascii="Arial Narrow" w:hAnsi="Arial Narrow"/>
              </w:rPr>
            </w:pPr>
            <w:r>
              <w:rPr>
                <w:rFonts w:ascii="Arial Narrow" w:hAnsi="Arial Narrow"/>
              </w:rPr>
              <w:t>5/60</w:t>
            </w:r>
          </w:p>
        </w:tc>
        <w:tc>
          <w:tcPr>
            <w:tcW w:w="1172" w:type="dxa"/>
            <w:vAlign w:val="center"/>
          </w:tcPr>
          <w:p w:rsidR="004011B0" w:rsidRPr="00DC0926" w:rsidRDefault="00260F78" w:rsidP="00260F78">
            <w:pPr>
              <w:jc w:val="center"/>
              <w:rPr>
                <w:rFonts w:ascii="Arial Narrow" w:hAnsi="Arial Narrow"/>
              </w:rPr>
            </w:pPr>
            <w:r>
              <w:rPr>
                <w:rFonts w:ascii="Arial Narrow" w:hAnsi="Arial Narrow"/>
              </w:rPr>
              <w:t>$7.25</w:t>
            </w:r>
          </w:p>
        </w:tc>
        <w:tc>
          <w:tcPr>
            <w:tcW w:w="1006" w:type="dxa"/>
            <w:vAlign w:val="center"/>
          </w:tcPr>
          <w:p w:rsidR="004011B0" w:rsidRPr="00260F78" w:rsidRDefault="00260F78" w:rsidP="00260F78">
            <w:pPr>
              <w:jc w:val="center"/>
              <w:rPr>
                <w:rFonts w:ascii="Arial Narrow" w:hAnsi="Arial Narrow"/>
              </w:rPr>
            </w:pPr>
            <w:r>
              <w:rPr>
                <w:rFonts w:ascii="Arial Narrow" w:hAnsi="Arial Narrow"/>
              </w:rPr>
              <w:t>$7</w:t>
            </w:r>
          </w:p>
        </w:tc>
      </w:tr>
      <w:tr w:rsidR="004011B0" w:rsidRPr="00DC0926" w:rsidTr="00260F78">
        <w:tc>
          <w:tcPr>
            <w:tcW w:w="1420" w:type="dxa"/>
            <w:vMerge/>
            <w:vAlign w:val="center"/>
          </w:tcPr>
          <w:p w:rsidR="004011B0" w:rsidRPr="00DC0926" w:rsidRDefault="004011B0" w:rsidP="004011B0">
            <w:pPr>
              <w:jc w:val="center"/>
              <w:rPr>
                <w:rFonts w:ascii="Arial Narrow" w:hAnsi="Arial Narrow"/>
              </w:rPr>
            </w:pPr>
          </w:p>
        </w:tc>
        <w:tc>
          <w:tcPr>
            <w:tcW w:w="1658" w:type="dxa"/>
            <w:vAlign w:val="center"/>
          </w:tcPr>
          <w:p w:rsidR="004011B0" w:rsidRPr="00DC0926" w:rsidRDefault="004011B0" w:rsidP="004011B0">
            <w:pPr>
              <w:jc w:val="center"/>
              <w:rPr>
                <w:rFonts w:ascii="Arial Narrow" w:hAnsi="Arial Narrow"/>
              </w:rPr>
            </w:pPr>
            <w:r w:rsidRPr="00DC0926">
              <w:rPr>
                <w:rFonts w:ascii="Arial Narrow" w:hAnsi="Arial Narrow"/>
              </w:rPr>
              <w:t>Pre</w:t>
            </w:r>
            <w:r>
              <w:rPr>
                <w:rFonts w:ascii="Arial Narrow" w:hAnsi="Arial Narrow"/>
              </w:rPr>
              <w:t>-</w:t>
            </w:r>
            <w:r w:rsidRPr="00DC0926">
              <w:rPr>
                <w:rFonts w:ascii="Arial Narrow" w:hAnsi="Arial Narrow"/>
              </w:rPr>
              <w:t>discussion Information Sheet</w:t>
            </w:r>
          </w:p>
        </w:tc>
        <w:tc>
          <w:tcPr>
            <w:tcW w:w="1530" w:type="dxa"/>
            <w:vAlign w:val="center"/>
          </w:tcPr>
          <w:p w:rsidR="004011B0" w:rsidRPr="00DC0926" w:rsidRDefault="004011B0" w:rsidP="00260F78">
            <w:pPr>
              <w:jc w:val="center"/>
              <w:rPr>
                <w:rFonts w:ascii="Arial Narrow" w:hAnsi="Arial Narrow"/>
              </w:rPr>
            </w:pPr>
            <w:r w:rsidRPr="00DC0926">
              <w:rPr>
                <w:rFonts w:ascii="Arial Narrow" w:hAnsi="Arial Narrow"/>
              </w:rPr>
              <w:t>40</w:t>
            </w:r>
          </w:p>
        </w:tc>
        <w:tc>
          <w:tcPr>
            <w:tcW w:w="1354" w:type="dxa"/>
            <w:vAlign w:val="center"/>
          </w:tcPr>
          <w:p w:rsidR="004011B0" w:rsidRPr="00DC0926" w:rsidRDefault="004011B0" w:rsidP="00260F78">
            <w:pPr>
              <w:jc w:val="center"/>
              <w:rPr>
                <w:rFonts w:ascii="Arial Narrow" w:hAnsi="Arial Narrow"/>
              </w:rPr>
            </w:pPr>
            <w:r>
              <w:rPr>
                <w:rFonts w:ascii="Arial Narrow" w:hAnsi="Arial Narrow"/>
              </w:rPr>
              <w:t>1</w:t>
            </w:r>
          </w:p>
        </w:tc>
        <w:tc>
          <w:tcPr>
            <w:tcW w:w="1436" w:type="dxa"/>
            <w:vAlign w:val="center"/>
          </w:tcPr>
          <w:p w:rsidR="004011B0" w:rsidRPr="00DC0926" w:rsidRDefault="004011B0" w:rsidP="00260F78">
            <w:pPr>
              <w:jc w:val="center"/>
              <w:rPr>
                <w:rFonts w:ascii="Arial Narrow" w:hAnsi="Arial Narrow"/>
              </w:rPr>
            </w:pPr>
            <w:r>
              <w:rPr>
                <w:rFonts w:ascii="Arial Narrow" w:hAnsi="Arial Narrow"/>
              </w:rPr>
              <w:t>30/60</w:t>
            </w:r>
          </w:p>
        </w:tc>
        <w:tc>
          <w:tcPr>
            <w:tcW w:w="1172" w:type="dxa"/>
            <w:vAlign w:val="center"/>
          </w:tcPr>
          <w:p w:rsidR="004011B0" w:rsidRPr="00DC0926" w:rsidRDefault="00260F78" w:rsidP="00260F78">
            <w:pPr>
              <w:jc w:val="center"/>
              <w:rPr>
                <w:rFonts w:ascii="Arial Narrow" w:hAnsi="Arial Narrow"/>
              </w:rPr>
            </w:pPr>
            <w:r>
              <w:rPr>
                <w:rFonts w:ascii="Arial Narrow" w:hAnsi="Arial Narrow"/>
              </w:rPr>
              <w:t>$7.25</w:t>
            </w:r>
          </w:p>
        </w:tc>
        <w:tc>
          <w:tcPr>
            <w:tcW w:w="1006" w:type="dxa"/>
            <w:vAlign w:val="center"/>
          </w:tcPr>
          <w:p w:rsidR="004011B0" w:rsidRPr="00260F78" w:rsidRDefault="00260F78" w:rsidP="00260F78">
            <w:pPr>
              <w:jc w:val="center"/>
              <w:rPr>
                <w:rFonts w:ascii="Arial Narrow" w:hAnsi="Arial Narrow"/>
              </w:rPr>
            </w:pPr>
            <w:r>
              <w:rPr>
                <w:rFonts w:ascii="Arial Narrow" w:hAnsi="Arial Narrow"/>
              </w:rPr>
              <w:t>$145</w:t>
            </w:r>
          </w:p>
        </w:tc>
      </w:tr>
      <w:tr w:rsidR="004011B0" w:rsidRPr="00DC0926" w:rsidTr="00260F78">
        <w:tc>
          <w:tcPr>
            <w:tcW w:w="1420" w:type="dxa"/>
            <w:vMerge/>
            <w:vAlign w:val="center"/>
          </w:tcPr>
          <w:p w:rsidR="004011B0" w:rsidRPr="00DC0926" w:rsidRDefault="004011B0" w:rsidP="004011B0">
            <w:pPr>
              <w:jc w:val="center"/>
              <w:rPr>
                <w:rFonts w:ascii="Arial Narrow" w:hAnsi="Arial Narrow"/>
              </w:rPr>
            </w:pPr>
          </w:p>
        </w:tc>
        <w:tc>
          <w:tcPr>
            <w:tcW w:w="1658" w:type="dxa"/>
            <w:vAlign w:val="center"/>
          </w:tcPr>
          <w:p w:rsidR="004011B0" w:rsidRPr="00DC0926" w:rsidRDefault="004011B0" w:rsidP="004011B0">
            <w:pPr>
              <w:jc w:val="center"/>
              <w:rPr>
                <w:rFonts w:ascii="Arial Narrow" w:hAnsi="Arial Narrow"/>
              </w:rPr>
            </w:pPr>
            <w:r w:rsidRPr="00DC0926">
              <w:rPr>
                <w:rFonts w:ascii="Arial Narrow" w:hAnsi="Arial Narrow"/>
              </w:rPr>
              <w:t>Focus Group Discussion Guide</w:t>
            </w:r>
          </w:p>
        </w:tc>
        <w:tc>
          <w:tcPr>
            <w:tcW w:w="1530" w:type="dxa"/>
            <w:vAlign w:val="center"/>
          </w:tcPr>
          <w:p w:rsidR="004011B0" w:rsidRPr="00DC0926" w:rsidRDefault="004011B0" w:rsidP="00260F78">
            <w:pPr>
              <w:jc w:val="center"/>
              <w:rPr>
                <w:rFonts w:ascii="Arial Narrow" w:hAnsi="Arial Narrow"/>
              </w:rPr>
            </w:pPr>
            <w:r w:rsidRPr="00DC0926">
              <w:rPr>
                <w:rFonts w:ascii="Arial Narrow" w:hAnsi="Arial Narrow"/>
              </w:rPr>
              <w:t>40</w:t>
            </w:r>
          </w:p>
        </w:tc>
        <w:tc>
          <w:tcPr>
            <w:tcW w:w="1354" w:type="dxa"/>
            <w:vAlign w:val="center"/>
          </w:tcPr>
          <w:p w:rsidR="004011B0" w:rsidRPr="00DC0926" w:rsidRDefault="004011B0" w:rsidP="00260F78">
            <w:pPr>
              <w:jc w:val="center"/>
              <w:rPr>
                <w:rFonts w:ascii="Arial Narrow" w:hAnsi="Arial Narrow"/>
              </w:rPr>
            </w:pPr>
            <w:r>
              <w:rPr>
                <w:rFonts w:ascii="Arial Narrow" w:hAnsi="Arial Narrow"/>
              </w:rPr>
              <w:t>1</w:t>
            </w:r>
          </w:p>
        </w:tc>
        <w:tc>
          <w:tcPr>
            <w:tcW w:w="1436" w:type="dxa"/>
            <w:vAlign w:val="center"/>
          </w:tcPr>
          <w:p w:rsidR="004011B0" w:rsidRPr="00DC0926" w:rsidRDefault="004011B0" w:rsidP="00260F78">
            <w:pPr>
              <w:jc w:val="center"/>
              <w:rPr>
                <w:rFonts w:ascii="Arial Narrow" w:hAnsi="Arial Narrow"/>
              </w:rPr>
            </w:pPr>
            <w:r>
              <w:rPr>
                <w:rFonts w:ascii="Arial Narrow" w:hAnsi="Arial Narrow"/>
              </w:rPr>
              <w:t>110/60</w:t>
            </w:r>
          </w:p>
        </w:tc>
        <w:tc>
          <w:tcPr>
            <w:tcW w:w="1172" w:type="dxa"/>
            <w:vAlign w:val="center"/>
          </w:tcPr>
          <w:p w:rsidR="004011B0" w:rsidRPr="00DC0926" w:rsidRDefault="00260F78" w:rsidP="00260F78">
            <w:pPr>
              <w:jc w:val="center"/>
              <w:rPr>
                <w:rFonts w:ascii="Arial Narrow" w:hAnsi="Arial Narrow"/>
              </w:rPr>
            </w:pPr>
            <w:r>
              <w:rPr>
                <w:rFonts w:ascii="Arial Narrow" w:hAnsi="Arial Narrow"/>
              </w:rPr>
              <w:t>$7.25</w:t>
            </w:r>
          </w:p>
        </w:tc>
        <w:tc>
          <w:tcPr>
            <w:tcW w:w="1006" w:type="dxa"/>
            <w:vAlign w:val="center"/>
          </w:tcPr>
          <w:p w:rsidR="004011B0" w:rsidRPr="00260F78" w:rsidRDefault="00260F78" w:rsidP="00260F78">
            <w:pPr>
              <w:jc w:val="center"/>
              <w:rPr>
                <w:rFonts w:ascii="Arial Narrow" w:hAnsi="Arial Narrow"/>
              </w:rPr>
            </w:pPr>
            <w:r>
              <w:rPr>
                <w:rFonts w:ascii="Arial Narrow" w:hAnsi="Arial Narrow"/>
              </w:rPr>
              <w:t>$532</w:t>
            </w:r>
          </w:p>
        </w:tc>
      </w:tr>
      <w:tr w:rsidR="004011B0" w:rsidRPr="00260F78" w:rsidTr="00260F78">
        <w:tc>
          <w:tcPr>
            <w:tcW w:w="1420" w:type="dxa"/>
            <w:vAlign w:val="center"/>
          </w:tcPr>
          <w:p w:rsidR="004011B0" w:rsidRPr="00260F78" w:rsidRDefault="004011B0" w:rsidP="004011B0">
            <w:pPr>
              <w:jc w:val="center"/>
              <w:rPr>
                <w:rFonts w:ascii="Arial Narrow" w:hAnsi="Arial Narrow"/>
              </w:rPr>
            </w:pPr>
          </w:p>
        </w:tc>
        <w:tc>
          <w:tcPr>
            <w:tcW w:w="1658" w:type="dxa"/>
            <w:vAlign w:val="center"/>
          </w:tcPr>
          <w:p w:rsidR="004011B0" w:rsidRPr="00260F78" w:rsidRDefault="004011B0" w:rsidP="004011B0">
            <w:pPr>
              <w:jc w:val="center"/>
              <w:rPr>
                <w:rFonts w:ascii="Arial Narrow" w:hAnsi="Arial Narrow"/>
                <w:b/>
              </w:rPr>
            </w:pPr>
          </w:p>
        </w:tc>
        <w:tc>
          <w:tcPr>
            <w:tcW w:w="1530" w:type="dxa"/>
            <w:vAlign w:val="center"/>
          </w:tcPr>
          <w:p w:rsidR="004011B0" w:rsidRPr="00260F78" w:rsidRDefault="004011B0" w:rsidP="00260F78">
            <w:pPr>
              <w:jc w:val="center"/>
              <w:rPr>
                <w:rFonts w:ascii="Arial Narrow" w:hAnsi="Arial Narrow"/>
              </w:rPr>
            </w:pPr>
          </w:p>
        </w:tc>
        <w:tc>
          <w:tcPr>
            <w:tcW w:w="1354" w:type="dxa"/>
            <w:vAlign w:val="center"/>
          </w:tcPr>
          <w:p w:rsidR="004011B0" w:rsidRPr="00260F78" w:rsidRDefault="004011B0" w:rsidP="00260F78">
            <w:pPr>
              <w:jc w:val="center"/>
              <w:rPr>
                <w:rFonts w:ascii="Arial Narrow" w:hAnsi="Arial Narrow"/>
              </w:rPr>
            </w:pPr>
          </w:p>
        </w:tc>
        <w:tc>
          <w:tcPr>
            <w:tcW w:w="1436" w:type="dxa"/>
            <w:vAlign w:val="center"/>
          </w:tcPr>
          <w:p w:rsidR="004011B0" w:rsidRPr="00260F78" w:rsidRDefault="004011B0" w:rsidP="00260F78">
            <w:pPr>
              <w:jc w:val="center"/>
              <w:rPr>
                <w:rFonts w:ascii="Arial Narrow" w:hAnsi="Arial Narrow"/>
              </w:rPr>
            </w:pPr>
          </w:p>
        </w:tc>
        <w:tc>
          <w:tcPr>
            <w:tcW w:w="1172" w:type="dxa"/>
            <w:vAlign w:val="center"/>
          </w:tcPr>
          <w:p w:rsidR="004011B0" w:rsidRPr="00260F78" w:rsidRDefault="00260F78" w:rsidP="00260F78">
            <w:pPr>
              <w:jc w:val="center"/>
              <w:rPr>
                <w:rFonts w:ascii="Arial Narrow" w:hAnsi="Arial Narrow"/>
                <w:bCs/>
                <w:caps/>
              </w:rPr>
            </w:pPr>
            <w:r w:rsidRPr="00260F78">
              <w:rPr>
                <w:rFonts w:ascii="Arial Narrow" w:hAnsi="Arial Narrow"/>
                <w:bCs/>
              </w:rPr>
              <w:t>Total</w:t>
            </w:r>
          </w:p>
        </w:tc>
        <w:tc>
          <w:tcPr>
            <w:tcW w:w="1006" w:type="dxa"/>
            <w:vAlign w:val="center"/>
          </w:tcPr>
          <w:p w:rsidR="004011B0" w:rsidRPr="00260F78" w:rsidRDefault="00260F78" w:rsidP="00260F78">
            <w:pPr>
              <w:jc w:val="center"/>
              <w:rPr>
                <w:rFonts w:ascii="Arial Narrow" w:hAnsi="Arial Narrow"/>
                <w:bCs/>
                <w:caps/>
              </w:rPr>
            </w:pPr>
            <w:r w:rsidRPr="00260F78">
              <w:rPr>
                <w:rFonts w:ascii="Arial Narrow" w:hAnsi="Arial Narrow"/>
                <w:bCs/>
                <w:caps/>
              </w:rPr>
              <w:t>$</w:t>
            </w:r>
            <w:r w:rsidR="00B917BE">
              <w:rPr>
                <w:rFonts w:ascii="Arial Narrow" w:hAnsi="Arial Narrow"/>
                <w:bCs/>
                <w:caps/>
              </w:rPr>
              <w:t>1,</w:t>
            </w:r>
            <w:r w:rsidR="00DF7009">
              <w:rPr>
                <w:rFonts w:ascii="Arial Narrow" w:hAnsi="Arial Narrow"/>
                <w:bCs/>
                <w:caps/>
              </w:rPr>
              <w:t>995</w:t>
            </w:r>
          </w:p>
        </w:tc>
      </w:tr>
    </w:tbl>
    <w:p w:rsidR="0084777F" w:rsidRDefault="0084777F" w:rsidP="002236C7">
      <w:pPr>
        <w:pStyle w:val="Heading2"/>
        <w:rPr>
          <w:b w:val="0"/>
        </w:rPr>
      </w:pPr>
    </w:p>
    <w:p w:rsidR="004011B0" w:rsidRDefault="004011B0" w:rsidP="004011B0"/>
    <w:p w:rsidR="004011B0" w:rsidRPr="004011B0" w:rsidRDefault="004011B0" w:rsidP="004011B0"/>
    <w:p w:rsidR="0084777F" w:rsidRPr="00E15057" w:rsidRDefault="0084777F" w:rsidP="0084777F">
      <w:pPr>
        <w:pStyle w:val="Heading2"/>
      </w:pPr>
      <w:bookmarkStart w:id="24" w:name="_Toc304819992"/>
      <w:bookmarkStart w:id="25" w:name="_Toc68687814"/>
      <w:bookmarkEnd w:id="23"/>
      <w:r w:rsidRPr="00E15057">
        <w:t xml:space="preserve">A13. Estimates of Other Total Annual Cost Burden to Respondents or </w:t>
      </w:r>
      <w:proofErr w:type="spellStart"/>
      <w:r w:rsidRPr="00E15057">
        <w:t>Recordkeepers</w:t>
      </w:r>
      <w:bookmarkEnd w:id="24"/>
      <w:proofErr w:type="spellEnd"/>
    </w:p>
    <w:p w:rsidR="0084777F" w:rsidRPr="00E15057" w:rsidRDefault="0084777F" w:rsidP="0084777F">
      <w:pPr>
        <w:pStyle w:val="BodyText"/>
      </w:pPr>
      <w:r w:rsidRPr="00E15057">
        <w:t>Respondents will incur no capital or maintenance costs to complete the collection of these data.</w:t>
      </w:r>
    </w:p>
    <w:p w:rsidR="0084777F" w:rsidRPr="00E15057" w:rsidRDefault="0084777F" w:rsidP="0084777F">
      <w:pPr>
        <w:pStyle w:val="Heading2"/>
      </w:pPr>
      <w:bookmarkStart w:id="26" w:name="_Toc68687810"/>
      <w:bookmarkStart w:id="27" w:name="_Toc304819993"/>
      <w:bookmarkStart w:id="28" w:name="OLE_LINK1"/>
      <w:r w:rsidRPr="00E15057">
        <w:lastRenderedPageBreak/>
        <w:t>A14. Annualized Cost to the Government</w:t>
      </w:r>
      <w:bookmarkEnd w:id="26"/>
      <w:bookmarkEnd w:id="27"/>
    </w:p>
    <w:bookmarkEnd w:id="28"/>
    <w:p w:rsidR="0084777F" w:rsidRPr="00E15057" w:rsidRDefault="0084777F" w:rsidP="0084777F">
      <w:pPr>
        <w:pStyle w:val="BodyText"/>
      </w:pPr>
      <w:r w:rsidRPr="00E15057">
        <w:t>Table A14 presents the costs to the Federal Government. Two types of Government costs will be incurred:</w:t>
      </w:r>
    </w:p>
    <w:p w:rsidR="0084777F" w:rsidRPr="00E15057" w:rsidRDefault="0084777F" w:rsidP="0084777F">
      <w:pPr>
        <w:pStyle w:val="BodyTextNumbered"/>
        <w:numPr>
          <w:ilvl w:val="0"/>
          <w:numId w:val="29"/>
        </w:numPr>
      </w:pPr>
      <w:r w:rsidRPr="00E15057">
        <w:t>Government personnel. The Technical Monitor is assigned for 50% of their FTE. Assuming an annual salary of $120,000 for the Technical Monitor, the total amount paid to Government personnel is $60,000.</w:t>
      </w:r>
    </w:p>
    <w:p w:rsidR="0084777F" w:rsidRPr="00E15057" w:rsidRDefault="0084777F" w:rsidP="0084777F">
      <w:pPr>
        <w:pStyle w:val="BodyTextNumberedLast"/>
        <w:numPr>
          <w:ilvl w:val="0"/>
          <w:numId w:val="29"/>
        </w:numPr>
      </w:pPr>
      <w:r w:rsidRPr="00E15057">
        <w:t xml:space="preserve">Contracted data collection. The project design and data collection is being conducted under a contract with </w:t>
      </w:r>
      <w:r w:rsidR="00FA2DCF">
        <w:t>CDC’s data collection contractor</w:t>
      </w:r>
      <w:r w:rsidR="00900AA9">
        <w:t>, ICR Macro</w:t>
      </w:r>
      <w:r w:rsidRPr="00E15057">
        <w:t>. The current contract is for a total of $281,930 and includes costs for planning, conducting, and analyzing the focus groups.</w:t>
      </w:r>
    </w:p>
    <w:p w:rsidR="0084777F" w:rsidRPr="00E15057" w:rsidRDefault="0084777F" w:rsidP="0084777F">
      <w:pPr>
        <w:pStyle w:val="BodyText"/>
      </w:pPr>
      <w:r w:rsidRPr="00E15057">
        <w:t>Therefore, total annualized cost to the Federal Government for this data collection is $3</w:t>
      </w:r>
      <w:r w:rsidR="00685B4F">
        <w:t>4</w:t>
      </w:r>
      <w:r w:rsidRPr="00E15057">
        <w:t>1,930.</w:t>
      </w:r>
    </w:p>
    <w:p w:rsidR="0084777F" w:rsidRPr="00E15057" w:rsidRDefault="0084777F" w:rsidP="0084777F">
      <w:pPr>
        <w:pStyle w:val="ExhibitTitle"/>
      </w:pPr>
      <w:bookmarkStart w:id="29" w:name="_Toc294614793"/>
      <w:r w:rsidRPr="00E15057">
        <w:t>Table A14. Estimates of Annualized Cost to the Government</w:t>
      </w:r>
      <w:bookmarkEnd w:id="29"/>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BF"/>
      </w:tblPr>
      <w:tblGrid>
        <w:gridCol w:w="4680"/>
        <w:gridCol w:w="4680"/>
      </w:tblGrid>
      <w:tr w:rsidR="0084777F" w:rsidRPr="00E15057" w:rsidTr="00193699">
        <w:trPr>
          <w:trHeight w:val="350"/>
          <w:jc w:val="center"/>
        </w:trPr>
        <w:tc>
          <w:tcPr>
            <w:tcW w:w="4680" w:type="dxa"/>
            <w:shd w:val="clear" w:color="auto" w:fill="FFFFFF"/>
            <w:vAlign w:val="center"/>
          </w:tcPr>
          <w:p w:rsidR="0084777F" w:rsidRPr="00E15057" w:rsidRDefault="0084777F" w:rsidP="00193699">
            <w:pPr>
              <w:pStyle w:val="TableHeader1"/>
            </w:pPr>
            <w:r w:rsidRPr="00E15057">
              <w:t>Item</w:t>
            </w:r>
          </w:p>
        </w:tc>
        <w:tc>
          <w:tcPr>
            <w:tcW w:w="4680" w:type="dxa"/>
            <w:shd w:val="clear" w:color="auto" w:fill="FFFFFF"/>
            <w:vAlign w:val="center"/>
          </w:tcPr>
          <w:p w:rsidR="0084777F" w:rsidRPr="00E15057" w:rsidRDefault="0084777F" w:rsidP="00193699">
            <w:pPr>
              <w:pStyle w:val="TableHeader1"/>
            </w:pPr>
            <w:r w:rsidRPr="00E15057">
              <w:t>Annualized Cost</w:t>
            </w:r>
          </w:p>
        </w:tc>
      </w:tr>
      <w:tr w:rsidR="0084777F" w:rsidRPr="00E15057" w:rsidTr="00193699">
        <w:trPr>
          <w:trHeight w:val="375"/>
          <w:jc w:val="center"/>
        </w:trPr>
        <w:tc>
          <w:tcPr>
            <w:tcW w:w="4680" w:type="dxa"/>
            <w:shd w:val="clear" w:color="auto" w:fill="FFFFFF"/>
            <w:vAlign w:val="center"/>
          </w:tcPr>
          <w:p w:rsidR="0084777F" w:rsidRPr="00E15057" w:rsidRDefault="0084777F" w:rsidP="00193699">
            <w:pPr>
              <w:pStyle w:val="TableText"/>
            </w:pPr>
            <w:r w:rsidRPr="00E15057">
              <w:t>Technical Monitor at 50% of their FTE</w:t>
            </w:r>
          </w:p>
        </w:tc>
        <w:tc>
          <w:tcPr>
            <w:tcW w:w="4680" w:type="dxa"/>
            <w:shd w:val="clear" w:color="auto" w:fill="FFFFFF"/>
            <w:vAlign w:val="center"/>
          </w:tcPr>
          <w:p w:rsidR="0084777F" w:rsidRPr="00E15057" w:rsidRDefault="0084777F" w:rsidP="00193699">
            <w:pPr>
              <w:pStyle w:val="TableHeader1"/>
            </w:pPr>
            <w:r w:rsidRPr="00E15057">
              <w:t>$60,000</w:t>
            </w:r>
          </w:p>
        </w:tc>
      </w:tr>
      <w:tr w:rsidR="0084777F" w:rsidRPr="00E15057" w:rsidTr="00193699">
        <w:trPr>
          <w:trHeight w:val="375"/>
          <w:jc w:val="center"/>
        </w:trPr>
        <w:tc>
          <w:tcPr>
            <w:tcW w:w="4680" w:type="dxa"/>
            <w:shd w:val="clear" w:color="auto" w:fill="FFFFFF"/>
            <w:vAlign w:val="center"/>
          </w:tcPr>
          <w:p w:rsidR="0084777F" w:rsidRPr="00E15057" w:rsidRDefault="0084777F" w:rsidP="00193699">
            <w:pPr>
              <w:pStyle w:val="TableText"/>
            </w:pPr>
            <w:r w:rsidRPr="00E15057">
              <w:t>Contractor</w:t>
            </w:r>
          </w:p>
        </w:tc>
        <w:tc>
          <w:tcPr>
            <w:tcW w:w="4680" w:type="dxa"/>
            <w:shd w:val="clear" w:color="auto" w:fill="FFFFFF"/>
            <w:vAlign w:val="center"/>
          </w:tcPr>
          <w:p w:rsidR="0084777F" w:rsidRPr="00E15057" w:rsidRDefault="0084777F" w:rsidP="00193699">
            <w:pPr>
              <w:pStyle w:val="TableHeader1"/>
            </w:pPr>
            <w:r w:rsidRPr="00E15057">
              <w:t>$281,930</w:t>
            </w:r>
          </w:p>
        </w:tc>
      </w:tr>
      <w:tr w:rsidR="0084777F" w:rsidRPr="00E15057" w:rsidTr="00193699">
        <w:trPr>
          <w:trHeight w:val="287"/>
          <w:jc w:val="center"/>
        </w:trPr>
        <w:tc>
          <w:tcPr>
            <w:tcW w:w="4680" w:type="dxa"/>
            <w:shd w:val="clear" w:color="auto" w:fill="FFFFFF"/>
            <w:vAlign w:val="center"/>
          </w:tcPr>
          <w:p w:rsidR="0084777F" w:rsidRPr="00E15057" w:rsidRDefault="0084777F" w:rsidP="00193699">
            <w:pPr>
              <w:pStyle w:val="TableText"/>
            </w:pPr>
            <w:r w:rsidRPr="00E15057">
              <w:t>TOTAL</w:t>
            </w:r>
          </w:p>
        </w:tc>
        <w:tc>
          <w:tcPr>
            <w:tcW w:w="4680" w:type="dxa"/>
            <w:shd w:val="clear" w:color="auto" w:fill="FFFFFF"/>
            <w:vAlign w:val="center"/>
          </w:tcPr>
          <w:p w:rsidR="0084777F" w:rsidRPr="00E15057" w:rsidRDefault="0084777F" w:rsidP="00193699">
            <w:pPr>
              <w:pStyle w:val="TableHeader1"/>
            </w:pPr>
            <w:r w:rsidRPr="00E15057">
              <w:t>$341,930</w:t>
            </w:r>
          </w:p>
        </w:tc>
      </w:tr>
    </w:tbl>
    <w:p w:rsidR="0084777F" w:rsidRPr="00E15057" w:rsidRDefault="0084777F" w:rsidP="0084777F"/>
    <w:p w:rsidR="00DD3FBF" w:rsidRPr="00E15057" w:rsidRDefault="00DD3FBF" w:rsidP="002236C7">
      <w:pPr>
        <w:pStyle w:val="Heading2"/>
      </w:pPr>
      <w:bookmarkStart w:id="30" w:name="_Toc304819994"/>
      <w:r w:rsidRPr="00E15057">
        <w:t>A15. Explanation for Program Changes or Adjustments</w:t>
      </w:r>
      <w:bookmarkEnd w:id="30"/>
    </w:p>
    <w:p w:rsidR="00DB656C" w:rsidRPr="00E15057" w:rsidRDefault="00DD3FBF" w:rsidP="002236C7">
      <w:pPr>
        <w:pStyle w:val="BodyText"/>
      </w:pPr>
      <w:r w:rsidRPr="00E15057">
        <w:t xml:space="preserve">This is a new </w:t>
      </w:r>
      <w:r w:rsidR="00041C06" w:rsidRPr="00E15057">
        <w:t>data</w:t>
      </w:r>
      <w:r w:rsidRPr="00E15057">
        <w:t xml:space="preserve"> collection.</w:t>
      </w:r>
    </w:p>
    <w:p w:rsidR="00DD3FBF" w:rsidRPr="00E15057" w:rsidRDefault="00DD3FBF" w:rsidP="002236C7">
      <w:pPr>
        <w:pStyle w:val="Heading2"/>
      </w:pPr>
      <w:bookmarkStart w:id="31" w:name="_Toc304819995"/>
      <w:r w:rsidRPr="00E15057">
        <w:t>A16. Plans for Tabulation and Publication and Project Time Schedule</w:t>
      </w:r>
      <w:bookmarkEnd w:id="31"/>
    </w:p>
    <w:p w:rsidR="00DD3FBF" w:rsidRPr="00E15057" w:rsidRDefault="00DD3FBF" w:rsidP="002236C7"/>
    <w:p w:rsidR="00CC0E75" w:rsidRPr="00E15057" w:rsidRDefault="00CC0E75" w:rsidP="002236C7">
      <w:pPr>
        <w:pStyle w:val="Heading3"/>
      </w:pPr>
      <w:r w:rsidRPr="00E15057">
        <w:t>Plans for Tabulation and Publication</w:t>
      </w:r>
    </w:p>
    <w:p w:rsidR="00CC0E75" w:rsidRPr="00E15057" w:rsidRDefault="00CC0E75" w:rsidP="002236C7">
      <w:pPr>
        <w:pStyle w:val="BodyText"/>
      </w:pPr>
      <w:r w:rsidRPr="00E15057">
        <w:t xml:space="preserve">The </w:t>
      </w:r>
      <w:r w:rsidR="00AD2CBE" w:rsidRPr="00E15057">
        <w:t xml:space="preserve">focus group </w:t>
      </w:r>
      <w:r w:rsidRPr="00E15057">
        <w:t xml:space="preserve">analysis plan was developed by taking into account the resources available for analysis, the anticipated quantity of data that will be generated from </w:t>
      </w:r>
      <w:r w:rsidR="007B6E63" w:rsidRPr="00E15057">
        <w:t>1</w:t>
      </w:r>
      <w:r w:rsidR="0079398D">
        <w:t>2</w:t>
      </w:r>
      <w:r w:rsidR="004209BD" w:rsidRPr="00E15057">
        <w:t xml:space="preserve"> </w:t>
      </w:r>
      <w:r w:rsidRPr="00E15057">
        <w:t>focus groups, and the anticipated use of the findings. Data from the P</w:t>
      </w:r>
      <w:r w:rsidR="00844CC9">
        <w:t xml:space="preserve">re-discussion and </w:t>
      </w:r>
      <w:r w:rsidR="00F2108D">
        <w:t xml:space="preserve">Post-discussion Information Sheets </w:t>
      </w:r>
      <w:r w:rsidRPr="00E15057">
        <w:t xml:space="preserve">will be analyzed with SPSS, version 13.0. </w:t>
      </w:r>
      <w:r w:rsidR="00844CC9">
        <w:t xml:space="preserve">Pre-discussion and </w:t>
      </w:r>
      <w:r w:rsidR="00AE4750">
        <w:t>Post-</w:t>
      </w:r>
      <w:r w:rsidR="00844CC9">
        <w:t>discussion Information Sheet</w:t>
      </w:r>
      <w:r w:rsidR="00AE4750" w:rsidRPr="00E15057">
        <w:t xml:space="preserve"> </w:t>
      </w:r>
      <w:r w:rsidRPr="00E15057">
        <w:t xml:space="preserve">data will be entered into an SPSS database, and frequencies will be run for each of the questions on the </w:t>
      </w:r>
      <w:r w:rsidR="00AE4750">
        <w:t>Pre/Post-DIS</w:t>
      </w:r>
      <w:r w:rsidRPr="00E15057">
        <w:t xml:space="preserve">. The resulting analyses will be used only as a means of describing the study participants and drawing comparisons between groups or segments. Data obtained from the </w:t>
      </w:r>
      <w:r w:rsidR="00844CC9">
        <w:t xml:space="preserve">Pre-discussion and Post-discussion Information Sheets </w:t>
      </w:r>
      <w:r w:rsidRPr="00E15057">
        <w:t>will not be used to make generalizations about any larger population and will be reported and analyzed in aggregate form.</w:t>
      </w:r>
    </w:p>
    <w:p w:rsidR="00AB6395" w:rsidRPr="00E15057" w:rsidRDefault="00CC0E75" w:rsidP="002236C7">
      <w:pPr>
        <w:pStyle w:val="BodyText"/>
      </w:pPr>
      <w:r w:rsidRPr="00E15057">
        <w:t xml:space="preserve">Once the focus groups are completed, the </w:t>
      </w:r>
      <w:proofErr w:type="spellStart"/>
      <w:r w:rsidR="00BB2080" w:rsidRPr="00E15057">
        <w:t>notetakers</w:t>
      </w:r>
      <w:proofErr w:type="spellEnd"/>
      <w:r w:rsidRPr="00E15057">
        <w:t xml:space="preserve"> will analyze the field notes across the </w:t>
      </w:r>
      <w:r w:rsidR="00533352" w:rsidRPr="00E15057">
        <w:t xml:space="preserve">groups by research question, and for specific segments, </w:t>
      </w:r>
      <w:r w:rsidRPr="00E15057">
        <w:t xml:space="preserve">and </w:t>
      </w:r>
      <w:r w:rsidR="00AA627A" w:rsidRPr="00E15057">
        <w:t>then they will prepare topline summaries that highlight emergent themes between and among segment</w:t>
      </w:r>
      <w:r w:rsidR="002C6BDC" w:rsidRPr="00E15057">
        <w:t>s</w:t>
      </w:r>
      <w:r w:rsidRPr="00E15057">
        <w:t>.</w:t>
      </w:r>
      <w:r w:rsidR="00533352" w:rsidRPr="00E15057">
        <w:t xml:space="preserve"> </w:t>
      </w:r>
      <w:r w:rsidR="00AA627A" w:rsidRPr="00E15057">
        <w:t>The research question</w:t>
      </w:r>
      <w:r w:rsidR="002C6BDC" w:rsidRPr="00E15057">
        <w:t>s</w:t>
      </w:r>
      <w:r w:rsidR="00AA627A" w:rsidRPr="00E15057">
        <w:t xml:space="preserve"> (RQ) </w:t>
      </w:r>
      <w:r w:rsidR="00AB6395" w:rsidRPr="00E15057">
        <w:t>for the focus groups with Latinas are as follows:</w:t>
      </w:r>
    </w:p>
    <w:p w:rsidR="00AB6395" w:rsidRPr="00E15057" w:rsidRDefault="00AB6395" w:rsidP="00AB6395">
      <w:pPr>
        <w:pStyle w:val="Bullet1"/>
        <w:autoSpaceDE w:val="0"/>
        <w:autoSpaceDN w:val="0"/>
        <w:adjustRightInd w:val="0"/>
        <w:rPr>
          <w:rFonts w:cs="Arial"/>
          <w:bCs/>
        </w:rPr>
      </w:pPr>
      <w:r w:rsidRPr="00E15057">
        <w:t>RQ1: What are thoughts about breast cancer, early detection, a</w:t>
      </w:r>
      <w:r w:rsidR="00BA4722" w:rsidRPr="00E15057">
        <w:t>nd screening for breast cancer</w:t>
      </w:r>
      <w:r w:rsidRPr="00E15057">
        <w:t>?</w:t>
      </w:r>
    </w:p>
    <w:p w:rsidR="00AB6395" w:rsidRPr="00E15057" w:rsidRDefault="00AB6395" w:rsidP="00AB6395">
      <w:pPr>
        <w:pStyle w:val="Bullet1"/>
        <w:autoSpaceDE w:val="0"/>
        <w:autoSpaceDN w:val="0"/>
        <w:adjustRightInd w:val="0"/>
        <w:rPr>
          <w:rFonts w:cs="Arial"/>
          <w:bCs/>
        </w:rPr>
      </w:pPr>
      <w:r w:rsidRPr="00E15057">
        <w:t xml:space="preserve">RQ2: </w:t>
      </w:r>
      <w:r w:rsidRPr="00E15057">
        <w:rPr>
          <w:rFonts w:cs="Arial"/>
          <w:bCs/>
        </w:rPr>
        <w:t xml:space="preserve">What factors influence </w:t>
      </w:r>
      <w:r w:rsidR="00DE1289" w:rsidRPr="00E15057">
        <w:rPr>
          <w:rFonts w:cs="Arial"/>
          <w:bCs/>
        </w:rPr>
        <w:t>women to</w:t>
      </w:r>
      <w:r w:rsidRPr="00E15057">
        <w:rPr>
          <w:rFonts w:cs="Arial"/>
          <w:bCs/>
        </w:rPr>
        <w:t xml:space="preserve"> participate </w:t>
      </w:r>
      <w:r w:rsidR="00BA4722" w:rsidRPr="00E15057">
        <w:rPr>
          <w:rFonts w:cs="Arial"/>
          <w:bCs/>
        </w:rPr>
        <w:t xml:space="preserve">or not </w:t>
      </w:r>
      <w:r w:rsidRPr="00E15057">
        <w:rPr>
          <w:rFonts w:cs="Arial"/>
          <w:bCs/>
        </w:rPr>
        <w:t>in the NBCCEDP?</w:t>
      </w:r>
    </w:p>
    <w:p w:rsidR="00AB6395" w:rsidRPr="00E15057" w:rsidRDefault="00AB6395" w:rsidP="00AB6395">
      <w:pPr>
        <w:pStyle w:val="Bullet1"/>
        <w:autoSpaceDE w:val="0"/>
        <w:autoSpaceDN w:val="0"/>
        <w:adjustRightInd w:val="0"/>
        <w:rPr>
          <w:rFonts w:cs="Arial"/>
          <w:bCs/>
        </w:rPr>
      </w:pPr>
      <w:r w:rsidRPr="00E15057">
        <w:rPr>
          <w:rFonts w:cs="Arial"/>
          <w:bCs/>
        </w:rPr>
        <w:t xml:space="preserve">RQ3: What are viable ways (e.g., messages, sources, channels) to disseminate information about NBCCEDP services to </w:t>
      </w:r>
      <w:r w:rsidR="00DE1289" w:rsidRPr="00E15057">
        <w:rPr>
          <w:rFonts w:cs="Arial"/>
          <w:bCs/>
        </w:rPr>
        <w:t>women</w:t>
      </w:r>
      <w:r w:rsidRPr="00E15057">
        <w:rPr>
          <w:rFonts w:cs="Arial"/>
          <w:bCs/>
        </w:rPr>
        <w:t>?</w:t>
      </w:r>
    </w:p>
    <w:p w:rsidR="00AB6395" w:rsidRPr="00E15057" w:rsidRDefault="00AB6395" w:rsidP="00AB6395">
      <w:pPr>
        <w:pStyle w:val="Bullet1"/>
        <w:numPr>
          <w:ilvl w:val="0"/>
          <w:numId w:val="0"/>
        </w:numPr>
        <w:autoSpaceDE w:val="0"/>
        <w:autoSpaceDN w:val="0"/>
        <w:adjustRightInd w:val="0"/>
        <w:ind w:left="720"/>
        <w:rPr>
          <w:rFonts w:cs="Arial"/>
          <w:bCs/>
        </w:rPr>
      </w:pPr>
    </w:p>
    <w:p w:rsidR="00AA627A" w:rsidRPr="00E15057" w:rsidRDefault="00AB6395" w:rsidP="002236C7">
      <w:pPr>
        <w:pStyle w:val="BodyText"/>
      </w:pPr>
      <w:r w:rsidRPr="00E15057">
        <w:t xml:space="preserve">The RQs and </w:t>
      </w:r>
      <w:proofErr w:type="spellStart"/>
      <w:r w:rsidRPr="00E15057">
        <w:t>subquestions</w:t>
      </w:r>
      <w:proofErr w:type="spellEnd"/>
      <w:r w:rsidRPr="00E15057">
        <w:t xml:space="preserve"> </w:t>
      </w:r>
      <w:r w:rsidR="00AA627A" w:rsidRPr="00E15057">
        <w:t>for focus group</w:t>
      </w:r>
      <w:r w:rsidRPr="00E15057">
        <w:t xml:space="preserve">s with African American women </w:t>
      </w:r>
      <w:r w:rsidR="00AA627A" w:rsidRPr="00E15057">
        <w:t>are as follows:</w:t>
      </w:r>
    </w:p>
    <w:p w:rsidR="00AA627A" w:rsidRPr="00E15057" w:rsidRDefault="00AA627A" w:rsidP="002236C7">
      <w:pPr>
        <w:pStyle w:val="Bullet1"/>
      </w:pPr>
      <w:r w:rsidRPr="00E15057">
        <w:lastRenderedPageBreak/>
        <w:t>RQ1: What are thoughts about breast cancer, early detection</w:t>
      </w:r>
      <w:r w:rsidR="002C6BDC" w:rsidRPr="00E15057">
        <w:t>,</w:t>
      </w:r>
      <w:r w:rsidRPr="00E15057">
        <w:t xml:space="preserve"> </w:t>
      </w:r>
      <w:r w:rsidR="00DE1289" w:rsidRPr="00E15057">
        <w:t>and screening for breast cancer?</w:t>
      </w:r>
    </w:p>
    <w:p w:rsidR="00AB6395" w:rsidRPr="00E15057" w:rsidRDefault="00AA627A" w:rsidP="00AB6395">
      <w:pPr>
        <w:pStyle w:val="Bullet1"/>
      </w:pPr>
      <w:r w:rsidRPr="00E15057">
        <w:t>RQ2: What are the general thoughts about intervention’s messages and materials?</w:t>
      </w:r>
    </w:p>
    <w:p w:rsidR="00AB6395" w:rsidRPr="00E15057" w:rsidRDefault="00AA627A" w:rsidP="00AB6395">
      <w:pPr>
        <w:pStyle w:val="Bullet1"/>
        <w:numPr>
          <w:ilvl w:val="1"/>
          <w:numId w:val="8"/>
        </w:numPr>
      </w:pPr>
      <w:r w:rsidRPr="00E15057">
        <w:t>What is the audience’s reaction to the messages and materials?</w:t>
      </w:r>
    </w:p>
    <w:p w:rsidR="00AB6395" w:rsidRPr="00E15057" w:rsidRDefault="00AA627A" w:rsidP="00AB6395">
      <w:pPr>
        <w:pStyle w:val="Bullet1"/>
        <w:numPr>
          <w:ilvl w:val="1"/>
          <w:numId w:val="8"/>
        </w:numPr>
      </w:pPr>
      <w:r w:rsidRPr="00E15057">
        <w:t>Are the messages and materials understandable and believable?</w:t>
      </w:r>
    </w:p>
    <w:p w:rsidR="00AB6395" w:rsidRPr="00E15057" w:rsidRDefault="00AA627A" w:rsidP="00AB6395">
      <w:pPr>
        <w:pStyle w:val="Bullet1"/>
        <w:numPr>
          <w:ilvl w:val="1"/>
          <w:numId w:val="8"/>
        </w:numPr>
      </w:pPr>
      <w:r w:rsidRPr="00E15057">
        <w:t>Do the messages and materials appeal to the audience?</w:t>
      </w:r>
    </w:p>
    <w:p w:rsidR="00AA627A" w:rsidRPr="00E15057" w:rsidRDefault="00AA627A" w:rsidP="00AB6395">
      <w:pPr>
        <w:pStyle w:val="Bullet1"/>
        <w:numPr>
          <w:ilvl w:val="1"/>
          <w:numId w:val="8"/>
        </w:numPr>
      </w:pPr>
      <w:r w:rsidRPr="00E15057">
        <w:t>How can the messages and materials be improved for this audience?</w:t>
      </w:r>
    </w:p>
    <w:p w:rsidR="00AA627A" w:rsidRPr="00E15057" w:rsidRDefault="00AA627A" w:rsidP="002236C7">
      <w:pPr>
        <w:pStyle w:val="Bullet1"/>
      </w:pPr>
      <w:r w:rsidRPr="00E15057">
        <w:t xml:space="preserve">RQ3: What are the general thoughts about the </w:t>
      </w:r>
      <w:r w:rsidRPr="00E15057">
        <w:rPr>
          <w:i/>
        </w:rPr>
        <w:t>intervention’s</w:t>
      </w:r>
      <w:r w:rsidRPr="00E15057">
        <w:t xml:space="preserve"> </w:t>
      </w:r>
      <w:r w:rsidRPr="00E15057">
        <w:rPr>
          <w:i/>
        </w:rPr>
        <w:t>advertisements (ads)</w:t>
      </w:r>
      <w:r w:rsidRPr="00E15057">
        <w:t>?</w:t>
      </w:r>
    </w:p>
    <w:p w:rsidR="00AA627A" w:rsidRPr="00E15057" w:rsidRDefault="00AA627A" w:rsidP="00AB6395">
      <w:pPr>
        <w:pStyle w:val="Bullet1"/>
        <w:numPr>
          <w:ilvl w:val="1"/>
          <w:numId w:val="8"/>
        </w:numPr>
      </w:pPr>
      <w:r w:rsidRPr="00E15057">
        <w:t>What is the audience’s initial reaction to the radio ads?</w:t>
      </w:r>
    </w:p>
    <w:p w:rsidR="00AA627A" w:rsidRPr="00E15057" w:rsidRDefault="00AA627A" w:rsidP="00AB6395">
      <w:pPr>
        <w:pStyle w:val="Bullet1"/>
        <w:numPr>
          <w:ilvl w:val="1"/>
          <w:numId w:val="8"/>
        </w:numPr>
      </w:pPr>
      <w:r w:rsidRPr="00E15057">
        <w:t>Do the radio ads catch the audience’s attention?</w:t>
      </w:r>
    </w:p>
    <w:p w:rsidR="00AA627A" w:rsidRPr="00E15057" w:rsidRDefault="00AA627A" w:rsidP="00AB6395">
      <w:pPr>
        <w:pStyle w:val="Bullet1"/>
        <w:numPr>
          <w:ilvl w:val="1"/>
          <w:numId w:val="8"/>
        </w:numPr>
      </w:pPr>
      <w:r w:rsidRPr="00E15057">
        <w:t>What does the audience think the radio ads are saying to them?</w:t>
      </w:r>
    </w:p>
    <w:p w:rsidR="00AA627A" w:rsidRPr="00E15057" w:rsidRDefault="00AA627A" w:rsidP="00AB6395">
      <w:pPr>
        <w:pStyle w:val="Bullet1"/>
        <w:numPr>
          <w:ilvl w:val="1"/>
          <w:numId w:val="8"/>
        </w:numPr>
      </w:pPr>
      <w:r w:rsidRPr="00E15057">
        <w:t>Are the radio ads understandable and believable?</w:t>
      </w:r>
    </w:p>
    <w:p w:rsidR="00AA627A" w:rsidRPr="00E15057" w:rsidRDefault="00AA627A" w:rsidP="00AB6395">
      <w:pPr>
        <w:pStyle w:val="Bullet1"/>
        <w:numPr>
          <w:ilvl w:val="1"/>
          <w:numId w:val="8"/>
        </w:numPr>
      </w:pPr>
      <w:r w:rsidRPr="00E15057">
        <w:t>How can the radio ads be improved for this audience?</w:t>
      </w:r>
    </w:p>
    <w:p w:rsidR="00DE1289" w:rsidRPr="00E15057" w:rsidRDefault="00DE1289" w:rsidP="00DE1289">
      <w:pPr>
        <w:pStyle w:val="Bullet1"/>
        <w:numPr>
          <w:ilvl w:val="0"/>
          <w:numId w:val="0"/>
        </w:numPr>
        <w:ind w:left="1140"/>
      </w:pPr>
    </w:p>
    <w:p w:rsidR="00AA627A" w:rsidRPr="00E15057" w:rsidRDefault="00CC0E75" w:rsidP="002236C7">
      <w:pPr>
        <w:pStyle w:val="BodyText"/>
      </w:pPr>
      <w:r w:rsidRPr="00E15057">
        <w:t xml:space="preserve">A sample </w:t>
      </w:r>
      <w:r w:rsidR="00AA627A" w:rsidRPr="00E15057">
        <w:t>topline summary</w:t>
      </w:r>
      <w:r w:rsidRPr="00E15057">
        <w:t xml:space="preserve"> is attached (Attachment </w:t>
      </w:r>
      <w:r w:rsidR="003B225B" w:rsidRPr="00E15057">
        <w:t>L</w:t>
      </w:r>
      <w:r w:rsidRPr="00E15057">
        <w:t xml:space="preserve">). </w:t>
      </w:r>
      <w:r w:rsidR="00AA627A" w:rsidRPr="00E15057">
        <w:t xml:space="preserve">The topline summary will include </w:t>
      </w:r>
      <w:r w:rsidR="00475A74" w:rsidRPr="00E15057">
        <w:t>terms such as “several</w:t>
      </w:r>
      <w:r w:rsidR="00AA627A" w:rsidRPr="00E15057">
        <w:t xml:space="preserve">” to describe focus group discussions. Other acceptable terms to use to describe participants’ comments and ideas include “some,” “many,” “most,” and “a few.” Setting numerical parameters to quantify terms such as “some,” “many,” “most,” and “a few” is not a standard practice when describing qualitative </w:t>
      </w:r>
      <w:r w:rsidR="00BB2080" w:rsidRPr="00E15057">
        <w:t>data</w:t>
      </w:r>
      <w:r w:rsidR="00AA627A" w:rsidRPr="00E15057">
        <w:t xml:space="preserve"> and every attempt will be made to ensure that all comments and insights are reported in a consistent and accurate manner.</w:t>
      </w:r>
    </w:p>
    <w:p w:rsidR="00DD3FBF" w:rsidRPr="00E15057" w:rsidRDefault="00DD3FBF" w:rsidP="002236C7">
      <w:pPr>
        <w:pStyle w:val="Heading3"/>
      </w:pPr>
      <w:r w:rsidRPr="00E15057">
        <w:t>Project Time Schedule</w:t>
      </w:r>
    </w:p>
    <w:p w:rsidR="002236C7" w:rsidRPr="00E15057" w:rsidRDefault="00DD3FBF" w:rsidP="00767BFC">
      <w:pPr>
        <w:pStyle w:val="BodyText"/>
      </w:pPr>
      <w:r w:rsidRPr="00E15057">
        <w:t>Table A16-</w:t>
      </w:r>
      <w:r w:rsidR="00AA627A" w:rsidRPr="00E15057">
        <w:t>A</w:t>
      </w:r>
      <w:r w:rsidRPr="00E15057">
        <w:t xml:space="preserve"> presents the estimated timeli</w:t>
      </w:r>
      <w:r w:rsidR="003B2DCD" w:rsidRPr="00E15057">
        <w:t xml:space="preserve">ne for conducting focus groups </w:t>
      </w:r>
      <w:r w:rsidR="00104198" w:rsidRPr="00E15057">
        <w:t>after</w:t>
      </w:r>
      <w:r w:rsidR="003B2DCD" w:rsidRPr="00E15057">
        <w:t xml:space="preserve"> receipt of OMB clearance. </w:t>
      </w:r>
      <w:r w:rsidR="00900AA9">
        <w:t xml:space="preserve"> CDC plans to complete the focus group data collection before the end of the current OMB approval period for this generic clearance (OMB No. 0920-0800, exp. date 11/30/2011).</w:t>
      </w:r>
    </w:p>
    <w:p w:rsidR="00DD3FBF" w:rsidRPr="00E15057" w:rsidRDefault="00713AF6" w:rsidP="002236C7">
      <w:pPr>
        <w:pStyle w:val="ExhibitTitle"/>
      </w:pPr>
      <w:bookmarkStart w:id="32" w:name="_Toc294614794"/>
      <w:r w:rsidRPr="00E15057">
        <w:t>Table A16-A</w:t>
      </w:r>
      <w:r w:rsidR="00104198" w:rsidRPr="00E15057">
        <w:t>.</w:t>
      </w:r>
      <w:r w:rsidR="00DD3FBF" w:rsidRPr="00E15057">
        <w:t xml:space="preserve"> P</w:t>
      </w:r>
      <w:r w:rsidR="00DE65CC" w:rsidRPr="00E15057">
        <w:t xml:space="preserve">rototype </w:t>
      </w:r>
      <w:r w:rsidR="00DA327A" w:rsidRPr="00E15057">
        <w:t>F</w:t>
      </w:r>
      <w:r w:rsidR="00E620F2" w:rsidRPr="00E15057">
        <w:t xml:space="preserve">ocus </w:t>
      </w:r>
      <w:r w:rsidR="00DA327A" w:rsidRPr="00E15057">
        <w:t>G</w:t>
      </w:r>
      <w:r w:rsidR="00E620F2" w:rsidRPr="00E15057">
        <w:t xml:space="preserve">roup </w:t>
      </w:r>
      <w:r w:rsidR="00DA327A" w:rsidRPr="00E15057">
        <w:t>S</w:t>
      </w:r>
      <w:r w:rsidR="00F37A0E" w:rsidRPr="00E15057">
        <w:t>chedule</w:t>
      </w:r>
      <w:bookmarkEnd w:id="32"/>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BF"/>
      </w:tblPr>
      <w:tblGrid>
        <w:gridCol w:w="5391"/>
        <w:gridCol w:w="3969"/>
      </w:tblGrid>
      <w:tr w:rsidR="00646E29" w:rsidRPr="00E15057" w:rsidTr="002236C7">
        <w:trPr>
          <w:cantSplit/>
          <w:trHeight w:val="73"/>
          <w:jc w:val="center"/>
        </w:trPr>
        <w:tc>
          <w:tcPr>
            <w:tcW w:w="2880" w:type="pct"/>
            <w:shd w:val="clear" w:color="auto" w:fill="auto"/>
            <w:vAlign w:val="center"/>
          </w:tcPr>
          <w:p w:rsidR="00646E29" w:rsidRPr="00E15057" w:rsidRDefault="00646E29" w:rsidP="00791BD7">
            <w:pPr>
              <w:pStyle w:val="TableHeader1"/>
            </w:pPr>
            <w:r w:rsidRPr="00E15057">
              <w:t>Activity</w:t>
            </w:r>
          </w:p>
        </w:tc>
        <w:tc>
          <w:tcPr>
            <w:tcW w:w="2120" w:type="pct"/>
            <w:shd w:val="clear" w:color="auto" w:fill="auto"/>
            <w:vAlign w:val="center"/>
          </w:tcPr>
          <w:p w:rsidR="00646E29" w:rsidRPr="00E15057" w:rsidRDefault="00646E29" w:rsidP="00791BD7">
            <w:pPr>
              <w:pStyle w:val="TableHeader1"/>
            </w:pPr>
            <w:r w:rsidRPr="00E15057">
              <w:t>Time Schedule</w:t>
            </w:r>
          </w:p>
        </w:tc>
      </w:tr>
      <w:tr w:rsidR="00646E29" w:rsidRPr="00E15057" w:rsidTr="002236C7">
        <w:trPr>
          <w:cantSplit/>
          <w:trHeight w:val="73"/>
          <w:jc w:val="center"/>
        </w:trPr>
        <w:tc>
          <w:tcPr>
            <w:tcW w:w="2880" w:type="pct"/>
            <w:shd w:val="clear" w:color="auto" w:fill="auto"/>
            <w:vAlign w:val="center"/>
          </w:tcPr>
          <w:p w:rsidR="00646E29" w:rsidRPr="00E15057" w:rsidRDefault="00CC0E75" w:rsidP="00791BD7">
            <w:pPr>
              <w:pStyle w:val="TableText"/>
            </w:pPr>
            <w:r w:rsidRPr="00E15057">
              <w:t xml:space="preserve">Identify and </w:t>
            </w:r>
            <w:r w:rsidR="00104198" w:rsidRPr="00E15057">
              <w:t>recruit focus group</w:t>
            </w:r>
            <w:r w:rsidRPr="00E15057">
              <w:t xml:space="preserve"> </w:t>
            </w:r>
            <w:r w:rsidR="00104198" w:rsidRPr="00E15057">
              <w:t>participants</w:t>
            </w:r>
          </w:p>
        </w:tc>
        <w:tc>
          <w:tcPr>
            <w:tcW w:w="2120" w:type="pct"/>
            <w:shd w:val="clear" w:color="auto" w:fill="auto"/>
            <w:vAlign w:val="center"/>
          </w:tcPr>
          <w:p w:rsidR="00646E29" w:rsidRPr="00E15057" w:rsidRDefault="00646E29" w:rsidP="00791BD7">
            <w:pPr>
              <w:pStyle w:val="TableText"/>
            </w:pPr>
            <w:r w:rsidRPr="00E15057">
              <w:t>1</w:t>
            </w:r>
            <w:r w:rsidR="00104198" w:rsidRPr="00E15057">
              <w:t>–</w:t>
            </w:r>
            <w:r w:rsidR="00587263" w:rsidRPr="00E15057">
              <w:t>2 weeks</w:t>
            </w:r>
            <w:r w:rsidRPr="00E15057">
              <w:t xml:space="preserve"> after OMB approval</w:t>
            </w:r>
          </w:p>
        </w:tc>
      </w:tr>
      <w:tr w:rsidR="00EA6DBC" w:rsidRPr="00E15057" w:rsidTr="002236C7">
        <w:trPr>
          <w:cantSplit/>
          <w:trHeight w:val="73"/>
          <w:jc w:val="center"/>
        </w:trPr>
        <w:tc>
          <w:tcPr>
            <w:tcW w:w="2880" w:type="pct"/>
            <w:shd w:val="clear" w:color="auto" w:fill="auto"/>
            <w:vAlign w:val="center"/>
          </w:tcPr>
          <w:p w:rsidR="00EA6DBC" w:rsidRPr="00E15057" w:rsidRDefault="00CC0E75" w:rsidP="00791BD7">
            <w:pPr>
              <w:pStyle w:val="TableText"/>
            </w:pPr>
            <w:r w:rsidRPr="00E15057">
              <w:t xml:space="preserve">Conduct </w:t>
            </w:r>
            <w:r w:rsidR="00104198" w:rsidRPr="00E15057">
              <w:t>focus groups</w:t>
            </w:r>
          </w:p>
        </w:tc>
        <w:tc>
          <w:tcPr>
            <w:tcW w:w="2120" w:type="pct"/>
            <w:shd w:val="clear" w:color="auto" w:fill="auto"/>
            <w:vAlign w:val="center"/>
          </w:tcPr>
          <w:p w:rsidR="00EA6DBC" w:rsidRPr="00E15057" w:rsidRDefault="00587263" w:rsidP="00791BD7">
            <w:pPr>
              <w:pStyle w:val="TableText"/>
            </w:pPr>
            <w:r w:rsidRPr="00E15057">
              <w:t>3</w:t>
            </w:r>
            <w:r w:rsidR="00104198" w:rsidRPr="00E15057">
              <w:t>–</w:t>
            </w:r>
            <w:r w:rsidRPr="00E15057">
              <w:t>4 weeks</w:t>
            </w:r>
            <w:r w:rsidR="00EA6DBC" w:rsidRPr="00E15057">
              <w:t xml:space="preserve"> after OMB approval</w:t>
            </w:r>
          </w:p>
        </w:tc>
      </w:tr>
      <w:tr w:rsidR="00691255" w:rsidRPr="00E15057" w:rsidTr="002236C7">
        <w:trPr>
          <w:cantSplit/>
          <w:trHeight w:val="73"/>
          <w:jc w:val="center"/>
        </w:trPr>
        <w:tc>
          <w:tcPr>
            <w:tcW w:w="2880" w:type="pct"/>
            <w:shd w:val="clear" w:color="auto" w:fill="auto"/>
            <w:vAlign w:val="center"/>
          </w:tcPr>
          <w:p w:rsidR="00691255" w:rsidRPr="00E15057" w:rsidRDefault="00691255" w:rsidP="00791BD7">
            <w:pPr>
              <w:pStyle w:val="TableText"/>
            </w:pPr>
            <w:r w:rsidRPr="00E15057">
              <w:t>Analysis of focus group results (topline reports)</w:t>
            </w:r>
          </w:p>
        </w:tc>
        <w:tc>
          <w:tcPr>
            <w:tcW w:w="2120" w:type="pct"/>
            <w:shd w:val="clear" w:color="auto" w:fill="auto"/>
            <w:vAlign w:val="center"/>
          </w:tcPr>
          <w:p w:rsidR="00691255" w:rsidRPr="00E15057" w:rsidRDefault="00691255" w:rsidP="00791BD7">
            <w:pPr>
              <w:pStyle w:val="TableText"/>
            </w:pPr>
            <w:r w:rsidRPr="00E15057">
              <w:t>6 weeks after OMB approval</w:t>
            </w:r>
          </w:p>
        </w:tc>
      </w:tr>
      <w:tr w:rsidR="00691255" w:rsidRPr="00E15057" w:rsidTr="002236C7">
        <w:trPr>
          <w:cantSplit/>
          <w:trHeight w:val="73"/>
          <w:jc w:val="center"/>
        </w:trPr>
        <w:tc>
          <w:tcPr>
            <w:tcW w:w="2880" w:type="pct"/>
            <w:shd w:val="clear" w:color="auto" w:fill="auto"/>
            <w:vAlign w:val="center"/>
          </w:tcPr>
          <w:p w:rsidR="00691255" w:rsidRPr="00E15057" w:rsidRDefault="00691255" w:rsidP="00791BD7">
            <w:pPr>
              <w:pStyle w:val="TableText"/>
            </w:pPr>
            <w:r w:rsidRPr="00E15057">
              <w:t xml:space="preserve">Prepare </w:t>
            </w:r>
            <w:r w:rsidR="00104198" w:rsidRPr="00E15057">
              <w:t xml:space="preserve">final report </w:t>
            </w:r>
            <w:r w:rsidRPr="00E15057">
              <w:t xml:space="preserve">of </w:t>
            </w:r>
            <w:r w:rsidR="00104198" w:rsidRPr="00E15057">
              <w:t>all activities</w:t>
            </w:r>
          </w:p>
        </w:tc>
        <w:tc>
          <w:tcPr>
            <w:tcW w:w="2120" w:type="pct"/>
            <w:shd w:val="clear" w:color="auto" w:fill="auto"/>
            <w:vAlign w:val="center"/>
          </w:tcPr>
          <w:p w:rsidR="00691255" w:rsidRPr="00E15057" w:rsidRDefault="00691255" w:rsidP="00791BD7">
            <w:pPr>
              <w:pStyle w:val="TableText"/>
            </w:pPr>
            <w:r w:rsidRPr="00E15057">
              <w:t>2.5 months after OMB approval</w:t>
            </w:r>
          </w:p>
        </w:tc>
      </w:tr>
      <w:tr w:rsidR="00691255" w:rsidRPr="00E15057" w:rsidTr="002236C7">
        <w:trPr>
          <w:cantSplit/>
          <w:trHeight w:val="73"/>
          <w:jc w:val="center"/>
        </w:trPr>
        <w:tc>
          <w:tcPr>
            <w:tcW w:w="2880" w:type="pct"/>
            <w:shd w:val="clear" w:color="auto" w:fill="auto"/>
            <w:vAlign w:val="center"/>
          </w:tcPr>
          <w:p w:rsidR="00691255" w:rsidRPr="00E15057" w:rsidRDefault="00691255" w:rsidP="00791BD7">
            <w:pPr>
              <w:pStyle w:val="TableText"/>
            </w:pPr>
            <w:r w:rsidRPr="00E15057">
              <w:t xml:space="preserve">Revise or </w:t>
            </w:r>
            <w:r w:rsidR="00104198" w:rsidRPr="00E15057">
              <w:t xml:space="preserve">develop final print materials </w:t>
            </w:r>
            <w:r w:rsidRPr="00E15057">
              <w:t xml:space="preserve">and </w:t>
            </w:r>
            <w:r w:rsidR="00104198" w:rsidRPr="00E15057">
              <w:t xml:space="preserve">audio messages </w:t>
            </w:r>
            <w:r w:rsidRPr="00E15057">
              <w:t xml:space="preserve">for </w:t>
            </w:r>
            <w:r w:rsidR="00104198" w:rsidRPr="00E15057">
              <w:t xml:space="preserve">radio directed </w:t>
            </w:r>
            <w:r w:rsidRPr="00E15057">
              <w:t xml:space="preserve">at African American </w:t>
            </w:r>
            <w:r w:rsidR="00104198" w:rsidRPr="00E15057">
              <w:t>women</w:t>
            </w:r>
            <w:r w:rsidR="00535619" w:rsidRPr="00E15057">
              <w:t xml:space="preserve"> as addendum to focus group report</w:t>
            </w:r>
          </w:p>
        </w:tc>
        <w:tc>
          <w:tcPr>
            <w:tcW w:w="2120" w:type="pct"/>
            <w:shd w:val="clear" w:color="auto" w:fill="auto"/>
            <w:vAlign w:val="center"/>
          </w:tcPr>
          <w:p w:rsidR="00691255" w:rsidRPr="00E15057" w:rsidRDefault="00691255" w:rsidP="00791BD7">
            <w:pPr>
              <w:pStyle w:val="TableText"/>
            </w:pPr>
            <w:r w:rsidRPr="00E15057">
              <w:t>5 months after OMB approval</w:t>
            </w:r>
          </w:p>
        </w:tc>
      </w:tr>
    </w:tbl>
    <w:p w:rsidR="00DD3FBF" w:rsidRPr="00E15057" w:rsidRDefault="00DD3FBF" w:rsidP="002236C7"/>
    <w:p w:rsidR="00E727EF" w:rsidRPr="00E15057" w:rsidRDefault="00D04AC0" w:rsidP="002236C7">
      <w:pPr>
        <w:pStyle w:val="BodyText"/>
      </w:pPr>
      <w:r w:rsidRPr="00E15057">
        <w:t xml:space="preserve">Focus group findings will </w:t>
      </w:r>
      <w:r w:rsidR="00535619" w:rsidRPr="00E15057">
        <w:t xml:space="preserve">guide modifications to </w:t>
      </w:r>
      <w:r w:rsidR="00997793" w:rsidRPr="00E15057">
        <w:t xml:space="preserve">existing </w:t>
      </w:r>
      <w:r w:rsidR="00857E63" w:rsidRPr="00E15057">
        <w:t xml:space="preserve">AAMM </w:t>
      </w:r>
      <w:r w:rsidR="00997793" w:rsidRPr="00E15057">
        <w:t>materials</w:t>
      </w:r>
      <w:r w:rsidR="005434C2" w:rsidRPr="00E15057">
        <w:t xml:space="preserve">. </w:t>
      </w:r>
      <w:r w:rsidR="00104198" w:rsidRPr="00E15057">
        <w:t>In addition</w:t>
      </w:r>
      <w:r w:rsidR="005434C2" w:rsidRPr="00E15057">
        <w:t xml:space="preserve">, </w:t>
      </w:r>
      <w:r w:rsidR="00535619" w:rsidRPr="00E15057">
        <w:t xml:space="preserve">the </w:t>
      </w:r>
      <w:r w:rsidR="005434C2" w:rsidRPr="00E15057">
        <w:t xml:space="preserve">findings </w:t>
      </w:r>
      <w:r w:rsidR="00DD3FBF" w:rsidRPr="00E15057">
        <w:t>will be disseminated through presentations</w:t>
      </w:r>
      <w:r w:rsidR="005434C2" w:rsidRPr="00E15057">
        <w:t xml:space="preserve"> and/or posters</w:t>
      </w:r>
      <w:r w:rsidR="00AF5787" w:rsidRPr="00E15057">
        <w:t xml:space="preserve"> at</w:t>
      </w:r>
      <w:r w:rsidR="00DD3FBF" w:rsidRPr="00E15057">
        <w:t xml:space="preserve"> meetings and </w:t>
      </w:r>
      <w:r w:rsidR="00104198" w:rsidRPr="00E15057">
        <w:t xml:space="preserve">as </w:t>
      </w:r>
      <w:r w:rsidR="00DD3FBF" w:rsidRPr="00E15057">
        <w:t xml:space="preserve">publications in peer-reviewed journals. All abstracts, poster presentations, and manuscripts will undergo CDC clearance review </w:t>
      </w:r>
      <w:r w:rsidR="00F8331F" w:rsidRPr="00E15057">
        <w:t>before</w:t>
      </w:r>
      <w:r w:rsidR="00DD3FBF" w:rsidRPr="00E15057">
        <w:t xml:space="preserve"> submissi</w:t>
      </w:r>
      <w:r w:rsidR="00A67724" w:rsidRPr="00E15057">
        <w:t>on to conferences or journals.</w:t>
      </w:r>
    </w:p>
    <w:p w:rsidR="00DD3FBF" w:rsidRPr="00E15057" w:rsidRDefault="00DD3FBF" w:rsidP="002236C7">
      <w:pPr>
        <w:pStyle w:val="Heading2"/>
      </w:pPr>
      <w:bookmarkStart w:id="33" w:name="_Toc304819996"/>
      <w:r w:rsidRPr="00E15057">
        <w:t>A17. Reason(s) Display of OMB Expiration Date Is Inappropriate</w:t>
      </w:r>
      <w:bookmarkEnd w:id="33"/>
    </w:p>
    <w:p w:rsidR="00DB656C" w:rsidRPr="00E15057" w:rsidRDefault="00041C06" w:rsidP="002236C7">
      <w:pPr>
        <w:pStyle w:val="BodyText"/>
      </w:pPr>
      <w:r w:rsidRPr="00E15057">
        <w:t>An exemption to displaying the OMB expiration date is not being requested.</w:t>
      </w:r>
    </w:p>
    <w:p w:rsidR="00DD3FBF" w:rsidRPr="00E15057" w:rsidRDefault="00DD3FBF" w:rsidP="002236C7">
      <w:pPr>
        <w:pStyle w:val="Heading2"/>
      </w:pPr>
      <w:bookmarkStart w:id="34" w:name="_Toc304819997"/>
      <w:r w:rsidRPr="00E15057">
        <w:t>A18. Exemptions to Certification for Paperwork Reduction Act Submissions</w:t>
      </w:r>
      <w:bookmarkEnd w:id="25"/>
      <w:bookmarkEnd w:id="34"/>
    </w:p>
    <w:p w:rsidR="003F6730" w:rsidRPr="00E15057" w:rsidRDefault="00E727EF" w:rsidP="002236C7">
      <w:pPr>
        <w:pStyle w:val="BodyText"/>
      </w:pPr>
      <w:r w:rsidRPr="00E15057">
        <w:t xml:space="preserve">Not applicable. </w:t>
      </w:r>
      <w:r w:rsidR="00DD3FBF" w:rsidRPr="00E15057">
        <w:t>No certification exemption is being sought.</w:t>
      </w:r>
    </w:p>
    <w:p w:rsidR="00430F50" w:rsidRPr="00E15057" w:rsidRDefault="00450F34" w:rsidP="009D791F">
      <w:pPr>
        <w:pStyle w:val="Heading1"/>
      </w:pPr>
      <w:r w:rsidRPr="00E15057">
        <w:br w:type="page"/>
      </w:r>
      <w:bookmarkStart w:id="35" w:name="_Toc304819998"/>
      <w:r w:rsidR="007B4F13" w:rsidRPr="00E15057">
        <w:lastRenderedPageBreak/>
        <w:t>References</w:t>
      </w:r>
      <w:bookmarkEnd w:id="35"/>
    </w:p>
    <w:p w:rsidR="007B4F13" w:rsidRPr="00E15057" w:rsidRDefault="00430F50" w:rsidP="009D791F">
      <w:pPr>
        <w:pStyle w:val="BodyText"/>
      </w:pPr>
      <w:proofErr w:type="spellStart"/>
      <w:proofErr w:type="gramStart"/>
      <w:r w:rsidRPr="00E15057">
        <w:t>Atkin</w:t>
      </w:r>
      <w:proofErr w:type="spellEnd"/>
      <w:r w:rsidRPr="00E15057">
        <w:t xml:space="preserve">, C. K., &amp; </w:t>
      </w:r>
      <w:proofErr w:type="spellStart"/>
      <w:r w:rsidRPr="00E15057">
        <w:t>Freimuth</w:t>
      </w:r>
      <w:proofErr w:type="spellEnd"/>
      <w:r w:rsidRPr="00E15057">
        <w:t>, V. (1989).</w:t>
      </w:r>
      <w:proofErr w:type="gramEnd"/>
      <w:r w:rsidRPr="00E15057">
        <w:t xml:space="preserve"> </w:t>
      </w:r>
      <w:proofErr w:type="gramStart"/>
      <w:r w:rsidRPr="00E15057">
        <w:t>Formative evaluation research in campaign design.</w:t>
      </w:r>
      <w:proofErr w:type="gramEnd"/>
      <w:r w:rsidRPr="00E15057">
        <w:t xml:space="preserve"> In R. E. Rice &amp; C. K. </w:t>
      </w:r>
      <w:proofErr w:type="spellStart"/>
      <w:r w:rsidRPr="00E15057">
        <w:t>Atkin</w:t>
      </w:r>
      <w:proofErr w:type="spellEnd"/>
      <w:r w:rsidRPr="00E15057">
        <w:t xml:space="preserve"> (Eds.), </w:t>
      </w:r>
      <w:r w:rsidR="00DF21F9" w:rsidRPr="00E15057">
        <w:rPr>
          <w:i/>
        </w:rPr>
        <w:t>Public communication campaigns</w:t>
      </w:r>
      <w:r w:rsidRPr="00E15057">
        <w:t xml:space="preserve"> (2nd ed., pp. 131–150). Newbury Park, CA: Sage.</w:t>
      </w:r>
    </w:p>
    <w:p w:rsidR="00430F50" w:rsidRPr="00E15057" w:rsidRDefault="00430F50" w:rsidP="009D791F">
      <w:pPr>
        <w:pStyle w:val="BodyText"/>
      </w:pPr>
      <w:proofErr w:type="spellStart"/>
      <w:r w:rsidRPr="00E15057">
        <w:t>Berkman</w:t>
      </w:r>
      <w:proofErr w:type="spellEnd"/>
      <w:r w:rsidRPr="00E15057">
        <w:t xml:space="preserve">, N. D., </w:t>
      </w:r>
      <w:proofErr w:type="spellStart"/>
      <w:r w:rsidRPr="00E15057">
        <w:t>DeWalt</w:t>
      </w:r>
      <w:proofErr w:type="spellEnd"/>
      <w:r w:rsidRPr="00E15057">
        <w:t xml:space="preserve">, D. A., </w:t>
      </w:r>
      <w:proofErr w:type="spellStart"/>
      <w:r w:rsidRPr="00E15057">
        <w:t>Pignone</w:t>
      </w:r>
      <w:proofErr w:type="spellEnd"/>
      <w:r w:rsidRPr="00E15057">
        <w:t xml:space="preserve">, M. P., Sheridan, S. L., </w:t>
      </w:r>
      <w:proofErr w:type="spellStart"/>
      <w:r w:rsidRPr="00E15057">
        <w:t>Lohr</w:t>
      </w:r>
      <w:proofErr w:type="spellEnd"/>
      <w:r w:rsidRPr="00E15057">
        <w:t xml:space="preserve">, K. N., </w:t>
      </w:r>
      <w:proofErr w:type="spellStart"/>
      <w:r w:rsidRPr="00E15057">
        <w:t>Lux</w:t>
      </w:r>
      <w:proofErr w:type="spellEnd"/>
      <w:r w:rsidRPr="00E15057">
        <w:t xml:space="preserve">, L., et al. (2004). </w:t>
      </w:r>
      <w:proofErr w:type="gramStart"/>
      <w:r w:rsidRPr="00E15057">
        <w:rPr>
          <w:i/>
        </w:rPr>
        <w:t>Literacy and health outcomes</w:t>
      </w:r>
      <w:r w:rsidRPr="00E15057">
        <w:t xml:space="preserve"> (Evidence Report/Technology Assessment No. 87/AHRQ Publication No. 04-E007-1).</w:t>
      </w:r>
      <w:proofErr w:type="gramEnd"/>
      <w:r w:rsidRPr="00E15057">
        <w:t xml:space="preserve"> Rockville, MD: Agency for Healthcare Research and Quality.</w:t>
      </w:r>
    </w:p>
    <w:p w:rsidR="006D7159" w:rsidRPr="00E15057" w:rsidRDefault="00750D42" w:rsidP="009D791F">
      <w:pPr>
        <w:pStyle w:val="BodyText"/>
      </w:pPr>
      <w:proofErr w:type="gramStart"/>
      <w:r w:rsidRPr="00E15057">
        <w:t>Centers for Disease Control and Prevention.</w:t>
      </w:r>
      <w:proofErr w:type="gramEnd"/>
      <w:r w:rsidRPr="00E15057">
        <w:t xml:space="preserve"> (2010). </w:t>
      </w:r>
      <w:r w:rsidR="00DF21F9" w:rsidRPr="00E15057">
        <w:rPr>
          <w:i/>
        </w:rPr>
        <w:t>National Breast and Cervical Cancer Early Detection Program: About the program</w:t>
      </w:r>
      <w:r w:rsidRPr="00E15057">
        <w:t xml:space="preserve">. </w:t>
      </w:r>
      <w:r w:rsidR="0046652A" w:rsidRPr="00E15057">
        <w:t xml:space="preserve">Atlanta, GA: Author. </w:t>
      </w:r>
      <w:r w:rsidRPr="00E15057">
        <w:t>Retrieved August 19, 2010, from http://www.cdc.gov/cancer/nbccedp/about.htm#ac</w:t>
      </w:r>
    </w:p>
    <w:p w:rsidR="006D7159" w:rsidRPr="00E15057" w:rsidRDefault="006D7159" w:rsidP="009D791F">
      <w:pPr>
        <w:pStyle w:val="BodyText"/>
      </w:pPr>
      <w:proofErr w:type="gramStart"/>
      <w:r w:rsidRPr="00E15057">
        <w:t xml:space="preserve">Chen, N., Kohler, C., </w:t>
      </w:r>
      <w:proofErr w:type="spellStart"/>
      <w:r w:rsidRPr="00E15057">
        <w:t>Schoenberger</w:t>
      </w:r>
      <w:proofErr w:type="spellEnd"/>
      <w:r w:rsidRPr="00E15057">
        <w:t>, Y., Suzuki-</w:t>
      </w:r>
      <w:proofErr w:type="spellStart"/>
      <w:r w:rsidRPr="00E15057">
        <w:t>Crumly</w:t>
      </w:r>
      <w:proofErr w:type="spellEnd"/>
      <w:r w:rsidRPr="00E15057">
        <w:t xml:space="preserve">, J., Davis, K., </w:t>
      </w:r>
      <w:r w:rsidR="0046652A" w:rsidRPr="00E15057">
        <w:t xml:space="preserve">&amp; </w:t>
      </w:r>
      <w:r w:rsidRPr="00E15057">
        <w:t xml:space="preserve">Powell, J. </w:t>
      </w:r>
      <w:r w:rsidR="0046652A" w:rsidRPr="00E15057">
        <w:t>(2009).</w:t>
      </w:r>
      <w:proofErr w:type="gramEnd"/>
      <w:r w:rsidR="0046652A" w:rsidRPr="00E15057">
        <w:t xml:space="preserve"> </w:t>
      </w:r>
      <w:proofErr w:type="spellStart"/>
      <w:r w:rsidRPr="00E15057">
        <w:t>BodyLove</w:t>
      </w:r>
      <w:proofErr w:type="spellEnd"/>
      <w:r w:rsidRPr="00E15057">
        <w:t xml:space="preserve">: The </w:t>
      </w:r>
      <w:r w:rsidR="0046652A" w:rsidRPr="00E15057">
        <w:t xml:space="preserve">impact </w:t>
      </w:r>
      <w:r w:rsidRPr="00E15057">
        <w:t xml:space="preserve">of </w:t>
      </w:r>
      <w:r w:rsidR="0046652A" w:rsidRPr="00E15057">
        <w:t xml:space="preserve">targeted radio educational entertainment </w:t>
      </w:r>
      <w:r w:rsidRPr="00E15057">
        <w:t>on</w:t>
      </w:r>
      <w:r w:rsidR="0046652A" w:rsidRPr="00E15057">
        <w:t xml:space="preserve"> health knowledge</w:t>
      </w:r>
      <w:r w:rsidRPr="00E15057">
        <w:t xml:space="preserve">, </w:t>
      </w:r>
      <w:r w:rsidR="0046652A" w:rsidRPr="00E15057">
        <w:t xml:space="preserve">attitudes </w:t>
      </w:r>
      <w:r w:rsidRPr="00E15057">
        <w:t xml:space="preserve">and </w:t>
      </w:r>
      <w:r w:rsidR="0046652A" w:rsidRPr="00E15057">
        <w:t xml:space="preserve">behavior </w:t>
      </w:r>
      <w:r w:rsidRPr="00E15057">
        <w:t xml:space="preserve">among African-Americans. </w:t>
      </w:r>
      <w:r w:rsidR="00DF21F9" w:rsidRPr="00E15057">
        <w:rPr>
          <w:i/>
        </w:rPr>
        <w:t>Cases in Public Health Communication &amp; Marketing, 3</w:t>
      </w:r>
      <w:r w:rsidR="005A194E" w:rsidRPr="00E15057">
        <w:t xml:space="preserve">, </w:t>
      </w:r>
      <w:r w:rsidRPr="00E15057">
        <w:t>92</w:t>
      </w:r>
      <w:r w:rsidR="005A194E" w:rsidRPr="00E15057">
        <w:t>–</w:t>
      </w:r>
      <w:r w:rsidRPr="00E15057">
        <w:t>113.</w:t>
      </w:r>
    </w:p>
    <w:p w:rsidR="00430F50" w:rsidRPr="00E15057" w:rsidRDefault="00A67724" w:rsidP="009D791F">
      <w:pPr>
        <w:pStyle w:val="BodyText"/>
      </w:pPr>
      <w:r w:rsidRPr="00E15057">
        <w:t>Church, A.</w:t>
      </w:r>
      <w:r w:rsidR="005A194E" w:rsidRPr="00E15057">
        <w:t xml:space="preserve"> </w:t>
      </w:r>
      <w:r w:rsidRPr="00E15057">
        <w:t xml:space="preserve">H. (1993). </w:t>
      </w:r>
      <w:proofErr w:type="gramStart"/>
      <w:r w:rsidR="00430F50" w:rsidRPr="00E15057">
        <w:t xml:space="preserve">Estimating the </w:t>
      </w:r>
      <w:r w:rsidR="005A194E" w:rsidRPr="00E15057">
        <w:t xml:space="preserve">effect </w:t>
      </w:r>
      <w:r w:rsidR="00430F50" w:rsidRPr="00E15057">
        <w:t xml:space="preserve">of </w:t>
      </w:r>
      <w:r w:rsidR="005A194E" w:rsidRPr="00E15057">
        <w:t xml:space="preserve">incentives </w:t>
      </w:r>
      <w:r w:rsidR="00430F50" w:rsidRPr="00E15057">
        <w:t xml:space="preserve">on </w:t>
      </w:r>
      <w:r w:rsidR="005A194E" w:rsidRPr="00E15057">
        <w:t>mail survey response rates</w:t>
      </w:r>
      <w:r w:rsidRPr="00E15057">
        <w:t xml:space="preserve">: </w:t>
      </w:r>
      <w:r w:rsidR="00430F50" w:rsidRPr="00E15057">
        <w:t>A</w:t>
      </w:r>
      <w:r w:rsidR="00430F50" w:rsidRPr="00E15057">
        <w:rPr>
          <w:i/>
        </w:rPr>
        <w:t xml:space="preserve"> </w:t>
      </w:r>
      <w:r w:rsidR="005A194E" w:rsidRPr="00E15057">
        <w:t>meta-analysis</w:t>
      </w:r>
      <w:r w:rsidR="00430F50" w:rsidRPr="00E15057">
        <w:t>.</w:t>
      </w:r>
      <w:proofErr w:type="gramEnd"/>
      <w:r w:rsidR="00430F50" w:rsidRPr="00E15057">
        <w:t xml:space="preserve"> </w:t>
      </w:r>
      <w:r w:rsidR="00430F50" w:rsidRPr="00E15057">
        <w:rPr>
          <w:i/>
        </w:rPr>
        <w:t>Public Opinion Quarterly, 57,</w:t>
      </w:r>
      <w:r w:rsidR="00430F50" w:rsidRPr="00E15057">
        <w:t xml:space="preserve"> 62</w:t>
      </w:r>
      <w:r w:rsidR="00A83F37" w:rsidRPr="00E15057">
        <w:t>–</w:t>
      </w:r>
      <w:r w:rsidR="00430F50" w:rsidRPr="00E15057">
        <w:t>79.</w:t>
      </w:r>
    </w:p>
    <w:p w:rsidR="00750D42" w:rsidRPr="00E15057" w:rsidRDefault="00430F50" w:rsidP="009D791F">
      <w:pPr>
        <w:pStyle w:val="BodyText"/>
      </w:pPr>
      <w:r w:rsidRPr="00E15057">
        <w:t xml:space="preserve">Davis, T. C., </w:t>
      </w:r>
      <w:proofErr w:type="spellStart"/>
      <w:r w:rsidRPr="00E15057">
        <w:t>Berkel</w:t>
      </w:r>
      <w:proofErr w:type="spellEnd"/>
      <w:r w:rsidRPr="00E15057">
        <w:t xml:space="preserve">, H. J., Arnold, C. L., </w:t>
      </w:r>
      <w:proofErr w:type="spellStart"/>
      <w:r w:rsidRPr="00E15057">
        <w:t>Nandy</w:t>
      </w:r>
      <w:proofErr w:type="spellEnd"/>
      <w:r w:rsidRPr="00E15057">
        <w:t xml:space="preserve">, I., Jackson, R. H., &amp; Murphy, P. W. (1998). </w:t>
      </w:r>
      <w:proofErr w:type="gramStart"/>
      <w:r w:rsidRPr="00E15057">
        <w:t>Intervention to increase mammography utilization in a public hospital.</w:t>
      </w:r>
      <w:proofErr w:type="gramEnd"/>
      <w:r w:rsidRPr="00E15057">
        <w:t xml:space="preserve"> </w:t>
      </w:r>
      <w:r w:rsidRPr="00E15057">
        <w:rPr>
          <w:i/>
        </w:rPr>
        <w:t>Journal of General Internal Medicine, 13,</w:t>
      </w:r>
      <w:r w:rsidRPr="00E15057">
        <w:t xml:space="preserve"> 230–233.</w:t>
      </w:r>
    </w:p>
    <w:p w:rsidR="006354F6" w:rsidRPr="00E15057" w:rsidRDefault="006354F6" w:rsidP="009D791F">
      <w:pPr>
        <w:pStyle w:val="BodyText"/>
        <w:rPr>
          <w:snapToGrid w:val="0"/>
        </w:rPr>
      </w:pPr>
      <w:r w:rsidRPr="00E15057">
        <w:rPr>
          <w:snapToGrid w:val="0"/>
        </w:rPr>
        <w:t>Edmunds</w:t>
      </w:r>
      <w:r w:rsidR="00A83F37" w:rsidRPr="00E15057">
        <w:rPr>
          <w:snapToGrid w:val="0"/>
        </w:rPr>
        <w:t>,</w:t>
      </w:r>
      <w:r w:rsidRPr="00E15057">
        <w:rPr>
          <w:snapToGrid w:val="0"/>
        </w:rPr>
        <w:t xml:space="preserve"> H. (1999). </w:t>
      </w:r>
      <w:proofErr w:type="gramStart"/>
      <w:r w:rsidRPr="00E15057">
        <w:rPr>
          <w:i/>
          <w:snapToGrid w:val="0"/>
        </w:rPr>
        <w:t xml:space="preserve">The </w:t>
      </w:r>
      <w:r w:rsidR="00A83F37" w:rsidRPr="00E15057">
        <w:rPr>
          <w:i/>
          <w:snapToGrid w:val="0"/>
        </w:rPr>
        <w:t>f</w:t>
      </w:r>
      <w:r w:rsidRPr="00E15057">
        <w:rPr>
          <w:i/>
          <w:snapToGrid w:val="0"/>
        </w:rPr>
        <w:t xml:space="preserve">ocus </w:t>
      </w:r>
      <w:r w:rsidR="00A83F37" w:rsidRPr="00E15057">
        <w:rPr>
          <w:i/>
          <w:snapToGrid w:val="0"/>
        </w:rPr>
        <w:t>g</w:t>
      </w:r>
      <w:r w:rsidRPr="00E15057">
        <w:rPr>
          <w:i/>
          <w:snapToGrid w:val="0"/>
        </w:rPr>
        <w:t xml:space="preserve">roup </w:t>
      </w:r>
      <w:r w:rsidR="00A83F37" w:rsidRPr="00E15057">
        <w:rPr>
          <w:i/>
          <w:snapToGrid w:val="0"/>
        </w:rPr>
        <w:t>r</w:t>
      </w:r>
      <w:r w:rsidRPr="00E15057">
        <w:rPr>
          <w:i/>
          <w:snapToGrid w:val="0"/>
        </w:rPr>
        <w:t xml:space="preserve">esearch </w:t>
      </w:r>
      <w:r w:rsidR="00A83F37" w:rsidRPr="00E15057">
        <w:rPr>
          <w:i/>
          <w:snapToGrid w:val="0"/>
        </w:rPr>
        <w:t>h</w:t>
      </w:r>
      <w:r w:rsidRPr="00E15057">
        <w:rPr>
          <w:i/>
          <w:snapToGrid w:val="0"/>
        </w:rPr>
        <w:t>andbook</w:t>
      </w:r>
      <w:r w:rsidRPr="00E15057">
        <w:rPr>
          <w:snapToGrid w:val="0"/>
        </w:rPr>
        <w:t>.</w:t>
      </w:r>
      <w:proofErr w:type="gramEnd"/>
      <w:r w:rsidRPr="00E15057">
        <w:rPr>
          <w:snapToGrid w:val="0"/>
        </w:rPr>
        <w:t xml:space="preserve"> Chicago: NTC Business Books.</w:t>
      </w:r>
    </w:p>
    <w:p w:rsidR="00430F50" w:rsidRPr="00E15057" w:rsidRDefault="00430F50" w:rsidP="009D791F">
      <w:pPr>
        <w:pStyle w:val="BodyText"/>
      </w:pPr>
      <w:proofErr w:type="gramStart"/>
      <w:r w:rsidRPr="00E15057">
        <w:t xml:space="preserve">Groves, R., &amp; </w:t>
      </w:r>
      <w:proofErr w:type="spellStart"/>
      <w:r w:rsidRPr="00E15057">
        <w:t>Couper</w:t>
      </w:r>
      <w:proofErr w:type="spellEnd"/>
      <w:r w:rsidRPr="00E15057">
        <w:t>, M. (1998).</w:t>
      </w:r>
      <w:proofErr w:type="gramEnd"/>
      <w:r w:rsidRPr="00E15057">
        <w:t xml:space="preserve"> </w:t>
      </w:r>
      <w:proofErr w:type="gramStart"/>
      <w:r w:rsidRPr="00E15057">
        <w:rPr>
          <w:i/>
        </w:rPr>
        <w:t>Nonresponse in household interview surveys.</w:t>
      </w:r>
      <w:proofErr w:type="gramEnd"/>
      <w:r w:rsidRPr="00E15057">
        <w:t xml:space="preserve"> New York: John Wiley &amp; Sons.</w:t>
      </w:r>
    </w:p>
    <w:p w:rsidR="00056900" w:rsidRPr="00E15057" w:rsidRDefault="00056900" w:rsidP="009D791F">
      <w:pPr>
        <w:pStyle w:val="BodyText"/>
      </w:pPr>
      <w:proofErr w:type="gramStart"/>
      <w:r w:rsidRPr="00E15057">
        <w:rPr>
          <w:rStyle w:val="googqs-tidbit"/>
        </w:rPr>
        <w:t>Hall IJ, Johnson-Turbes CA, Williams KN. (2010).</w:t>
      </w:r>
      <w:proofErr w:type="gramEnd"/>
      <w:r w:rsidRPr="00E15057">
        <w:rPr>
          <w:rStyle w:val="googqs-tidbit"/>
        </w:rPr>
        <w:t xml:space="preserve"> </w:t>
      </w:r>
      <w:proofErr w:type="gramStart"/>
      <w:r w:rsidRPr="00E15057">
        <w:rPr>
          <w:rStyle w:val="googqs-tidbit"/>
        </w:rPr>
        <w:t>The potential of black radio to disseminate health messages and reduce disparities.</w:t>
      </w:r>
      <w:proofErr w:type="gramEnd"/>
      <w:r w:rsidRPr="00E15057">
        <w:t xml:space="preserve"> Preventing Chronic Disease</w:t>
      </w:r>
      <w:proofErr w:type="gramStart"/>
      <w:r w:rsidRPr="00E15057">
        <w:t>;7</w:t>
      </w:r>
      <w:proofErr w:type="gramEnd"/>
      <w:r w:rsidRPr="00E15057">
        <w:t xml:space="preserve">(4). </w:t>
      </w:r>
      <w:hyperlink r:id="rId16" w:history="1">
        <w:r w:rsidRPr="00E15057">
          <w:rPr>
            <w:rStyle w:val="Hyperlink"/>
          </w:rPr>
          <w:t>http://www.cdc.gov./pcd/issues/2010/jul/09_0194.htm</w:t>
        </w:r>
      </w:hyperlink>
      <w:r w:rsidRPr="00E15057">
        <w:t xml:space="preserve">. Accessed </w:t>
      </w:r>
      <w:r w:rsidRPr="00E15057">
        <w:rPr>
          <w:i/>
          <w:iCs/>
        </w:rPr>
        <w:t>May 31, 2011</w:t>
      </w:r>
    </w:p>
    <w:p w:rsidR="00430F50" w:rsidRPr="00E15057" w:rsidRDefault="00430F50" w:rsidP="009D791F">
      <w:pPr>
        <w:pStyle w:val="BodyText"/>
      </w:pPr>
      <w:proofErr w:type="gramStart"/>
      <w:r w:rsidRPr="00E15057">
        <w:t xml:space="preserve">Johnson, P., &amp; </w:t>
      </w:r>
      <w:proofErr w:type="spellStart"/>
      <w:r w:rsidRPr="00E15057">
        <w:t>Birk</w:t>
      </w:r>
      <w:proofErr w:type="spellEnd"/>
      <w:r w:rsidRPr="00E15057">
        <w:t>, T. A. (1993, April).</w:t>
      </w:r>
      <w:proofErr w:type="gramEnd"/>
      <w:r w:rsidRPr="00E15057">
        <w:t xml:space="preserve"> </w:t>
      </w:r>
      <w:r w:rsidRPr="00E15057">
        <w:rPr>
          <w:i/>
        </w:rPr>
        <w:t>Community service partnerships: African-American owned radio’s commitment to education.</w:t>
      </w:r>
      <w:r w:rsidRPr="00E15057">
        <w:t xml:space="preserve"> Paper presented at the annual meeting of the Broadcast Education Association. </w:t>
      </w:r>
    </w:p>
    <w:p w:rsidR="006354F6" w:rsidRPr="00E15057" w:rsidRDefault="006354F6" w:rsidP="009D791F">
      <w:pPr>
        <w:pStyle w:val="BodyText"/>
        <w:rPr>
          <w:snapToGrid w:val="0"/>
        </w:rPr>
      </w:pPr>
      <w:r w:rsidRPr="00E15057">
        <w:t xml:space="preserve">Krueger RA, Casey MA. (2000). </w:t>
      </w:r>
      <w:r w:rsidRPr="00E15057">
        <w:rPr>
          <w:i/>
        </w:rPr>
        <w:t xml:space="preserve">Focus Groups: A Practical Guide for Applied Research. 3rd ed. </w:t>
      </w:r>
      <w:r w:rsidRPr="00E15057">
        <w:t>Thousand Oaks, CA: Sage Publications</w:t>
      </w:r>
      <w:r w:rsidRPr="00E15057">
        <w:rPr>
          <w:snapToGrid w:val="0"/>
        </w:rPr>
        <w:t>.</w:t>
      </w:r>
    </w:p>
    <w:p w:rsidR="00430F50" w:rsidRPr="00E15057" w:rsidRDefault="00430F50" w:rsidP="009D791F">
      <w:pPr>
        <w:pStyle w:val="BodyText"/>
      </w:pPr>
      <w:proofErr w:type="gramStart"/>
      <w:r w:rsidRPr="00E15057">
        <w:t xml:space="preserve">O’Malley, A., </w:t>
      </w:r>
      <w:proofErr w:type="spellStart"/>
      <w:r w:rsidRPr="00E15057">
        <w:t>Kerner</w:t>
      </w:r>
      <w:proofErr w:type="spellEnd"/>
      <w:r w:rsidRPr="00E15057">
        <w:t>, J., &amp; Johnson, L. (1999).</w:t>
      </w:r>
      <w:proofErr w:type="gramEnd"/>
      <w:r w:rsidRPr="00E15057">
        <w:t xml:space="preserve"> Are we getting the message out to all? </w:t>
      </w:r>
      <w:proofErr w:type="gramStart"/>
      <w:r w:rsidRPr="00E15057">
        <w:t>Health information sources and ethnicity.</w:t>
      </w:r>
      <w:proofErr w:type="gramEnd"/>
      <w:r w:rsidRPr="00E15057">
        <w:t xml:space="preserve"> </w:t>
      </w:r>
      <w:r w:rsidRPr="00E15057">
        <w:rPr>
          <w:i/>
        </w:rPr>
        <w:t>American Journal of Preventive Medicine, 17</w:t>
      </w:r>
      <w:r w:rsidRPr="00E15057">
        <w:t>(3), 198–202.</w:t>
      </w:r>
    </w:p>
    <w:p w:rsidR="00430F50" w:rsidRPr="00E15057" w:rsidRDefault="00430F50" w:rsidP="009D791F">
      <w:pPr>
        <w:pStyle w:val="BodyText"/>
      </w:pPr>
      <w:proofErr w:type="gramStart"/>
      <w:r w:rsidRPr="00E15057">
        <w:t>Palmer, E. (1981) Shaping persuasive messages with formative research.</w:t>
      </w:r>
      <w:proofErr w:type="gramEnd"/>
      <w:r w:rsidRPr="00E15057">
        <w:t xml:space="preserve"> </w:t>
      </w:r>
      <w:proofErr w:type="gramStart"/>
      <w:r w:rsidRPr="00E15057">
        <w:t>In R.</w:t>
      </w:r>
      <w:r w:rsidR="005A194E" w:rsidRPr="00E15057">
        <w:t xml:space="preserve"> </w:t>
      </w:r>
      <w:r w:rsidR="00A83F37" w:rsidRPr="00E15057">
        <w:t>E. Rice &amp;</w:t>
      </w:r>
      <w:r w:rsidRPr="00E15057">
        <w:t xml:space="preserve"> W.</w:t>
      </w:r>
      <w:r w:rsidR="005A194E" w:rsidRPr="00E15057">
        <w:t xml:space="preserve"> </w:t>
      </w:r>
      <w:r w:rsidRPr="00E15057">
        <w:t>J. Paisley (</w:t>
      </w:r>
      <w:r w:rsidR="005A194E" w:rsidRPr="00E15057">
        <w:t>Eds</w:t>
      </w:r>
      <w:r w:rsidRPr="00E15057">
        <w:t xml:space="preserve">.), </w:t>
      </w:r>
      <w:r w:rsidR="00DF21F9" w:rsidRPr="00E15057">
        <w:rPr>
          <w:i/>
        </w:rPr>
        <w:t>Public communication campaigns</w:t>
      </w:r>
      <w:r w:rsidRPr="00E15057">
        <w:t>.</w:t>
      </w:r>
      <w:proofErr w:type="gramEnd"/>
      <w:r w:rsidRPr="00E15057">
        <w:t xml:space="preserve"> Thousand Oaks, CA: Sage Publications.</w:t>
      </w:r>
    </w:p>
    <w:p w:rsidR="006354F6" w:rsidRPr="00E15057" w:rsidRDefault="006354F6" w:rsidP="009D791F">
      <w:pPr>
        <w:pStyle w:val="BodyText"/>
      </w:pPr>
      <w:r w:rsidRPr="00E15057">
        <w:t xml:space="preserve">Patton, M. Q. (1990). </w:t>
      </w:r>
      <w:proofErr w:type="gramStart"/>
      <w:r w:rsidRPr="00E15057">
        <w:rPr>
          <w:i/>
        </w:rPr>
        <w:t>Qualitative evaluation and research methods.</w:t>
      </w:r>
      <w:proofErr w:type="gramEnd"/>
      <w:r w:rsidRPr="00E15057">
        <w:t xml:space="preserve"> Newbury Park, CA: S</w:t>
      </w:r>
      <w:r w:rsidR="00A83F37" w:rsidRPr="00E15057">
        <w:t>age</w:t>
      </w:r>
      <w:r w:rsidRPr="00E15057">
        <w:t xml:space="preserve"> Publications.</w:t>
      </w:r>
    </w:p>
    <w:p w:rsidR="00430F50" w:rsidRPr="00E15057" w:rsidRDefault="00430F50" w:rsidP="009D791F">
      <w:pPr>
        <w:pStyle w:val="BodyText"/>
      </w:pPr>
      <w:proofErr w:type="spellStart"/>
      <w:proofErr w:type="gramStart"/>
      <w:r w:rsidRPr="00E15057">
        <w:t>Salant</w:t>
      </w:r>
      <w:proofErr w:type="spellEnd"/>
      <w:r w:rsidRPr="00E15057">
        <w:t xml:space="preserve">, P., &amp; </w:t>
      </w:r>
      <w:proofErr w:type="spellStart"/>
      <w:r w:rsidRPr="00E15057">
        <w:t>Dillman</w:t>
      </w:r>
      <w:proofErr w:type="spellEnd"/>
      <w:r w:rsidRPr="00E15057">
        <w:t>, D. A. (1994).</w:t>
      </w:r>
      <w:proofErr w:type="gramEnd"/>
      <w:r w:rsidRPr="00E15057">
        <w:t xml:space="preserve"> </w:t>
      </w:r>
      <w:proofErr w:type="gramStart"/>
      <w:r w:rsidRPr="00E15057">
        <w:rPr>
          <w:i/>
        </w:rPr>
        <w:t>How to conduct your own survey.</w:t>
      </w:r>
      <w:proofErr w:type="gramEnd"/>
      <w:r w:rsidRPr="00E15057">
        <w:t xml:space="preserve"> New York: John Wiley &amp; Sons.</w:t>
      </w:r>
    </w:p>
    <w:p w:rsidR="00750D42" w:rsidRPr="00E15057" w:rsidRDefault="00750D42" w:rsidP="009D791F">
      <w:pPr>
        <w:pStyle w:val="BodyText"/>
      </w:pPr>
      <w:proofErr w:type="gramStart"/>
      <w:r w:rsidRPr="00E15057">
        <w:lastRenderedPageBreak/>
        <w:t xml:space="preserve">Singer, E., </w:t>
      </w:r>
      <w:proofErr w:type="spellStart"/>
      <w:r w:rsidRPr="00E15057">
        <w:t>Gelber</w:t>
      </w:r>
      <w:proofErr w:type="spellEnd"/>
      <w:r w:rsidRPr="00E15057">
        <w:t xml:space="preserve">, N., Van </w:t>
      </w:r>
      <w:proofErr w:type="spellStart"/>
      <w:r w:rsidRPr="00E15057">
        <w:t>Hoewyk</w:t>
      </w:r>
      <w:proofErr w:type="spellEnd"/>
      <w:r w:rsidRPr="00E15057">
        <w:t>, J., &amp; Brown, J. (1997)</w:t>
      </w:r>
      <w:r w:rsidR="005A194E" w:rsidRPr="00E15057">
        <w:t>.</w:t>
      </w:r>
      <w:proofErr w:type="gramEnd"/>
      <w:r w:rsidRPr="00E15057">
        <w:t xml:space="preserve"> </w:t>
      </w:r>
      <w:r w:rsidRPr="00E15057">
        <w:rPr>
          <w:i/>
        </w:rPr>
        <w:t xml:space="preserve">Does $10 equal $10? </w:t>
      </w:r>
      <w:proofErr w:type="gramStart"/>
      <w:r w:rsidRPr="00E15057">
        <w:rPr>
          <w:i/>
        </w:rPr>
        <w:t>The effect of framing on the impact of incentives.</w:t>
      </w:r>
      <w:proofErr w:type="gramEnd"/>
      <w:r w:rsidRPr="00E15057">
        <w:t xml:space="preserve"> Paper presented at the annual conference of the American Association for Public Opinion Research, Norfolk, VA. </w:t>
      </w:r>
    </w:p>
    <w:p w:rsidR="006354F6" w:rsidRPr="00E15057" w:rsidRDefault="00750D42" w:rsidP="009D791F">
      <w:pPr>
        <w:pStyle w:val="BodyText"/>
      </w:pPr>
      <w:proofErr w:type="gramStart"/>
      <w:r w:rsidRPr="00E15057">
        <w:t xml:space="preserve">Singer, E., Van </w:t>
      </w:r>
      <w:proofErr w:type="spellStart"/>
      <w:r w:rsidRPr="00E15057">
        <w:t>Hoewyk</w:t>
      </w:r>
      <w:proofErr w:type="spellEnd"/>
      <w:r w:rsidRPr="00E15057">
        <w:t>, J., &amp; Maher, M. P. (2000).</w:t>
      </w:r>
      <w:proofErr w:type="gramEnd"/>
      <w:r w:rsidRPr="00E15057">
        <w:t xml:space="preserve"> </w:t>
      </w:r>
      <w:proofErr w:type="gramStart"/>
      <w:r w:rsidRPr="00E15057">
        <w:t>Experiments with incentives in telephone surveys.</w:t>
      </w:r>
      <w:proofErr w:type="gramEnd"/>
      <w:r w:rsidRPr="00E15057">
        <w:t xml:space="preserve"> </w:t>
      </w:r>
      <w:r w:rsidRPr="00E15057">
        <w:rPr>
          <w:i/>
        </w:rPr>
        <w:t>Public Opinion Quarterly, 64</w:t>
      </w:r>
      <w:r w:rsidRPr="00E15057">
        <w:t>(3), 171–188.</w:t>
      </w:r>
    </w:p>
    <w:p w:rsidR="00A83F37" w:rsidRPr="00504B4E" w:rsidRDefault="00A83F37" w:rsidP="00504B4E">
      <w:pPr>
        <w:autoSpaceDE w:val="0"/>
        <w:autoSpaceDN w:val="0"/>
        <w:adjustRightInd w:val="0"/>
        <w:rPr>
          <w:rFonts w:ascii="Arial Narrow" w:hAnsi="Arial Narrow" w:cs="AdvPSTIM10-B"/>
        </w:rPr>
      </w:pPr>
      <w:proofErr w:type="gramStart"/>
      <w:r w:rsidRPr="00504B4E">
        <w:rPr>
          <w:rFonts w:ascii="Arial Narrow" w:hAnsi="Arial Narrow"/>
        </w:rPr>
        <w:t xml:space="preserve">Tangka, F. K., </w:t>
      </w:r>
      <w:proofErr w:type="spellStart"/>
      <w:r w:rsidR="00504B4E" w:rsidRPr="00504B4E">
        <w:rPr>
          <w:rFonts w:ascii="Arial Narrow" w:hAnsi="Arial Narrow" w:cs="AdvPSTIM10-B"/>
        </w:rPr>
        <w:t>Dalaker</w:t>
      </w:r>
      <w:proofErr w:type="spellEnd"/>
      <w:r w:rsidR="00504B4E" w:rsidRPr="00504B4E">
        <w:rPr>
          <w:rFonts w:ascii="Arial Narrow" w:hAnsi="Arial Narrow" w:cs="AdvPSTIM10-B"/>
        </w:rPr>
        <w:t xml:space="preserve"> J, </w:t>
      </w:r>
      <w:proofErr w:type="spellStart"/>
      <w:r w:rsidR="00504B4E" w:rsidRPr="00504B4E">
        <w:rPr>
          <w:rFonts w:ascii="Arial Narrow" w:hAnsi="Arial Narrow" w:cs="AdvPSTIM10-B"/>
        </w:rPr>
        <w:t>Chattopadhyay</w:t>
      </w:r>
      <w:proofErr w:type="spellEnd"/>
      <w:r w:rsidR="00504B4E" w:rsidRPr="00504B4E">
        <w:rPr>
          <w:rFonts w:ascii="Arial Narrow" w:hAnsi="Arial Narrow" w:cs="AdvPSTIM10-B"/>
        </w:rPr>
        <w:t xml:space="preserve"> SK,</w:t>
      </w:r>
      <w:r w:rsidR="00504B4E" w:rsidRPr="00504B4E" w:rsidDel="00504B4E">
        <w:rPr>
          <w:rFonts w:ascii="Arial Narrow" w:hAnsi="Arial Narrow"/>
        </w:rPr>
        <w:t xml:space="preserve"> </w:t>
      </w:r>
      <w:r w:rsidRPr="00504B4E">
        <w:rPr>
          <w:rFonts w:ascii="Arial Narrow" w:hAnsi="Arial Narrow"/>
        </w:rPr>
        <w:t>et al. (200</w:t>
      </w:r>
      <w:r w:rsidR="00677DFE" w:rsidRPr="00504B4E">
        <w:rPr>
          <w:rFonts w:ascii="Arial Narrow" w:hAnsi="Arial Narrow"/>
        </w:rPr>
        <w:t>6).</w:t>
      </w:r>
      <w:proofErr w:type="gramEnd"/>
      <w:r w:rsidR="00677DFE" w:rsidRPr="00504B4E">
        <w:rPr>
          <w:rFonts w:ascii="Arial Narrow" w:hAnsi="Arial Narrow"/>
        </w:rPr>
        <w:t xml:space="preserve"> </w:t>
      </w:r>
      <w:proofErr w:type="gramStart"/>
      <w:r w:rsidR="00677DFE" w:rsidRPr="00504B4E">
        <w:rPr>
          <w:rFonts w:ascii="Arial Narrow" w:hAnsi="Arial Narrow" w:cs="AdvPSTIM10-B"/>
        </w:rPr>
        <w:t>Meeting the mammography screening needs of underserved</w:t>
      </w:r>
      <w:r w:rsidR="00504B4E" w:rsidRPr="00504B4E">
        <w:rPr>
          <w:rFonts w:ascii="Arial Narrow" w:hAnsi="Arial Narrow" w:cs="AdvPSTIM10-B"/>
        </w:rPr>
        <w:t xml:space="preserve"> </w:t>
      </w:r>
      <w:r w:rsidR="00677DFE" w:rsidRPr="00504B4E">
        <w:rPr>
          <w:rFonts w:ascii="Arial Narrow" w:hAnsi="Arial Narrow" w:cs="AdvPSTIM10-B"/>
        </w:rPr>
        <w:t>women: the performance of the National Breast and Cervical</w:t>
      </w:r>
      <w:r w:rsidR="00504B4E" w:rsidRPr="00504B4E">
        <w:rPr>
          <w:rFonts w:ascii="Arial Narrow" w:hAnsi="Arial Narrow" w:cs="AdvPSTIM10-B"/>
        </w:rPr>
        <w:t xml:space="preserve"> </w:t>
      </w:r>
      <w:r w:rsidR="00677DFE" w:rsidRPr="00504B4E">
        <w:rPr>
          <w:rFonts w:ascii="Arial Narrow" w:hAnsi="Arial Narrow"/>
        </w:rPr>
        <w:t>Cancer Early Detection Program in 2002–2003 (United States)</w:t>
      </w:r>
      <w:r w:rsidR="00504B4E" w:rsidRPr="00504B4E">
        <w:rPr>
          <w:rFonts w:ascii="Arial Narrow" w:hAnsi="Arial Narrow"/>
        </w:rPr>
        <w:t>.</w:t>
      </w:r>
      <w:proofErr w:type="gramEnd"/>
      <w:r w:rsidR="00504B4E" w:rsidRPr="00504B4E">
        <w:rPr>
          <w:rFonts w:ascii="Arial Narrow" w:hAnsi="Arial Narrow"/>
        </w:rPr>
        <w:t xml:space="preserve">  </w:t>
      </w:r>
      <w:r w:rsidR="00504B4E" w:rsidRPr="00504B4E">
        <w:rPr>
          <w:rFonts w:ascii="Arial Narrow" w:hAnsi="Arial Narrow" w:cs="AdvPSTIM10-R"/>
          <w:i/>
        </w:rPr>
        <w:t>Cancer Causes Control</w:t>
      </w:r>
      <w:r w:rsidR="00504B4E" w:rsidRPr="00504B4E">
        <w:rPr>
          <w:rFonts w:ascii="Arial Narrow" w:hAnsi="Arial Narrow" w:cs="AdvPSTIM10-R"/>
        </w:rPr>
        <w:t>, 17:1145–1154.</w:t>
      </w:r>
      <w:r w:rsidR="00677DFE" w:rsidRPr="00504B4E" w:rsidDel="00677DFE">
        <w:rPr>
          <w:rFonts w:ascii="Arial Narrow" w:hAnsi="Arial Narrow"/>
        </w:rPr>
        <w:t xml:space="preserve"> </w:t>
      </w:r>
    </w:p>
    <w:p w:rsidR="00504B4E" w:rsidRPr="00677DFE" w:rsidRDefault="00504B4E" w:rsidP="00504B4E">
      <w:pPr>
        <w:autoSpaceDE w:val="0"/>
        <w:autoSpaceDN w:val="0"/>
        <w:adjustRightInd w:val="0"/>
      </w:pPr>
    </w:p>
    <w:p w:rsidR="006354F6" w:rsidRPr="00E15057" w:rsidRDefault="006354F6" w:rsidP="009D791F">
      <w:pPr>
        <w:pStyle w:val="BodyText"/>
        <w:rPr>
          <w:rFonts w:cs="Arial"/>
        </w:rPr>
      </w:pPr>
      <w:r w:rsidRPr="00E15057">
        <w:t xml:space="preserve">Witte, K. (1995). Fishing for success: Using the Persuasive Health Message Framework to generate effective campaign messages. In E. </w:t>
      </w:r>
      <w:proofErr w:type="spellStart"/>
      <w:r w:rsidRPr="00E15057">
        <w:t>Maibach</w:t>
      </w:r>
      <w:proofErr w:type="spellEnd"/>
      <w:r w:rsidRPr="00E15057">
        <w:t xml:space="preserve"> &amp; R. L. Parrott (Eds.), </w:t>
      </w:r>
      <w:r w:rsidRPr="00E15057">
        <w:rPr>
          <w:i/>
        </w:rPr>
        <w:t>Designing health messages: Approaches from communication theory and public health practice</w:t>
      </w:r>
      <w:r w:rsidRPr="00E15057">
        <w:t xml:space="preserve"> (chap. 8)</w:t>
      </w:r>
      <w:r w:rsidRPr="00E15057">
        <w:rPr>
          <w:i/>
        </w:rPr>
        <w:t>.</w:t>
      </w:r>
      <w:r w:rsidRPr="00E15057">
        <w:t xml:space="preserve"> Thousand Oaks, CA: </w:t>
      </w:r>
      <w:proofErr w:type="spellStart"/>
      <w:r w:rsidRPr="00E15057">
        <w:t>S</w:t>
      </w:r>
      <w:r w:rsidR="00A83F37" w:rsidRPr="00E15057">
        <w:t>age</w:t>
      </w:r>
      <w:r w:rsidRPr="00E15057">
        <w:t>Publications</w:t>
      </w:r>
      <w:proofErr w:type="spellEnd"/>
      <w:r w:rsidRPr="00E15057">
        <w:t>.</w:t>
      </w:r>
      <w:r w:rsidRPr="00E15057" w:rsidDel="006362D0">
        <w:t xml:space="preserve"> </w:t>
      </w:r>
    </w:p>
    <w:p w:rsidR="00E352E9" w:rsidRDefault="00E352E9">
      <w:pPr>
        <w:pStyle w:val="Heading1"/>
      </w:pPr>
    </w:p>
    <w:sectPr w:rsidR="00E352E9" w:rsidSect="0037566C">
      <w:headerReference w:type="default" r:id="rId17"/>
      <w:footerReference w:type="default" r:id="rId18"/>
      <w:pgSz w:w="12240" w:h="15840" w:code="1"/>
      <w:pgMar w:top="1440" w:right="1440" w:bottom="1440" w:left="1440" w:header="720" w:footer="62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A0C" w:rsidRDefault="00030A0C">
      <w:r>
        <w:separator/>
      </w:r>
    </w:p>
  </w:endnote>
  <w:endnote w:type="continuationSeparator" w:id="0">
    <w:p w:rsidR="00030A0C" w:rsidRDefault="00030A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NewBskvll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dvPSTIM10-B">
    <w:panose1 w:val="00000000000000000000"/>
    <w:charset w:val="00"/>
    <w:family w:val="roman"/>
    <w:notTrueType/>
    <w:pitch w:val="default"/>
    <w:sig w:usb0="00000003" w:usb1="00000000" w:usb2="00000000" w:usb3="00000000" w:csb0="00000001" w:csb1="00000000"/>
  </w:font>
  <w:font w:name="AdvPSTIM10-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0C" w:rsidRDefault="00030A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0C" w:rsidRDefault="00030A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0C" w:rsidRDefault="00030A0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0C" w:rsidRPr="0037566C" w:rsidRDefault="00030A0C" w:rsidP="0037566C">
    <w:pPr>
      <w:pStyle w:val="Footer"/>
      <w:rPr>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0C" w:rsidRPr="00767723" w:rsidRDefault="00DB1AF9" w:rsidP="00691A1C">
    <w:pPr>
      <w:pStyle w:val="Footer"/>
      <w:tabs>
        <w:tab w:val="clear" w:pos="4320"/>
        <w:tab w:val="clear" w:pos="8640"/>
      </w:tabs>
      <w:jc w:val="right"/>
      <w:rPr>
        <w:rFonts w:ascii="Arial Narrow" w:hAnsi="Arial Narrow"/>
        <w:sz w:val="20"/>
        <w:szCs w:val="20"/>
      </w:rPr>
    </w:pPr>
    <w:r w:rsidRPr="001B3344">
      <w:rPr>
        <w:rFonts w:ascii="Arial Narrow" w:hAnsi="Arial Narrow"/>
        <w:sz w:val="20"/>
        <w:szCs w:val="20"/>
      </w:rPr>
      <w:fldChar w:fldCharType="begin"/>
    </w:r>
    <w:r w:rsidR="00030A0C" w:rsidRPr="001B3344">
      <w:rPr>
        <w:rFonts w:ascii="Arial Narrow" w:hAnsi="Arial Narrow"/>
        <w:sz w:val="20"/>
        <w:szCs w:val="20"/>
      </w:rPr>
      <w:instrText xml:space="preserve"> PAGE   \* MERGEFORMAT </w:instrText>
    </w:r>
    <w:r w:rsidRPr="001B3344">
      <w:rPr>
        <w:rFonts w:ascii="Arial Narrow" w:hAnsi="Arial Narrow"/>
        <w:sz w:val="20"/>
        <w:szCs w:val="20"/>
      </w:rPr>
      <w:fldChar w:fldCharType="separate"/>
    </w:r>
    <w:r w:rsidR="000E3B9A">
      <w:rPr>
        <w:rFonts w:ascii="Arial Narrow" w:hAnsi="Arial Narrow"/>
        <w:noProof/>
        <w:sz w:val="20"/>
        <w:szCs w:val="20"/>
      </w:rPr>
      <w:t>6</w:t>
    </w:r>
    <w:r w:rsidRPr="001B3344">
      <w:rPr>
        <w:rFonts w:ascii="Arial Narrow" w:hAnsi="Arial Narrow"/>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A0C" w:rsidRDefault="00030A0C">
      <w:r>
        <w:separator/>
      </w:r>
    </w:p>
  </w:footnote>
  <w:footnote w:type="continuationSeparator" w:id="0">
    <w:p w:rsidR="00030A0C" w:rsidRDefault="00030A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0C" w:rsidRDefault="00030A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0C" w:rsidRDefault="00030A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0C" w:rsidRDefault="00030A0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0C" w:rsidRDefault="00030A0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0C" w:rsidRDefault="00030A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34FBFC"/>
    <w:lvl w:ilvl="0">
      <w:start w:val="1"/>
      <w:numFmt w:val="decimal"/>
      <w:lvlText w:val="%1."/>
      <w:lvlJc w:val="left"/>
      <w:pPr>
        <w:tabs>
          <w:tab w:val="num" w:pos="1800"/>
        </w:tabs>
        <w:ind w:left="1800" w:hanging="360"/>
      </w:pPr>
    </w:lvl>
  </w:abstractNum>
  <w:abstractNum w:abstractNumId="1">
    <w:nsid w:val="FFFFFF7D"/>
    <w:multiLevelType w:val="singleLevel"/>
    <w:tmpl w:val="4B0C9474"/>
    <w:lvl w:ilvl="0">
      <w:start w:val="1"/>
      <w:numFmt w:val="decimal"/>
      <w:lvlText w:val="%1."/>
      <w:lvlJc w:val="left"/>
      <w:pPr>
        <w:tabs>
          <w:tab w:val="num" w:pos="1440"/>
        </w:tabs>
        <w:ind w:left="1440" w:hanging="360"/>
      </w:pPr>
    </w:lvl>
  </w:abstractNum>
  <w:abstractNum w:abstractNumId="2">
    <w:nsid w:val="FFFFFF7E"/>
    <w:multiLevelType w:val="singleLevel"/>
    <w:tmpl w:val="F6A81E92"/>
    <w:lvl w:ilvl="0">
      <w:start w:val="1"/>
      <w:numFmt w:val="decimal"/>
      <w:lvlText w:val="%1."/>
      <w:lvlJc w:val="left"/>
      <w:pPr>
        <w:tabs>
          <w:tab w:val="num" w:pos="1080"/>
        </w:tabs>
        <w:ind w:left="1080" w:hanging="360"/>
      </w:pPr>
    </w:lvl>
  </w:abstractNum>
  <w:abstractNum w:abstractNumId="3">
    <w:nsid w:val="FFFFFF7F"/>
    <w:multiLevelType w:val="singleLevel"/>
    <w:tmpl w:val="D4321BD2"/>
    <w:lvl w:ilvl="0">
      <w:start w:val="1"/>
      <w:numFmt w:val="decimal"/>
      <w:lvlText w:val="%1."/>
      <w:lvlJc w:val="left"/>
      <w:pPr>
        <w:tabs>
          <w:tab w:val="num" w:pos="720"/>
        </w:tabs>
        <w:ind w:left="720" w:hanging="360"/>
      </w:pPr>
    </w:lvl>
  </w:abstractNum>
  <w:abstractNum w:abstractNumId="4">
    <w:nsid w:val="FFFFFF80"/>
    <w:multiLevelType w:val="singleLevel"/>
    <w:tmpl w:val="28F24D9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12A84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E5840A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1EE29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4C660BC"/>
    <w:lvl w:ilvl="0">
      <w:start w:val="1"/>
      <w:numFmt w:val="decimal"/>
      <w:lvlText w:val="%1."/>
      <w:lvlJc w:val="left"/>
      <w:pPr>
        <w:tabs>
          <w:tab w:val="num" w:pos="360"/>
        </w:tabs>
        <w:ind w:left="360" w:hanging="360"/>
      </w:pPr>
    </w:lvl>
  </w:abstractNum>
  <w:abstractNum w:abstractNumId="9">
    <w:nsid w:val="FFFFFF89"/>
    <w:multiLevelType w:val="singleLevel"/>
    <w:tmpl w:val="EADA4980"/>
    <w:lvl w:ilvl="0">
      <w:start w:val="1"/>
      <w:numFmt w:val="bullet"/>
      <w:lvlText w:val=""/>
      <w:lvlJc w:val="left"/>
      <w:pPr>
        <w:tabs>
          <w:tab w:val="num" w:pos="360"/>
        </w:tabs>
        <w:ind w:left="360" w:hanging="360"/>
      </w:pPr>
      <w:rPr>
        <w:rFonts w:ascii="Symbol" w:hAnsi="Symbol" w:hint="default"/>
      </w:rPr>
    </w:lvl>
  </w:abstractNum>
  <w:abstractNum w:abstractNumId="10">
    <w:nsid w:val="001374C6"/>
    <w:multiLevelType w:val="hybridMultilevel"/>
    <w:tmpl w:val="3E64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6C01E5"/>
    <w:multiLevelType w:val="hybridMultilevel"/>
    <w:tmpl w:val="77CC58F0"/>
    <w:lvl w:ilvl="0" w:tplc="DC068E36">
      <w:start w:val="1"/>
      <w:numFmt w:val="bullet"/>
      <w:pStyle w:val="Bullet1"/>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1A4205E9"/>
    <w:multiLevelType w:val="hybridMultilevel"/>
    <w:tmpl w:val="CB866128"/>
    <w:lvl w:ilvl="0" w:tplc="04090011">
      <w:start w:val="1"/>
      <w:numFmt w:val="decimal"/>
      <w:lvlText w:val="%1)"/>
      <w:lvlJc w:val="left"/>
      <w:pPr>
        <w:ind w:left="720" w:hanging="360"/>
      </w:pPr>
    </w:lvl>
    <w:lvl w:ilvl="1" w:tplc="04090001">
      <w:start w:val="1"/>
      <w:numFmt w:val="bullet"/>
      <w:lvlText w:val=""/>
      <w:lvlJc w:val="left"/>
      <w:pPr>
        <w:ind w:left="189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AF3092E"/>
    <w:multiLevelType w:val="hybridMultilevel"/>
    <w:tmpl w:val="B2305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E06860"/>
    <w:multiLevelType w:val="hybridMultilevel"/>
    <w:tmpl w:val="37307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566ECC"/>
    <w:multiLevelType w:val="hybridMultilevel"/>
    <w:tmpl w:val="954CFEF6"/>
    <w:lvl w:ilvl="0" w:tplc="D918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D2AB9"/>
    <w:multiLevelType w:val="hybridMultilevel"/>
    <w:tmpl w:val="3C9E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463458"/>
    <w:multiLevelType w:val="hybridMultilevel"/>
    <w:tmpl w:val="8B2C7732"/>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nsid w:val="39582045"/>
    <w:multiLevelType w:val="hybridMultilevel"/>
    <w:tmpl w:val="6E4CBFF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nsid w:val="3FCB0BCF"/>
    <w:multiLevelType w:val="hybridMultilevel"/>
    <w:tmpl w:val="D5D8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6F1BD9"/>
    <w:multiLevelType w:val="hybridMultilevel"/>
    <w:tmpl w:val="7C36B62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nsid w:val="41841E1D"/>
    <w:multiLevelType w:val="hybridMultilevel"/>
    <w:tmpl w:val="27683A4A"/>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nsid w:val="44A705E7"/>
    <w:multiLevelType w:val="hybridMultilevel"/>
    <w:tmpl w:val="F790D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164DD1"/>
    <w:multiLevelType w:val="hybridMultilevel"/>
    <w:tmpl w:val="101E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413BB7"/>
    <w:multiLevelType w:val="hybridMultilevel"/>
    <w:tmpl w:val="DCF42E82"/>
    <w:lvl w:ilvl="0" w:tplc="04090001">
      <w:start w:val="1"/>
      <w:numFmt w:val="decimal"/>
      <w:pStyle w:val="BodyTextNumbered"/>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52FF41BC"/>
    <w:multiLevelType w:val="hybridMultilevel"/>
    <w:tmpl w:val="14DE1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38301A"/>
    <w:multiLevelType w:val="hybridMultilevel"/>
    <w:tmpl w:val="08CCE6F2"/>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nsid w:val="659C6D7D"/>
    <w:multiLevelType w:val="hybridMultilevel"/>
    <w:tmpl w:val="33E8AE38"/>
    <w:lvl w:ilvl="0" w:tplc="04090001">
      <w:start w:val="1"/>
      <w:numFmt w:val="bullet"/>
      <w:lvlText w:val="-"/>
      <w:lvlJc w:val="left"/>
      <w:pPr>
        <w:ind w:left="162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nsid w:val="65F4166B"/>
    <w:multiLevelType w:val="hybridMultilevel"/>
    <w:tmpl w:val="E368B2FC"/>
    <w:lvl w:ilvl="0" w:tplc="FA08A0F6">
      <w:start w:val="1"/>
      <w:numFmt w:val="bullet"/>
      <w:pStyle w:val="Bullet2"/>
      <w:lvlText w:val="-"/>
      <w:lvlJc w:val="left"/>
      <w:pPr>
        <w:ind w:left="1620" w:hanging="360"/>
      </w:pPr>
      <w:rPr>
        <w:rFonts w:ascii="Courier New" w:hAnsi="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71BE4F7B"/>
    <w:multiLevelType w:val="hybridMultilevel"/>
    <w:tmpl w:val="EBF4A92E"/>
    <w:lvl w:ilvl="0" w:tplc="182244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88082D"/>
    <w:multiLevelType w:val="hybridMultilevel"/>
    <w:tmpl w:val="71729022"/>
    <w:lvl w:ilvl="0" w:tplc="04090001">
      <w:start w:val="1"/>
      <w:numFmt w:val="bullet"/>
      <w:pStyle w:val="DocumentBullet1"/>
      <w:lvlText w:val="●"/>
      <w:lvlJc w:val="left"/>
      <w:pPr>
        <w:tabs>
          <w:tab w:val="num" w:pos="720"/>
        </w:tabs>
        <w:ind w:left="720" w:hanging="360"/>
      </w:pPr>
      <w:rPr>
        <w:rFonts w:ascii="Times New Roman" w:hAnsi="Times New Roman" w:cs="Times New Roman" w:hint="default"/>
        <w:color w:val="auto"/>
        <w:sz w:val="22"/>
        <w:szCs w:val="22"/>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pStyle w:val="DocumentBullet3"/>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0"/>
  </w:num>
  <w:num w:numId="2">
    <w:abstractNumId w:val="27"/>
  </w:num>
  <w:num w:numId="3">
    <w:abstractNumId w:val="28"/>
  </w:num>
  <w:num w:numId="4">
    <w:abstractNumId w:val="18"/>
  </w:num>
  <w:num w:numId="5">
    <w:abstractNumId w:val="29"/>
  </w:num>
  <w:num w:numId="6">
    <w:abstractNumId w:val="26"/>
  </w:num>
  <w:num w:numId="7">
    <w:abstractNumId w:val="22"/>
  </w:num>
  <w:num w:numId="8">
    <w:abstractNumId w:val="11"/>
  </w:num>
  <w:num w:numId="9">
    <w:abstractNumId w:val="12"/>
  </w:num>
  <w:num w:numId="10">
    <w:abstractNumId w:val="21"/>
  </w:num>
  <w:num w:numId="11">
    <w:abstractNumId w:val="10"/>
  </w:num>
  <w:num w:numId="12">
    <w:abstractNumId w:val="16"/>
  </w:num>
  <w:num w:numId="13">
    <w:abstractNumId w:val="13"/>
  </w:num>
  <w:num w:numId="14">
    <w:abstractNumId w:val="15"/>
  </w:num>
  <w:num w:numId="15">
    <w:abstractNumId w:val="17"/>
  </w:num>
  <w:num w:numId="16">
    <w:abstractNumId w:val="24"/>
  </w:num>
  <w:num w:numId="17">
    <w:abstractNumId w:val="25"/>
  </w:num>
  <w:num w:numId="18">
    <w:abstractNumId w:val="23"/>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0"/>
  </w:num>
  <w:num w:numId="30">
    <w:abstractNumId w:val="19"/>
  </w:num>
  <w:num w:numId="31">
    <w:abstractNumId w:val="14"/>
  </w:num>
  <w:num w:numId="3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removePersonalInformation/>
  <w:removeDateAndTime/>
  <w:proofState w:spelling="clean" w:grammar="clean"/>
  <w:stylePaneFormatFilter w:val="3808"/>
  <w:stylePaneSortMethod w:val="0000"/>
  <w:defaultTabStop w:val="720"/>
  <w:drawingGridHorizontalSpacing w:val="120"/>
  <w:displayHorizontalDrawingGridEvery w:val="2"/>
  <w:characterSpacingControl w:val="doNotCompress"/>
  <w:hdrShapeDefaults>
    <o:shapedefaults v:ext="edit" spidmax="130049"/>
  </w:hdrShapeDefaults>
  <w:footnotePr>
    <w:footnote w:id="-1"/>
    <w:footnote w:id="0"/>
  </w:footnotePr>
  <w:endnotePr>
    <w:endnote w:id="-1"/>
    <w:endnote w:id="0"/>
  </w:endnotePr>
  <w:compat/>
  <w:rsids>
    <w:rsidRoot w:val="00DD3FBF"/>
    <w:rsid w:val="00000DE8"/>
    <w:rsid w:val="000103F6"/>
    <w:rsid w:val="00014412"/>
    <w:rsid w:val="000147FE"/>
    <w:rsid w:val="00015EAC"/>
    <w:rsid w:val="0001630C"/>
    <w:rsid w:val="00020652"/>
    <w:rsid w:val="0002364E"/>
    <w:rsid w:val="00025FF0"/>
    <w:rsid w:val="00030A0C"/>
    <w:rsid w:val="00030ED0"/>
    <w:rsid w:val="00031743"/>
    <w:rsid w:val="00031A31"/>
    <w:rsid w:val="00031B42"/>
    <w:rsid w:val="00031FC2"/>
    <w:rsid w:val="000327D5"/>
    <w:rsid w:val="00033102"/>
    <w:rsid w:val="00033285"/>
    <w:rsid w:val="0003374F"/>
    <w:rsid w:val="00034C36"/>
    <w:rsid w:val="000363D2"/>
    <w:rsid w:val="000377F4"/>
    <w:rsid w:val="00040E26"/>
    <w:rsid w:val="00041010"/>
    <w:rsid w:val="00041242"/>
    <w:rsid w:val="00041C06"/>
    <w:rsid w:val="00042DC2"/>
    <w:rsid w:val="00043C25"/>
    <w:rsid w:val="000444D7"/>
    <w:rsid w:val="000461F2"/>
    <w:rsid w:val="00046CFD"/>
    <w:rsid w:val="00050442"/>
    <w:rsid w:val="00054189"/>
    <w:rsid w:val="00056900"/>
    <w:rsid w:val="00057A34"/>
    <w:rsid w:val="00060E24"/>
    <w:rsid w:val="000630E5"/>
    <w:rsid w:val="0006311E"/>
    <w:rsid w:val="00063408"/>
    <w:rsid w:val="00063705"/>
    <w:rsid w:val="00063DC5"/>
    <w:rsid w:val="00065135"/>
    <w:rsid w:val="00073392"/>
    <w:rsid w:val="00073B7A"/>
    <w:rsid w:val="00077AAC"/>
    <w:rsid w:val="0008014C"/>
    <w:rsid w:val="0008295D"/>
    <w:rsid w:val="000831E2"/>
    <w:rsid w:val="00085D90"/>
    <w:rsid w:val="00091688"/>
    <w:rsid w:val="00092FB1"/>
    <w:rsid w:val="00093E73"/>
    <w:rsid w:val="00097C12"/>
    <w:rsid w:val="000A2017"/>
    <w:rsid w:val="000B05A5"/>
    <w:rsid w:val="000B250E"/>
    <w:rsid w:val="000B5638"/>
    <w:rsid w:val="000B6713"/>
    <w:rsid w:val="000C0843"/>
    <w:rsid w:val="000C2098"/>
    <w:rsid w:val="000C3D48"/>
    <w:rsid w:val="000C46D9"/>
    <w:rsid w:val="000C616B"/>
    <w:rsid w:val="000D09EF"/>
    <w:rsid w:val="000D421E"/>
    <w:rsid w:val="000D5B97"/>
    <w:rsid w:val="000E0188"/>
    <w:rsid w:val="000E0A3D"/>
    <w:rsid w:val="000E2170"/>
    <w:rsid w:val="000E2494"/>
    <w:rsid w:val="000E3B9A"/>
    <w:rsid w:val="000E46DB"/>
    <w:rsid w:val="000E5449"/>
    <w:rsid w:val="000E6A10"/>
    <w:rsid w:val="000E7BC1"/>
    <w:rsid w:val="000F0E0C"/>
    <w:rsid w:val="000F1056"/>
    <w:rsid w:val="000F2442"/>
    <w:rsid w:val="000F3FAE"/>
    <w:rsid w:val="000F49FD"/>
    <w:rsid w:val="000F50E6"/>
    <w:rsid w:val="000F53EC"/>
    <w:rsid w:val="000F5E2B"/>
    <w:rsid w:val="001000AC"/>
    <w:rsid w:val="00100CEB"/>
    <w:rsid w:val="00101199"/>
    <w:rsid w:val="00101B20"/>
    <w:rsid w:val="0010206F"/>
    <w:rsid w:val="00104198"/>
    <w:rsid w:val="00105519"/>
    <w:rsid w:val="001121E5"/>
    <w:rsid w:val="001157FE"/>
    <w:rsid w:val="00115EC5"/>
    <w:rsid w:val="00116A7F"/>
    <w:rsid w:val="00117271"/>
    <w:rsid w:val="001213F6"/>
    <w:rsid w:val="001215CD"/>
    <w:rsid w:val="001216F5"/>
    <w:rsid w:val="00121AD9"/>
    <w:rsid w:val="00124EE1"/>
    <w:rsid w:val="001252ED"/>
    <w:rsid w:val="00127873"/>
    <w:rsid w:val="00130B0E"/>
    <w:rsid w:val="00130B9E"/>
    <w:rsid w:val="00133E80"/>
    <w:rsid w:val="00134112"/>
    <w:rsid w:val="00144E0E"/>
    <w:rsid w:val="001454B1"/>
    <w:rsid w:val="001456D2"/>
    <w:rsid w:val="001458F6"/>
    <w:rsid w:val="00146511"/>
    <w:rsid w:val="0015031F"/>
    <w:rsid w:val="00150D02"/>
    <w:rsid w:val="00152F15"/>
    <w:rsid w:val="001531B4"/>
    <w:rsid w:val="00153441"/>
    <w:rsid w:val="00153EBF"/>
    <w:rsid w:val="0015747F"/>
    <w:rsid w:val="00157973"/>
    <w:rsid w:val="0016222A"/>
    <w:rsid w:val="001631E2"/>
    <w:rsid w:val="00165C60"/>
    <w:rsid w:val="0017252E"/>
    <w:rsid w:val="00173EAD"/>
    <w:rsid w:val="00177E01"/>
    <w:rsid w:val="00180195"/>
    <w:rsid w:val="001807ED"/>
    <w:rsid w:val="00181286"/>
    <w:rsid w:val="001838C5"/>
    <w:rsid w:val="0018548D"/>
    <w:rsid w:val="00187017"/>
    <w:rsid w:val="0019175E"/>
    <w:rsid w:val="00193699"/>
    <w:rsid w:val="00193AFD"/>
    <w:rsid w:val="00194CB3"/>
    <w:rsid w:val="001958E1"/>
    <w:rsid w:val="00196AD0"/>
    <w:rsid w:val="00196DB4"/>
    <w:rsid w:val="00197BCF"/>
    <w:rsid w:val="00197C4B"/>
    <w:rsid w:val="001A05BA"/>
    <w:rsid w:val="001A097B"/>
    <w:rsid w:val="001A12D7"/>
    <w:rsid w:val="001A13B8"/>
    <w:rsid w:val="001A4F08"/>
    <w:rsid w:val="001A56E5"/>
    <w:rsid w:val="001A5F74"/>
    <w:rsid w:val="001A6C63"/>
    <w:rsid w:val="001A6FA8"/>
    <w:rsid w:val="001A7A3C"/>
    <w:rsid w:val="001B03F1"/>
    <w:rsid w:val="001B147D"/>
    <w:rsid w:val="001B2B51"/>
    <w:rsid w:val="001B32A3"/>
    <w:rsid w:val="001C371B"/>
    <w:rsid w:val="001C443F"/>
    <w:rsid w:val="001C6A54"/>
    <w:rsid w:val="001D09BB"/>
    <w:rsid w:val="001D11C9"/>
    <w:rsid w:val="001D272B"/>
    <w:rsid w:val="001D35C8"/>
    <w:rsid w:val="001D56E3"/>
    <w:rsid w:val="001E29C0"/>
    <w:rsid w:val="001E2C1A"/>
    <w:rsid w:val="001E4050"/>
    <w:rsid w:val="001E4B42"/>
    <w:rsid w:val="001E5182"/>
    <w:rsid w:val="001E74FF"/>
    <w:rsid w:val="001E78F8"/>
    <w:rsid w:val="001E7E10"/>
    <w:rsid w:val="001F0D87"/>
    <w:rsid w:val="001F3C7E"/>
    <w:rsid w:val="0020225D"/>
    <w:rsid w:val="002056CE"/>
    <w:rsid w:val="00206176"/>
    <w:rsid w:val="00206FAF"/>
    <w:rsid w:val="0021060B"/>
    <w:rsid w:val="002236C7"/>
    <w:rsid w:val="00226173"/>
    <w:rsid w:val="0022662F"/>
    <w:rsid w:val="002268C3"/>
    <w:rsid w:val="00227341"/>
    <w:rsid w:val="00232DE1"/>
    <w:rsid w:val="0023449F"/>
    <w:rsid w:val="00241CC0"/>
    <w:rsid w:val="002420E3"/>
    <w:rsid w:val="00244C11"/>
    <w:rsid w:val="00244DE6"/>
    <w:rsid w:val="00245F98"/>
    <w:rsid w:val="0024615F"/>
    <w:rsid w:val="00246D66"/>
    <w:rsid w:val="00250F95"/>
    <w:rsid w:val="00252000"/>
    <w:rsid w:val="00253B1D"/>
    <w:rsid w:val="0025452F"/>
    <w:rsid w:val="00254952"/>
    <w:rsid w:val="00260F78"/>
    <w:rsid w:val="00261077"/>
    <w:rsid w:val="00264090"/>
    <w:rsid w:val="0027036B"/>
    <w:rsid w:val="00270447"/>
    <w:rsid w:val="00272529"/>
    <w:rsid w:val="00272C10"/>
    <w:rsid w:val="00276FAB"/>
    <w:rsid w:val="00280748"/>
    <w:rsid w:val="00280F7D"/>
    <w:rsid w:val="0028487B"/>
    <w:rsid w:val="00286AFF"/>
    <w:rsid w:val="00286B99"/>
    <w:rsid w:val="0029009E"/>
    <w:rsid w:val="0029166C"/>
    <w:rsid w:val="00293BE0"/>
    <w:rsid w:val="00294D93"/>
    <w:rsid w:val="002957D2"/>
    <w:rsid w:val="00296396"/>
    <w:rsid w:val="0029686C"/>
    <w:rsid w:val="00297ABC"/>
    <w:rsid w:val="002A0EE2"/>
    <w:rsid w:val="002A2BD7"/>
    <w:rsid w:val="002A4963"/>
    <w:rsid w:val="002A5A7A"/>
    <w:rsid w:val="002A7D6E"/>
    <w:rsid w:val="002B1A55"/>
    <w:rsid w:val="002B4E43"/>
    <w:rsid w:val="002B565D"/>
    <w:rsid w:val="002B7A3F"/>
    <w:rsid w:val="002B7C83"/>
    <w:rsid w:val="002C3F62"/>
    <w:rsid w:val="002C4B3B"/>
    <w:rsid w:val="002C56A2"/>
    <w:rsid w:val="002C6BDC"/>
    <w:rsid w:val="002C6FC1"/>
    <w:rsid w:val="002D0BB7"/>
    <w:rsid w:val="002D0C8E"/>
    <w:rsid w:val="002D36F9"/>
    <w:rsid w:val="002D3883"/>
    <w:rsid w:val="002D475B"/>
    <w:rsid w:val="002D50B2"/>
    <w:rsid w:val="002D52A9"/>
    <w:rsid w:val="002D739B"/>
    <w:rsid w:val="002D758D"/>
    <w:rsid w:val="002E25C9"/>
    <w:rsid w:val="002E3E66"/>
    <w:rsid w:val="002E7BA8"/>
    <w:rsid w:val="002F0E8B"/>
    <w:rsid w:val="002F425F"/>
    <w:rsid w:val="002F760A"/>
    <w:rsid w:val="003009D4"/>
    <w:rsid w:val="00300C2F"/>
    <w:rsid w:val="003023FC"/>
    <w:rsid w:val="00302B4F"/>
    <w:rsid w:val="003035BD"/>
    <w:rsid w:val="003036DA"/>
    <w:rsid w:val="0030439F"/>
    <w:rsid w:val="00305F5A"/>
    <w:rsid w:val="0031028D"/>
    <w:rsid w:val="00311A4C"/>
    <w:rsid w:val="00311BD7"/>
    <w:rsid w:val="00313599"/>
    <w:rsid w:val="00314BBC"/>
    <w:rsid w:val="003166BB"/>
    <w:rsid w:val="00316B34"/>
    <w:rsid w:val="0031750C"/>
    <w:rsid w:val="00324AA7"/>
    <w:rsid w:val="00327667"/>
    <w:rsid w:val="003300B0"/>
    <w:rsid w:val="003319A8"/>
    <w:rsid w:val="00331AF1"/>
    <w:rsid w:val="003329C3"/>
    <w:rsid w:val="00335BD7"/>
    <w:rsid w:val="00336A74"/>
    <w:rsid w:val="00336B25"/>
    <w:rsid w:val="00342DE5"/>
    <w:rsid w:val="00351FB2"/>
    <w:rsid w:val="003542B4"/>
    <w:rsid w:val="003564F7"/>
    <w:rsid w:val="003628E4"/>
    <w:rsid w:val="00370170"/>
    <w:rsid w:val="00371285"/>
    <w:rsid w:val="00372661"/>
    <w:rsid w:val="0037313A"/>
    <w:rsid w:val="00373717"/>
    <w:rsid w:val="0037566C"/>
    <w:rsid w:val="003822E1"/>
    <w:rsid w:val="00385336"/>
    <w:rsid w:val="00390DC4"/>
    <w:rsid w:val="0039153F"/>
    <w:rsid w:val="0039549B"/>
    <w:rsid w:val="003956EE"/>
    <w:rsid w:val="00395A2E"/>
    <w:rsid w:val="00396B04"/>
    <w:rsid w:val="003A1181"/>
    <w:rsid w:val="003A1999"/>
    <w:rsid w:val="003A1F18"/>
    <w:rsid w:val="003B207B"/>
    <w:rsid w:val="003B225B"/>
    <w:rsid w:val="003B2DCD"/>
    <w:rsid w:val="003B31AB"/>
    <w:rsid w:val="003B64E1"/>
    <w:rsid w:val="003C0725"/>
    <w:rsid w:val="003C07C6"/>
    <w:rsid w:val="003C4024"/>
    <w:rsid w:val="003C4AB9"/>
    <w:rsid w:val="003C5B33"/>
    <w:rsid w:val="003D007E"/>
    <w:rsid w:val="003D1046"/>
    <w:rsid w:val="003D74D0"/>
    <w:rsid w:val="003E0630"/>
    <w:rsid w:val="003E1466"/>
    <w:rsid w:val="003E239C"/>
    <w:rsid w:val="003E2F56"/>
    <w:rsid w:val="003F20C9"/>
    <w:rsid w:val="003F6730"/>
    <w:rsid w:val="003F7D99"/>
    <w:rsid w:val="00400017"/>
    <w:rsid w:val="00400AD5"/>
    <w:rsid w:val="004011B0"/>
    <w:rsid w:val="00401526"/>
    <w:rsid w:val="00402819"/>
    <w:rsid w:val="00403AEA"/>
    <w:rsid w:val="00404C21"/>
    <w:rsid w:val="00411B08"/>
    <w:rsid w:val="00412126"/>
    <w:rsid w:val="004157B2"/>
    <w:rsid w:val="00416924"/>
    <w:rsid w:val="00416985"/>
    <w:rsid w:val="0041749F"/>
    <w:rsid w:val="00417A27"/>
    <w:rsid w:val="004209BD"/>
    <w:rsid w:val="00421067"/>
    <w:rsid w:val="0042118A"/>
    <w:rsid w:val="00421477"/>
    <w:rsid w:val="00422804"/>
    <w:rsid w:val="00423287"/>
    <w:rsid w:val="004235FB"/>
    <w:rsid w:val="0042397B"/>
    <w:rsid w:val="00426996"/>
    <w:rsid w:val="00430F50"/>
    <w:rsid w:val="0043233A"/>
    <w:rsid w:val="004333E7"/>
    <w:rsid w:val="00433BE5"/>
    <w:rsid w:val="00433C81"/>
    <w:rsid w:val="00435729"/>
    <w:rsid w:val="00437BDA"/>
    <w:rsid w:val="00437BF8"/>
    <w:rsid w:val="00440180"/>
    <w:rsid w:val="0044475B"/>
    <w:rsid w:val="00447974"/>
    <w:rsid w:val="00450F34"/>
    <w:rsid w:val="0045458C"/>
    <w:rsid w:val="00460CCD"/>
    <w:rsid w:val="00462028"/>
    <w:rsid w:val="00462B9D"/>
    <w:rsid w:val="004632B3"/>
    <w:rsid w:val="00463647"/>
    <w:rsid w:val="00465F99"/>
    <w:rsid w:val="0046652A"/>
    <w:rsid w:val="00470021"/>
    <w:rsid w:val="004706B0"/>
    <w:rsid w:val="004715F5"/>
    <w:rsid w:val="0047253D"/>
    <w:rsid w:val="0047266B"/>
    <w:rsid w:val="00474B2A"/>
    <w:rsid w:val="00475A74"/>
    <w:rsid w:val="004775DB"/>
    <w:rsid w:val="004776D9"/>
    <w:rsid w:val="00477C57"/>
    <w:rsid w:val="0048099A"/>
    <w:rsid w:val="0048380C"/>
    <w:rsid w:val="0048430F"/>
    <w:rsid w:val="00487172"/>
    <w:rsid w:val="00487DE4"/>
    <w:rsid w:val="00490388"/>
    <w:rsid w:val="004946EB"/>
    <w:rsid w:val="004946F0"/>
    <w:rsid w:val="004948EF"/>
    <w:rsid w:val="00495920"/>
    <w:rsid w:val="00496B85"/>
    <w:rsid w:val="00496C72"/>
    <w:rsid w:val="00497905"/>
    <w:rsid w:val="004A3EDB"/>
    <w:rsid w:val="004A6904"/>
    <w:rsid w:val="004A692E"/>
    <w:rsid w:val="004A71A4"/>
    <w:rsid w:val="004B4344"/>
    <w:rsid w:val="004B626A"/>
    <w:rsid w:val="004B687C"/>
    <w:rsid w:val="004B6B37"/>
    <w:rsid w:val="004C124B"/>
    <w:rsid w:val="004C2999"/>
    <w:rsid w:val="004C4DE5"/>
    <w:rsid w:val="004C532B"/>
    <w:rsid w:val="004C607A"/>
    <w:rsid w:val="004C6C06"/>
    <w:rsid w:val="004D1346"/>
    <w:rsid w:val="004D1A69"/>
    <w:rsid w:val="004D3B72"/>
    <w:rsid w:val="004D4639"/>
    <w:rsid w:val="004D57DE"/>
    <w:rsid w:val="004D6F00"/>
    <w:rsid w:val="004E57EF"/>
    <w:rsid w:val="004E5AD1"/>
    <w:rsid w:val="004F2118"/>
    <w:rsid w:val="004F4759"/>
    <w:rsid w:val="005003FD"/>
    <w:rsid w:val="00500A22"/>
    <w:rsid w:val="00503BAC"/>
    <w:rsid w:val="00504B4E"/>
    <w:rsid w:val="0050558A"/>
    <w:rsid w:val="00506C40"/>
    <w:rsid w:val="005079E6"/>
    <w:rsid w:val="00510C74"/>
    <w:rsid w:val="00511075"/>
    <w:rsid w:val="00511CAB"/>
    <w:rsid w:val="00513BB2"/>
    <w:rsid w:val="005143DE"/>
    <w:rsid w:val="00516F5F"/>
    <w:rsid w:val="00520335"/>
    <w:rsid w:val="00521A9B"/>
    <w:rsid w:val="005220C5"/>
    <w:rsid w:val="00525D18"/>
    <w:rsid w:val="005310C9"/>
    <w:rsid w:val="00533017"/>
    <w:rsid w:val="00533352"/>
    <w:rsid w:val="005339C9"/>
    <w:rsid w:val="00534178"/>
    <w:rsid w:val="00535619"/>
    <w:rsid w:val="00535F41"/>
    <w:rsid w:val="00537A77"/>
    <w:rsid w:val="00540162"/>
    <w:rsid w:val="0054045E"/>
    <w:rsid w:val="0054166D"/>
    <w:rsid w:val="00541E4A"/>
    <w:rsid w:val="00542045"/>
    <w:rsid w:val="00542F01"/>
    <w:rsid w:val="005434C2"/>
    <w:rsid w:val="00544692"/>
    <w:rsid w:val="00546252"/>
    <w:rsid w:val="00546306"/>
    <w:rsid w:val="005468F5"/>
    <w:rsid w:val="00547B00"/>
    <w:rsid w:val="005513E0"/>
    <w:rsid w:val="00552D81"/>
    <w:rsid w:val="00554167"/>
    <w:rsid w:val="005555CE"/>
    <w:rsid w:val="005563A3"/>
    <w:rsid w:val="00556717"/>
    <w:rsid w:val="00561C87"/>
    <w:rsid w:val="00561E75"/>
    <w:rsid w:val="00563DF0"/>
    <w:rsid w:val="005641DC"/>
    <w:rsid w:val="00572514"/>
    <w:rsid w:val="00572FB8"/>
    <w:rsid w:val="00576A8E"/>
    <w:rsid w:val="00576F4B"/>
    <w:rsid w:val="0057770D"/>
    <w:rsid w:val="005821C9"/>
    <w:rsid w:val="00582A86"/>
    <w:rsid w:val="00583ADD"/>
    <w:rsid w:val="005845B0"/>
    <w:rsid w:val="00584CF2"/>
    <w:rsid w:val="00587263"/>
    <w:rsid w:val="0059008C"/>
    <w:rsid w:val="005908E0"/>
    <w:rsid w:val="005922E8"/>
    <w:rsid w:val="0059427C"/>
    <w:rsid w:val="00594888"/>
    <w:rsid w:val="00594C90"/>
    <w:rsid w:val="00595209"/>
    <w:rsid w:val="00596804"/>
    <w:rsid w:val="005A194E"/>
    <w:rsid w:val="005A2261"/>
    <w:rsid w:val="005A42D8"/>
    <w:rsid w:val="005A572E"/>
    <w:rsid w:val="005B0533"/>
    <w:rsid w:val="005B0648"/>
    <w:rsid w:val="005B12A1"/>
    <w:rsid w:val="005B3A65"/>
    <w:rsid w:val="005B4569"/>
    <w:rsid w:val="005B5B93"/>
    <w:rsid w:val="005B5EF9"/>
    <w:rsid w:val="005C16CB"/>
    <w:rsid w:val="005C1BC9"/>
    <w:rsid w:val="005C1E6D"/>
    <w:rsid w:val="005C6A45"/>
    <w:rsid w:val="005C6E57"/>
    <w:rsid w:val="005D0665"/>
    <w:rsid w:val="005D15D4"/>
    <w:rsid w:val="005D21B5"/>
    <w:rsid w:val="005D3C03"/>
    <w:rsid w:val="005D5418"/>
    <w:rsid w:val="005E048C"/>
    <w:rsid w:val="005E0B60"/>
    <w:rsid w:val="005E42B9"/>
    <w:rsid w:val="005E69FB"/>
    <w:rsid w:val="005F24F1"/>
    <w:rsid w:val="005F5F46"/>
    <w:rsid w:val="005F7122"/>
    <w:rsid w:val="00600AE8"/>
    <w:rsid w:val="00601660"/>
    <w:rsid w:val="00603A74"/>
    <w:rsid w:val="00603D95"/>
    <w:rsid w:val="00605368"/>
    <w:rsid w:val="00607B5A"/>
    <w:rsid w:val="00611134"/>
    <w:rsid w:val="00613B16"/>
    <w:rsid w:val="00615EFA"/>
    <w:rsid w:val="00620F04"/>
    <w:rsid w:val="006228C4"/>
    <w:rsid w:val="0062291F"/>
    <w:rsid w:val="00631275"/>
    <w:rsid w:val="00631538"/>
    <w:rsid w:val="00631BAC"/>
    <w:rsid w:val="006321F2"/>
    <w:rsid w:val="00632743"/>
    <w:rsid w:val="0063452F"/>
    <w:rsid w:val="006354F6"/>
    <w:rsid w:val="00636B94"/>
    <w:rsid w:val="00636F2E"/>
    <w:rsid w:val="006424AB"/>
    <w:rsid w:val="00642C22"/>
    <w:rsid w:val="0064440F"/>
    <w:rsid w:val="006452FC"/>
    <w:rsid w:val="00646E29"/>
    <w:rsid w:val="00647935"/>
    <w:rsid w:val="00647A5E"/>
    <w:rsid w:val="0065075B"/>
    <w:rsid w:val="00650D8C"/>
    <w:rsid w:val="006532BA"/>
    <w:rsid w:val="006534F2"/>
    <w:rsid w:val="00653F7B"/>
    <w:rsid w:val="006575B3"/>
    <w:rsid w:val="00660A9E"/>
    <w:rsid w:val="006611D6"/>
    <w:rsid w:val="006613BC"/>
    <w:rsid w:val="00662D7E"/>
    <w:rsid w:val="00664D84"/>
    <w:rsid w:val="0066578E"/>
    <w:rsid w:val="00670FC2"/>
    <w:rsid w:val="00673269"/>
    <w:rsid w:val="006758C9"/>
    <w:rsid w:val="0067614F"/>
    <w:rsid w:val="00677DFE"/>
    <w:rsid w:val="00680D39"/>
    <w:rsid w:val="0068228C"/>
    <w:rsid w:val="00682892"/>
    <w:rsid w:val="00684CF2"/>
    <w:rsid w:val="00685370"/>
    <w:rsid w:val="00685B4F"/>
    <w:rsid w:val="00690BBE"/>
    <w:rsid w:val="00691255"/>
    <w:rsid w:val="00691A1C"/>
    <w:rsid w:val="00692EFD"/>
    <w:rsid w:val="006955EE"/>
    <w:rsid w:val="00695B77"/>
    <w:rsid w:val="00696925"/>
    <w:rsid w:val="00697D45"/>
    <w:rsid w:val="006A0B32"/>
    <w:rsid w:val="006A20A6"/>
    <w:rsid w:val="006A2415"/>
    <w:rsid w:val="006A4F12"/>
    <w:rsid w:val="006B02FC"/>
    <w:rsid w:val="006B08C5"/>
    <w:rsid w:val="006B16C8"/>
    <w:rsid w:val="006B1F99"/>
    <w:rsid w:val="006B2B15"/>
    <w:rsid w:val="006B4472"/>
    <w:rsid w:val="006B6077"/>
    <w:rsid w:val="006B71FE"/>
    <w:rsid w:val="006C2A89"/>
    <w:rsid w:val="006C37D1"/>
    <w:rsid w:val="006C4349"/>
    <w:rsid w:val="006C4D03"/>
    <w:rsid w:val="006C5A90"/>
    <w:rsid w:val="006C5FBE"/>
    <w:rsid w:val="006D0A9C"/>
    <w:rsid w:val="006D2685"/>
    <w:rsid w:val="006D4DA5"/>
    <w:rsid w:val="006D6E58"/>
    <w:rsid w:val="006D7159"/>
    <w:rsid w:val="006E0C4E"/>
    <w:rsid w:val="006E3042"/>
    <w:rsid w:val="006E3A77"/>
    <w:rsid w:val="006E3C07"/>
    <w:rsid w:val="006E4522"/>
    <w:rsid w:val="006E4C88"/>
    <w:rsid w:val="006E5809"/>
    <w:rsid w:val="006F4B3F"/>
    <w:rsid w:val="006F562C"/>
    <w:rsid w:val="006F6AF0"/>
    <w:rsid w:val="00701DFC"/>
    <w:rsid w:val="00702CE1"/>
    <w:rsid w:val="007032A8"/>
    <w:rsid w:val="00704130"/>
    <w:rsid w:val="00707F4F"/>
    <w:rsid w:val="007134AE"/>
    <w:rsid w:val="007134CE"/>
    <w:rsid w:val="007139D9"/>
    <w:rsid w:val="00713AF6"/>
    <w:rsid w:val="0071534B"/>
    <w:rsid w:val="00715976"/>
    <w:rsid w:val="0071598C"/>
    <w:rsid w:val="0072560D"/>
    <w:rsid w:val="00725E9F"/>
    <w:rsid w:val="007272C2"/>
    <w:rsid w:val="00727C59"/>
    <w:rsid w:val="00727D86"/>
    <w:rsid w:val="00734DE5"/>
    <w:rsid w:val="007366D9"/>
    <w:rsid w:val="0073731E"/>
    <w:rsid w:val="00742373"/>
    <w:rsid w:val="0074368C"/>
    <w:rsid w:val="007458C4"/>
    <w:rsid w:val="00745933"/>
    <w:rsid w:val="00745B44"/>
    <w:rsid w:val="00747F4F"/>
    <w:rsid w:val="00750593"/>
    <w:rsid w:val="00750D42"/>
    <w:rsid w:val="007520F4"/>
    <w:rsid w:val="007547A1"/>
    <w:rsid w:val="0075736E"/>
    <w:rsid w:val="00757FF6"/>
    <w:rsid w:val="00761A68"/>
    <w:rsid w:val="00762112"/>
    <w:rsid w:val="007622E2"/>
    <w:rsid w:val="00762749"/>
    <w:rsid w:val="00764693"/>
    <w:rsid w:val="00764C5A"/>
    <w:rsid w:val="00767723"/>
    <w:rsid w:val="00767BFC"/>
    <w:rsid w:val="00771D56"/>
    <w:rsid w:val="00772AA0"/>
    <w:rsid w:val="00775F68"/>
    <w:rsid w:val="007806E1"/>
    <w:rsid w:val="00781B94"/>
    <w:rsid w:val="00781FA3"/>
    <w:rsid w:val="0078287A"/>
    <w:rsid w:val="00784712"/>
    <w:rsid w:val="00785FAF"/>
    <w:rsid w:val="00791BD7"/>
    <w:rsid w:val="0079398D"/>
    <w:rsid w:val="00794DCB"/>
    <w:rsid w:val="00795102"/>
    <w:rsid w:val="00795276"/>
    <w:rsid w:val="00797E00"/>
    <w:rsid w:val="007A0112"/>
    <w:rsid w:val="007A06A6"/>
    <w:rsid w:val="007A0A3C"/>
    <w:rsid w:val="007A0D00"/>
    <w:rsid w:val="007A1DBA"/>
    <w:rsid w:val="007A45AF"/>
    <w:rsid w:val="007A617B"/>
    <w:rsid w:val="007A7374"/>
    <w:rsid w:val="007B18AC"/>
    <w:rsid w:val="007B2BBF"/>
    <w:rsid w:val="007B3FFA"/>
    <w:rsid w:val="007B4F13"/>
    <w:rsid w:val="007B511D"/>
    <w:rsid w:val="007B6E63"/>
    <w:rsid w:val="007C0653"/>
    <w:rsid w:val="007C31A2"/>
    <w:rsid w:val="007C3B58"/>
    <w:rsid w:val="007C3B81"/>
    <w:rsid w:val="007C5CEB"/>
    <w:rsid w:val="007C6F5E"/>
    <w:rsid w:val="007D126F"/>
    <w:rsid w:val="007D26B2"/>
    <w:rsid w:val="007D2757"/>
    <w:rsid w:val="007D332F"/>
    <w:rsid w:val="007D3D29"/>
    <w:rsid w:val="007D4CEB"/>
    <w:rsid w:val="007E04C6"/>
    <w:rsid w:val="007E04D1"/>
    <w:rsid w:val="007E0C2C"/>
    <w:rsid w:val="007E237E"/>
    <w:rsid w:val="007E7EC5"/>
    <w:rsid w:val="007F0D9E"/>
    <w:rsid w:val="007F4B46"/>
    <w:rsid w:val="007F52B6"/>
    <w:rsid w:val="007F7384"/>
    <w:rsid w:val="007F7872"/>
    <w:rsid w:val="007F7D8C"/>
    <w:rsid w:val="007F7E8E"/>
    <w:rsid w:val="00800D32"/>
    <w:rsid w:val="008014B3"/>
    <w:rsid w:val="00803407"/>
    <w:rsid w:val="00803AB3"/>
    <w:rsid w:val="00804A4C"/>
    <w:rsid w:val="00805512"/>
    <w:rsid w:val="0080572C"/>
    <w:rsid w:val="008136BC"/>
    <w:rsid w:val="00813962"/>
    <w:rsid w:val="00814C5D"/>
    <w:rsid w:val="00821D15"/>
    <w:rsid w:val="00823895"/>
    <w:rsid w:val="00833D0B"/>
    <w:rsid w:val="00834D1F"/>
    <w:rsid w:val="008360F7"/>
    <w:rsid w:val="00837631"/>
    <w:rsid w:val="00843A23"/>
    <w:rsid w:val="00844CC9"/>
    <w:rsid w:val="0084689E"/>
    <w:rsid w:val="00846D88"/>
    <w:rsid w:val="0084777F"/>
    <w:rsid w:val="008501A8"/>
    <w:rsid w:val="008511A5"/>
    <w:rsid w:val="00851643"/>
    <w:rsid w:val="0085249C"/>
    <w:rsid w:val="00852F1C"/>
    <w:rsid w:val="0085602C"/>
    <w:rsid w:val="00857766"/>
    <w:rsid w:val="008578A9"/>
    <w:rsid w:val="00857E63"/>
    <w:rsid w:val="008628D2"/>
    <w:rsid w:val="00863F82"/>
    <w:rsid w:val="00865E23"/>
    <w:rsid w:val="008664E7"/>
    <w:rsid w:val="00866E3C"/>
    <w:rsid w:val="00874BDF"/>
    <w:rsid w:val="00874E6F"/>
    <w:rsid w:val="00876B15"/>
    <w:rsid w:val="00885713"/>
    <w:rsid w:val="0088670E"/>
    <w:rsid w:val="00887D2B"/>
    <w:rsid w:val="00891BFE"/>
    <w:rsid w:val="00895A43"/>
    <w:rsid w:val="00895FB9"/>
    <w:rsid w:val="00896525"/>
    <w:rsid w:val="008A01D7"/>
    <w:rsid w:val="008A11AD"/>
    <w:rsid w:val="008A14DE"/>
    <w:rsid w:val="008A2C64"/>
    <w:rsid w:val="008A479A"/>
    <w:rsid w:val="008A5A31"/>
    <w:rsid w:val="008A65A9"/>
    <w:rsid w:val="008A6A7B"/>
    <w:rsid w:val="008A6B99"/>
    <w:rsid w:val="008B1BC6"/>
    <w:rsid w:val="008B250E"/>
    <w:rsid w:val="008B698F"/>
    <w:rsid w:val="008C38C5"/>
    <w:rsid w:val="008C6424"/>
    <w:rsid w:val="008C64E2"/>
    <w:rsid w:val="008C7945"/>
    <w:rsid w:val="008D05AD"/>
    <w:rsid w:val="008D4B2E"/>
    <w:rsid w:val="008D5E6C"/>
    <w:rsid w:val="008E0CDC"/>
    <w:rsid w:val="008E2884"/>
    <w:rsid w:val="008E45F9"/>
    <w:rsid w:val="008E6DA3"/>
    <w:rsid w:val="008E7A04"/>
    <w:rsid w:val="008F0BCA"/>
    <w:rsid w:val="008F279D"/>
    <w:rsid w:val="008F4522"/>
    <w:rsid w:val="00900AA9"/>
    <w:rsid w:val="00901B0D"/>
    <w:rsid w:val="00902C66"/>
    <w:rsid w:val="0091125B"/>
    <w:rsid w:val="00911A58"/>
    <w:rsid w:val="00911E42"/>
    <w:rsid w:val="0091280A"/>
    <w:rsid w:val="00912EB0"/>
    <w:rsid w:val="0091357A"/>
    <w:rsid w:val="00913FCF"/>
    <w:rsid w:val="009145F1"/>
    <w:rsid w:val="00914A8E"/>
    <w:rsid w:val="00914A96"/>
    <w:rsid w:val="00915B66"/>
    <w:rsid w:val="00916C3E"/>
    <w:rsid w:val="0091709C"/>
    <w:rsid w:val="00920608"/>
    <w:rsid w:val="00920FE0"/>
    <w:rsid w:val="00924C54"/>
    <w:rsid w:val="00926D06"/>
    <w:rsid w:val="00930BB9"/>
    <w:rsid w:val="009339FE"/>
    <w:rsid w:val="00933B1F"/>
    <w:rsid w:val="00933B96"/>
    <w:rsid w:val="00940572"/>
    <w:rsid w:val="009429B9"/>
    <w:rsid w:val="00944545"/>
    <w:rsid w:val="00945453"/>
    <w:rsid w:val="00953210"/>
    <w:rsid w:val="00953515"/>
    <w:rsid w:val="00953C5A"/>
    <w:rsid w:val="00954B1D"/>
    <w:rsid w:val="00954DB3"/>
    <w:rsid w:val="009552C7"/>
    <w:rsid w:val="00961B21"/>
    <w:rsid w:val="00964C3E"/>
    <w:rsid w:val="00964E14"/>
    <w:rsid w:val="00965973"/>
    <w:rsid w:val="009706D7"/>
    <w:rsid w:val="009709E8"/>
    <w:rsid w:val="00972BA8"/>
    <w:rsid w:val="0097365C"/>
    <w:rsid w:val="00976276"/>
    <w:rsid w:val="00976B5B"/>
    <w:rsid w:val="00977369"/>
    <w:rsid w:val="00980A1B"/>
    <w:rsid w:val="009822CA"/>
    <w:rsid w:val="00985734"/>
    <w:rsid w:val="00985871"/>
    <w:rsid w:val="00986CCA"/>
    <w:rsid w:val="009968B8"/>
    <w:rsid w:val="009971D1"/>
    <w:rsid w:val="009973E2"/>
    <w:rsid w:val="00997793"/>
    <w:rsid w:val="009977A0"/>
    <w:rsid w:val="009A022E"/>
    <w:rsid w:val="009A1439"/>
    <w:rsid w:val="009A1AA9"/>
    <w:rsid w:val="009A5ADC"/>
    <w:rsid w:val="009B099C"/>
    <w:rsid w:val="009B103B"/>
    <w:rsid w:val="009B13CF"/>
    <w:rsid w:val="009B2C9D"/>
    <w:rsid w:val="009B5DE1"/>
    <w:rsid w:val="009C0763"/>
    <w:rsid w:val="009C0D00"/>
    <w:rsid w:val="009C2B35"/>
    <w:rsid w:val="009C2CD4"/>
    <w:rsid w:val="009C36CF"/>
    <w:rsid w:val="009C3EFB"/>
    <w:rsid w:val="009C6F30"/>
    <w:rsid w:val="009C79BD"/>
    <w:rsid w:val="009D093F"/>
    <w:rsid w:val="009D1898"/>
    <w:rsid w:val="009D4013"/>
    <w:rsid w:val="009D4478"/>
    <w:rsid w:val="009D791F"/>
    <w:rsid w:val="009E3E84"/>
    <w:rsid w:val="009E57C8"/>
    <w:rsid w:val="009E6189"/>
    <w:rsid w:val="009F0688"/>
    <w:rsid w:val="009F2CFA"/>
    <w:rsid w:val="009F313A"/>
    <w:rsid w:val="009F535B"/>
    <w:rsid w:val="009F65BF"/>
    <w:rsid w:val="009F7EA1"/>
    <w:rsid w:val="00A0304A"/>
    <w:rsid w:val="00A0332C"/>
    <w:rsid w:val="00A045FE"/>
    <w:rsid w:val="00A11112"/>
    <w:rsid w:val="00A12169"/>
    <w:rsid w:val="00A16901"/>
    <w:rsid w:val="00A20085"/>
    <w:rsid w:val="00A209AE"/>
    <w:rsid w:val="00A211CE"/>
    <w:rsid w:val="00A24FBB"/>
    <w:rsid w:val="00A265C3"/>
    <w:rsid w:val="00A26665"/>
    <w:rsid w:val="00A30DDA"/>
    <w:rsid w:val="00A3124E"/>
    <w:rsid w:val="00A357F0"/>
    <w:rsid w:val="00A35F77"/>
    <w:rsid w:val="00A378D8"/>
    <w:rsid w:val="00A37C3F"/>
    <w:rsid w:val="00A42A88"/>
    <w:rsid w:val="00A43366"/>
    <w:rsid w:val="00A44C79"/>
    <w:rsid w:val="00A45CFA"/>
    <w:rsid w:val="00A463D2"/>
    <w:rsid w:val="00A47C1E"/>
    <w:rsid w:val="00A508A9"/>
    <w:rsid w:val="00A5191C"/>
    <w:rsid w:val="00A534F2"/>
    <w:rsid w:val="00A53DA4"/>
    <w:rsid w:val="00A55719"/>
    <w:rsid w:val="00A56FD7"/>
    <w:rsid w:val="00A612E2"/>
    <w:rsid w:val="00A621E0"/>
    <w:rsid w:val="00A66902"/>
    <w:rsid w:val="00A67724"/>
    <w:rsid w:val="00A72FF9"/>
    <w:rsid w:val="00A73A49"/>
    <w:rsid w:val="00A77463"/>
    <w:rsid w:val="00A776C5"/>
    <w:rsid w:val="00A8168E"/>
    <w:rsid w:val="00A82163"/>
    <w:rsid w:val="00A82FE8"/>
    <w:rsid w:val="00A83AAB"/>
    <w:rsid w:val="00A83F37"/>
    <w:rsid w:val="00A9003E"/>
    <w:rsid w:val="00A93EDE"/>
    <w:rsid w:val="00A960F6"/>
    <w:rsid w:val="00A97785"/>
    <w:rsid w:val="00AA627A"/>
    <w:rsid w:val="00AA66C4"/>
    <w:rsid w:val="00AA6AD7"/>
    <w:rsid w:val="00AB1BF0"/>
    <w:rsid w:val="00AB6395"/>
    <w:rsid w:val="00AB7508"/>
    <w:rsid w:val="00AC2C7F"/>
    <w:rsid w:val="00AC48C1"/>
    <w:rsid w:val="00AD1AB3"/>
    <w:rsid w:val="00AD2540"/>
    <w:rsid w:val="00AD2CBE"/>
    <w:rsid w:val="00AD4C32"/>
    <w:rsid w:val="00AD4C50"/>
    <w:rsid w:val="00AD5A52"/>
    <w:rsid w:val="00AD62A4"/>
    <w:rsid w:val="00AE1452"/>
    <w:rsid w:val="00AE311C"/>
    <w:rsid w:val="00AE4750"/>
    <w:rsid w:val="00AE5BA4"/>
    <w:rsid w:val="00AE68E3"/>
    <w:rsid w:val="00AF00EA"/>
    <w:rsid w:val="00AF09C7"/>
    <w:rsid w:val="00AF0DB8"/>
    <w:rsid w:val="00AF18B4"/>
    <w:rsid w:val="00AF4130"/>
    <w:rsid w:val="00AF48E0"/>
    <w:rsid w:val="00AF5787"/>
    <w:rsid w:val="00AF646A"/>
    <w:rsid w:val="00B00742"/>
    <w:rsid w:val="00B00F68"/>
    <w:rsid w:val="00B024C1"/>
    <w:rsid w:val="00B02A13"/>
    <w:rsid w:val="00B02E83"/>
    <w:rsid w:val="00B04CE4"/>
    <w:rsid w:val="00B103DF"/>
    <w:rsid w:val="00B111A0"/>
    <w:rsid w:val="00B1564D"/>
    <w:rsid w:val="00B17F4E"/>
    <w:rsid w:val="00B20DFB"/>
    <w:rsid w:val="00B224F2"/>
    <w:rsid w:val="00B24683"/>
    <w:rsid w:val="00B24823"/>
    <w:rsid w:val="00B278C3"/>
    <w:rsid w:val="00B30865"/>
    <w:rsid w:val="00B3334E"/>
    <w:rsid w:val="00B33D76"/>
    <w:rsid w:val="00B3552B"/>
    <w:rsid w:val="00B3557F"/>
    <w:rsid w:val="00B37D25"/>
    <w:rsid w:val="00B407C6"/>
    <w:rsid w:val="00B527B1"/>
    <w:rsid w:val="00B5288F"/>
    <w:rsid w:val="00B52E4D"/>
    <w:rsid w:val="00B5346D"/>
    <w:rsid w:val="00B536CA"/>
    <w:rsid w:val="00B539DD"/>
    <w:rsid w:val="00B53B14"/>
    <w:rsid w:val="00B5677C"/>
    <w:rsid w:val="00B57773"/>
    <w:rsid w:val="00B57A2A"/>
    <w:rsid w:val="00B6119B"/>
    <w:rsid w:val="00B61655"/>
    <w:rsid w:val="00B619E7"/>
    <w:rsid w:val="00B6231E"/>
    <w:rsid w:val="00B65999"/>
    <w:rsid w:val="00B67400"/>
    <w:rsid w:val="00B70A3A"/>
    <w:rsid w:val="00B71D19"/>
    <w:rsid w:val="00B7421E"/>
    <w:rsid w:val="00B74396"/>
    <w:rsid w:val="00B75F07"/>
    <w:rsid w:val="00B7771F"/>
    <w:rsid w:val="00B8046D"/>
    <w:rsid w:val="00B81EFC"/>
    <w:rsid w:val="00B823E5"/>
    <w:rsid w:val="00B824AE"/>
    <w:rsid w:val="00B83048"/>
    <w:rsid w:val="00B83195"/>
    <w:rsid w:val="00B85BFF"/>
    <w:rsid w:val="00B90AD8"/>
    <w:rsid w:val="00B917BE"/>
    <w:rsid w:val="00B93AF0"/>
    <w:rsid w:val="00B942D3"/>
    <w:rsid w:val="00B94E78"/>
    <w:rsid w:val="00B9702C"/>
    <w:rsid w:val="00B97795"/>
    <w:rsid w:val="00BA05EE"/>
    <w:rsid w:val="00BA2B0D"/>
    <w:rsid w:val="00BA3D5D"/>
    <w:rsid w:val="00BA4722"/>
    <w:rsid w:val="00BA768C"/>
    <w:rsid w:val="00BA7950"/>
    <w:rsid w:val="00BB1003"/>
    <w:rsid w:val="00BB1093"/>
    <w:rsid w:val="00BB1185"/>
    <w:rsid w:val="00BB2080"/>
    <w:rsid w:val="00BB4C65"/>
    <w:rsid w:val="00BB643D"/>
    <w:rsid w:val="00BB675B"/>
    <w:rsid w:val="00BB6880"/>
    <w:rsid w:val="00BB7AE2"/>
    <w:rsid w:val="00BC06F2"/>
    <w:rsid w:val="00BD3265"/>
    <w:rsid w:val="00BD3F7A"/>
    <w:rsid w:val="00BD4F42"/>
    <w:rsid w:val="00BD6BD7"/>
    <w:rsid w:val="00BD775D"/>
    <w:rsid w:val="00BD779A"/>
    <w:rsid w:val="00BE4BC5"/>
    <w:rsid w:val="00BE669B"/>
    <w:rsid w:val="00BE6AF8"/>
    <w:rsid w:val="00BF456A"/>
    <w:rsid w:val="00BF4596"/>
    <w:rsid w:val="00BF4DB7"/>
    <w:rsid w:val="00BF5B0B"/>
    <w:rsid w:val="00BF63F4"/>
    <w:rsid w:val="00BF6A9B"/>
    <w:rsid w:val="00C018DE"/>
    <w:rsid w:val="00C01E41"/>
    <w:rsid w:val="00C03D28"/>
    <w:rsid w:val="00C06E63"/>
    <w:rsid w:val="00C079C8"/>
    <w:rsid w:val="00C10EFE"/>
    <w:rsid w:val="00C12109"/>
    <w:rsid w:val="00C13055"/>
    <w:rsid w:val="00C13B5E"/>
    <w:rsid w:val="00C13CC9"/>
    <w:rsid w:val="00C13E89"/>
    <w:rsid w:val="00C14463"/>
    <w:rsid w:val="00C145F7"/>
    <w:rsid w:val="00C16BEE"/>
    <w:rsid w:val="00C25300"/>
    <w:rsid w:val="00C26BC7"/>
    <w:rsid w:val="00C320C1"/>
    <w:rsid w:val="00C33B79"/>
    <w:rsid w:val="00C3451C"/>
    <w:rsid w:val="00C35AE3"/>
    <w:rsid w:val="00C35D05"/>
    <w:rsid w:val="00C37E1A"/>
    <w:rsid w:val="00C416B9"/>
    <w:rsid w:val="00C41BF6"/>
    <w:rsid w:val="00C44215"/>
    <w:rsid w:val="00C469C6"/>
    <w:rsid w:val="00C46FC0"/>
    <w:rsid w:val="00C4758A"/>
    <w:rsid w:val="00C51ABC"/>
    <w:rsid w:val="00C53D71"/>
    <w:rsid w:val="00C60C56"/>
    <w:rsid w:val="00C62340"/>
    <w:rsid w:val="00C62B66"/>
    <w:rsid w:val="00C67B40"/>
    <w:rsid w:val="00C72A0D"/>
    <w:rsid w:val="00C73683"/>
    <w:rsid w:val="00C75A59"/>
    <w:rsid w:val="00C85A72"/>
    <w:rsid w:val="00C90EC1"/>
    <w:rsid w:val="00C90F4A"/>
    <w:rsid w:val="00C915DE"/>
    <w:rsid w:val="00C93747"/>
    <w:rsid w:val="00C93922"/>
    <w:rsid w:val="00C93ADE"/>
    <w:rsid w:val="00C93FEF"/>
    <w:rsid w:val="00C951A2"/>
    <w:rsid w:val="00C9705C"/>
    <w:rsid w:val="00C97190"/>
    <w:rsid w:val="00CA09A6"/>
    <w:rsid w:val="00CA1788"/>
    <w:rsid w:val="00CA4BB5"/>
    <w:rsid w:val="00CA624E"/>
    <w:rsid w:val="00CA6633"/>
    <w:rsid w:val="00CB1326"/>
    <w:rsid w:val="00CB3AE8"/>
    <w:rsid w:val="00CB4A83"/>
    <w:rsid w:val="00CB4DD1"/>
    <w:rsid w:val="00CB5275"/>
    <w:rsid w:val="00CB6266"/>
    <w:rsid w:val="00CB78DD"/>
    <w:rsid w:val="00CB7B65"/>
    <w:rsid w:val="00CC0E75"/>
    <w:rsid w:val="00CC1A98"/>
    <w:rsid w:val="00CC3439"/>
    <w:rsid w:val="00CC4F3C"/>
    <w:rsid w:val="00CC6EEB"/>
    <w:rsid w:val="00CC759B"/>
    <w:rsid w:val="00CD0D55"/>
    <w:rsid w:val="00CD2955"/>
    <w:rsid w:val="00CD2C2D"/>
    <w:rsid w:val="00CD3189"/>
    <w:rsid w:val="00CD5606"/>
    <w:rsid w:val="00CD5932"/>
    <w:rsid w:val="00CD6AB7"/>
    <w:rsid w:val="00CE0D97"/>
    <w:rsid w:val="00CE0DAD"/>
    <w:rsid w:val="00CE1A32"/>
    <w:rsid w:val="00CE1CDA"/>
    <w:rsid w:val="00CE1F61"/>
    <w:rsid w:val="00CE6326"/>
    <w:rsid w:val="00CE6DCF"/>
    <w:rsid w:val="00CE76DC"/>
    <w:rsid w:val="00CF2115"/>
    <w:rsid w:val="00CF2A98"/>
    <w:rsid w:val="00CF31E5"/>
    <w:rsid w:val="00CF3F31"/>
    <w:rsid w:val="00CF53DA"/>
    <w:rsid w:val="00CF62AA"/>
    <w:rsid w:val="00CF6DCC"/>
    <w:rsid w:val="00CF7D09"/>
    <w:rsid w:val="00CF7D35"/>
    <w:rsid w:val="00D02997"/>
    <w:rsid w:val="00D04AC0"/>
    <w:rsid w:val="00D1018B"/>
    <w:rsid w:val="00D11D87"/>
    <w:rsid w:val="00D123AE"/>
    <w:rsid w:val="00D13E3B"/>
    <w:rsid w:val="00D14656"/>
    <w:rsid w:val="00D22F9E"/>
    <w:rsid w:val="00D23EE5"/>
    <w:rsid w:val="00D240CF"/>
    <w:rsid w:val="00D26EE8"/>
    <w:rsid w:val="00D33651"/>
    <w:rsid w:val="00D3485C"/>
    <w:rsid w:val="00D3564B"/>
    <w:rsid w:val="00D3717A"/>
    <w:rsid w:val="00D40AFB"/>
    <w:rsid w:val="00D441A5"/>
    <w:rsid w:val="00D52559"/>
    <w:rsid w:val="00D5545F"/>
    <w:rsid w:val="00D561D7"/>
    <w:rsid w:val="00D56726"/>
    <w:rsid w:val="00D57D4E"/>
    <w:rsid w:val="00D6410F"/>
    <w:rsid w:val="00D65007"/>
    <w:rsid w:val="00D674EB"/>
    <w:rsid w:val="00D732C0"/>
    <w:rsid w:val="00D73C36"/>
    <w:rsid w:val="00D752A7"/>
    <w:rsid w:val="00D75D1C"/>
    <w:rsid w:val="00D75D66"/>
    <w:rsid w:val="00D760EA"/>
    <w:rsid w:val="00D76AE2"/>
    <w:rsid w:val="00D82FB4"/>
    <w:rsid w:val="00D83F2B"/>
    <w:rsid w:val="00D84A19"/>
    <w:rsid w:val="00D873F9"/>
    <w:rsid w:val="00D91D24"/>
    <w:rsid w:val="00D920B3"/>
    <w:rsid w:val="00D9621A"/>
    <w:rsid w:val="00D965F1"/>
    <w:rsid w:val="00DA0824"/>
    <w:rsid w:val="00DA1AAF"/>
    <w:rsid w:val="00DA327A"/>
    <w:rsid w:val="00DA3302"/>
    <w:rsid w:val="00DA634E"/>
    <w:rsid w:val="00DB0C36"/>
    <w:rsid w:val="00DB1AF9"/>
    <w:rsid w:val="00DB46C6"/>
    <w:rsid w:val="00DB6164"/>
    <w:rsid w:val="00DB656C"/>
    <w:rsid w:val="00DB7C87"/>
    <w:rsid w:val="00DC1A74"/>
    <w:rsid w:val="00DC206E"/>
    <w:rsid w:val="00DC4F9F"/>
    <w:rsid w:val="00DC5BCC"/>
    <w:rsid w:val="00DD06F9"/>
    <w:rsid w:val="00DD102D"/>
    <w:rsid w:val="00DD2B2D"/>
    <w:rsid w:val="00DD3FBF"/>
    <w:rsid w:val="00DD4BA6"/>
    <w:rsid w:val="00DD5260"/>
    <w:rsid w:val="00DD5EB8"/>
    <w:rsid w:val="00DD7ED1"/>
    <w:rsid w:val="00DE0C42"/>
    <w:rsid w:val="00DE1289"/>
    <w:rsid w:val="00DE470F"/>
    <w:rsid w:val="00DE545E"/>
    <w:rsid w:val="00DE5FF8"/>
    <w:rsid w:val="00DE60FF"/>
    <w:rsid w:val="00DE65CC"/>
    <w:rsid w:val="00DE7AC2"/>
    <w:rsid w:val="00DF21F9"/>
    <w:rsid w:val="00DF2A04"/>
    <w:rsid w:val="00DF3464"/>
    <w:rsid w:val="00DF6286"/>
    <w:rsid w:val="00DF7009"/>
    <w:rsid w:val="00E02C6A"/>
    <w:rsid w:val="00E035E4"/>
    <w:rsid w:val="00E04352"/>
    <w:rsid w:val="00E047A9"/>
    <w:rsid w:val="00E05286"/>
    <w:rsid w:val="00E062C8"/>
    <w:rsid w:val="00E07885"/>
    <w:rsid w:val="00E130DC"/>
    <w:rsid w:val="00E13F43"/>
    <w:rsid w:val="00E15057"/>
    <w:rsid w:val="00E17C15"/>
    <w:rsid w:val="00E2626B"/>
    <w:rsid w:val="00E316B6"/>
    <w:rsid w:val="00E352E9"/>
    <w:rsid w:val="00E367E4"/>
    <w:rsid w:val="00E41421"/>
    <w:rsid w:val="00E426FA"/>
    <w:rsid w:val="00E42921"/>
    <w:rsid w:val="00E4332F"/>
    <w:rsid w:val="00E44236"/>
    <w:rsid w:val="00E50D12"/>
    <w:rsid w:val="00E52663"/>
    <w:rsid w:val="00E531A5"/>
    <w:rsid w:val="00E54220"/>
    <w:rsid w:val="00E56DDC"/>
    <w:rsid w:val="00E60C95"/>
    <w:rsid w:val="00E620F2"/>
    <w:rsid w:val="00E6277D"/>
    <w:rsid w:val="00E65B2B"/>
    <w:rsid w:val="00E6676B"/>
    <w:rsid w:val="00E70087"/>
    <w:rsid w:val="00E71903"/>
    <w:rsid w:val="00E727EF"/>
    <w:rsid w:val="00E747FD"/>
    <w:rsid w:val="00E75814"/>
    <w:rsid w:val="00E80626"/>
    <w:rsid w:val="00E83503"/>
    <w:rsid w:val="00E84D69"/>
    <w:rsid w:val="00E86723"/>
    <w:rsid w:val="00E86CA7"/>
    <w:rsid w:val="00E87463"/>
    <w:rsid w:val="00E905CB"/>
    <w:rsid w:val="00E9193D"/>
    <w:rsid w:val="00E96FE7"/>
    <w:rsid w:val="00E97A7D"/>
    <w:rsid w:val="00EA31BB"/>
    <w:rsid w:val="00EA4D1C"/>
    <w:rsid w:val="00EA561A"/>
    <w:rsid w:val="00EA6565"/>
    <w:rsid w:val="00EA6DBC"/>
    <w:rsid w:val="00EA6F5E"/>
    <w:rsid w:val="00EA71D7"/>
    <w:rsid w:val="00EA7750"/>
    <w:rsid w:val="00EB5ADC"/>
    <w:rsid w:val="00EC0D44"/>
    <w:rsid w:val="00EC19D3"/>
    <w:rsid w:val="00EC5281"/>
    <w:rsid w:val="00EC5E23"/>
    <w:rsid w:val="00ED03E0"/>
    <w:rsid w:val="00ED5E23"/>
    <w:rsid w:val="00ED7289"/>
    <w:rsid w:val="00EE1161"/>
    <w:rsid w:val="00EE1B9D"/>
    <w:rsid w:val="00EE22F1"/>
    <w:rsid w:val="00EE23EC"/>
    <w:rsid w:val="00EE31CE"/>
    <w:rsid w:val="00EE3201"/>
    <w:rsid w:val="00EE3678"/>
    <w:rsid w:val="00EE5BA0"/>
    <w:rsid w:val="00EE60F5"/>
    <w:rsid w:val="00EF1657"/>
    <w:rsid w:val="00EF43DF"/>
    <w:rsid w:val="00EF5DA4"/>
    <w:rsid w:val="00F0021C"/>
    <w:rsid w:val="00F02070"/>
    <w:rsid w:val="00F026BB"/>
    <w:rsid w:val="00F036E6"/>
    <w:rsid w:val="00F03D80"/>
    <w:rsid w:val="00F044B2"/>
    <w:rsid w:val="00F047A4"/>
    <w:rsid w:val="00F05FC9"/>
    <w:rsid w:val="00F1009B"/>
    <w:rsid w:val="00F14066"/>
    <w:rsid w:val="00F15821"/>
    <w:rsid w:val="00F160A3"/>
    <w:rsid w:val="00F2060B"/>
    <w:rsid w:val="00F20C2D"/>
    <w:rsid w:val="00F2108D"/>
    <w:rsid w:val="00F2116A"/>
    <w:rsid w:val="00F26E5A"/>
    <w:rsid w:val="00F313B0"/>
    <w:rsid w:val="00F33E20"/>
    <w:rsid w:val="00F35A3E"/>
    <w:rsid w:val="00F372CB"/>
    <w:rsid w:val="00F376F0"/>
    <w:rsid w:val="00F37A0E"/>
    <w:rsid w:val="00F37C41"/>
    <w:rsid w:val="00F43B54"/>
    <w:rsid w:val="00F4474C"/>
    <w:rsid w:val="00F51141"/>
    <w:rsid w:val="00F52E53"/>
    <w:rsid w:val="00F54BF9"/>
    <w:rsid w:val="00F564B2"/>
    <w:rsid w:val="00F56F43"/>
    <w:rsid w:val="00F56FE4"/>
    <w:rsid w:val="00F61223"/>
    <w:rsid w:val="00F61507"/>
    <w:rsid w:val="00F61713"/>
    <w:rsid w:val="00F64F27"/>
    <w:rsid w:val="00F66CB1"/>
    <w:rsid w:val="00F67236"/>
    <w:rsid w:val="00F67C88"/>
    <w:rsid w:val="00F703E3"/>
    <w:rsid w:val="00F72DDA"/>
    <w:rsid w:val="00F739FF"/>
    <w:rsid w:val="00F80A28"/>
    <w:rsid w:val="00F8331F"/>
    <w:rsid w:val="00F8720E"/>
    <w:rsid w:val="00F875C3"/>
    <w:rsid w:val="00F87B10"/>
    <w:rsid w:val="00F96805"/>
    <w:rsid w:val="00F96ED6"/>
    <w:rsid w:val="00FA0181"/>
    <w:rsid w:val="00FA2DCF"/>
    <w:rsid w:val="00FA3A1B"/>
    <w:rsid w:val="00FA3BF6"/>
    <w:rsid w:val="00FA3FAA"/>
    <w:rsid w:val="00FB1C39"/>
    <w:rsid w:val="00FB289E"/>
    <w:rsid w:val="00FB2F9D"/>
    <w:rsid w:val="00FB3072"/>
    <w:rsid w:val="00FB4557"/>
    <w:rsid w:val="00FB4948"/>
    <w:rsid w:val="00FB4CE8"/>
    <w:rsid w:val="00FB5D29"/>
    <w:rsid w:val="00FC0856"/>
    <w:rsid w:val="00FC1697"/>
    <w:rsid w:val="00FC4608"/>
    <w:rsid w:val="00FD4A87"/>
    <w:rsid w:val="00FD5F8B"/>
    <w:rsid w:val="00FD65B9"/>
    <w:rsid w:val="00FD6F5D"/>
    <w:rsid w:val="00FE0998"/>
    <w:rsid w:val="00FE0C60"/>
    <w:rsid w:val="00FE2E2C"/>
    <w:rsid w:val="00FF3A45"/>
    <w:rsid w:val="00FF3FCF"/>
    <w:rsid w:val="00FF510D"/>
    <w:rsid w:val="00FF65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30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6C7"/>
    <w:rPr>
      <w:sz w:val="24"/>
      <w:szCs w:val="24"/>
    </w:rPr>
  </w:style>
  <w:style w:type="paragraph" w:styleId="Heading1">
    <w:name w:val="heading 1"/>
    <w:basedOn w:val="Normal"/>
    <w:qFormat/>
    <w:rsid w:val="005F7122"/>
    <w:pPr>
      <w:spacing w:after="240"/>
      <w:jc w:val="both"/>
      <w:outlineLvl w:val="0"/>
    </w:pPr>
    <w:rPr>
      <w:rFonts w:ascii="Arial Narrow" w:hAnsi="Arial Narrow"/>
      <w:b/>
    </w:rPr>
  </w:style>
  <w:style w:type="paragraph" w:styleId="Heading2">
    <w:name w:val="heading 2"/>
    <w:basedOn w:val="Normal"/>
    <w:next w:val="Normal"/>
    <w:qFormat/>
    <w:rsid w:val="005F7122"/>
    <w:pPr>
      <w:jc w:val="both"/>
      <w:outlineLvl w:val="1"/>
    </w:pPr>
    <w:rPr>
      <w:rFonts w:ascii="Arial Narrow" w:hAnsi="Arial Narrow"/>
      <w:b/>
      <w:i/>
    </w:rPr>
  </w:style>
  <w:style w:type="paragraph" w:styleId="Heading3">
    <w:name w:val="heading 3"/>
    <w:basedOn w:val="Normal"/>
    <w:next w:val="Normal"/>
    <w:link w:val="Heading3Char"/>
    <w:unhideWhenUsed/>
    <w:qFormat/>
    <w:rsid w:val="005F7122"/>
    <w:pPr>
      <w:autoSpaceDE w:val="0"/>
      <w:autoSpaceDN w:val="0"/>
      <w:adjustRightInd w:val="0"/>
      <w:jc w:val="both"/>
      <w:outlineLvl w:val="2"/>
    </w:pPr>
    <w:rPr>
      <w:rFonts w:ascii="Arial Narrow" w:hAnsi="Arial Narrow"/>
      <w:u w:val="single"/>
    </w:rPr>
  </w:style>
  <w:style w:type="paragraph" w:styleId="Heading4">
    <w:name w:val="heading 4"/>
    <w:basedOn w:val="Normal"/>
    <w:qFormat/>
    <w:rsid w:val="002236C7"/>
    <w:pPr>
      <w:keepNext/>
      <w:autoSpaceDE w:val="0"/>
      <w:autoSpaceDN w:val="0"/>
      <w:adjustRightInd w:val="0"/>
      <w:jc w:val="both"/>
      <w:outlineLvl w:val="3"/>
    </w:pPr>
    <w:rPr>
      <w:rFonts w:ascii="Arial Narrow" w:hAnsi="Arial Narrow"/>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D3FBF"/>
    <w:rPr>
      <w:color w:val="0000FF"/>
      <w:u w:val="single"/>
    </w:rPr>
  </w:style>
  <w:style w:type="paragraph" w:styleId="Footer">
    <w:name w:val="footer"/>
    <w:basedOn w:val="Normal"/>
    <w:link w:val="FooterChar"/>
    <w:uiPriority w:val="99"/>
    <w:rsid w:val="00DD3FBF"/>
    <w:pPr>
      <w:tabs>
        <w:tab w:val="center" w:pos="4320"/>
        <w:tab w:val="right" w:pos="8640"/>
      </w:tabs>
    </w:pPr>
  </w:style>
  <w:style w:type="character" w:styleId="PageNumber">
    <w:name w:val="page number"/>
    <w:basedOn w:val="DefaultParagraphFont"/>
    <w:rsid w:val="00DD3FBF"/>
  </w:style>
  <w:style w:type="paragraph" w:customStyle="1" w:styleId="Style14ptBoldCenteredBottomSinglesolidlineAuto15">
    <w:name w:val="Style 14 pt Bold Centered Bottom: (Single solid line Auto  1.5..."/>
    <w:basedOn w:val="Normal"/>
    <w:rsid w:val="00DD3FBF"/>
    <w:pPr>
      <w:jc w:val="center"/>
    </w:pPr>
    <w:rPr>
      <w:b/>
      <w:bCs/>
      <w:caps/>
      <w:sz w:val="28"/>
      <w:szCs w:val="28"/>
    </w:rPr>
  </w:style>
  <w:style w:type="paragraph" w:customStyle="1" w:styleId="Style14ptBoldCenteredBottomSinglesolidlineAuto151">
    <w:name w:val="Style 14 pt Bold Centered Bottom: (Single solid line Auto  1.5...1"/>
    <w:basedOn w:val="Normal"/>
    <w:rsid w:val="00DD3FBF"/>
    <w:pPr>
      <w:jc w:val="center"/>
    </w:pPr>
    <w:rPr>
      <w:b/>
      <w:bCs/>
      <w:sz w:val="28"/>
      <w:szCs w:val="20"/>
    </w:rPr>
  </w:style>
  <w:style w:type="paragraph" w:styleId="Header">
    <w:name w:val="header"/>
    <w:basedOn w:val="Normal"/>
    <w:rsid w:val="00C26BC7"/>
    <w:pPr>
      <w:tabs>
        <w:tab w:val="center" w:pos="4320"/>
        <w:tab w:val="right" w:pos="8640"/>
      </w:tabs>
    </w:pPr>
  </w:style>
  <w:style w:type="character" w:styleId="Emphasis">
    <w:name w:val="Emphasis"/>
    <w:qFormat/>
    <w:rsid w:val="00684CF2"/>
    <w:rPr>
      <w:i/>
      <w:iCs/>
    </w:rPr>
  </w:style>
  <w:style w:type="paragraph" w:styleId="BodyText">
    <w:name w:val="Body Text"/>
    <w:basedOn w:val="Normal"/>
    <w:link w:val="BodyTextChar"/>
    <w:rsid w:val="005F7122"/>
    <w:pPr>
      <w:spacing w:after="240"/>
      <w:jc w:val="both"/>
    </w:pPr>
    <w:rPr>
      <w:rFonts w:ascii="Arial Narrow" w:hAnsi="Arial Narrow"/>
    </w:rPr>
  </w:style>
  <w:style w:type="paragraph" w:styleId="BalloonText">
    <w:name w:val="Balloon Text"/>
    <w:basedOn w:val="Normal"/>
    <w:semiHidden/>
    <w:rsid w:val="00784712"/>
    <w:rPr>
      <w:rFonts w:ascii="Tahoma" w:hAnsi="Tahoma" w:cs="Tahoma"/>
      <w:sz w:val="16"/>
      <w:szCs w:val="16"/>
    </w:rPr>
  </w:style>
  <w:style w:type="character" w:styleId="FootnoteReference">
    <w:name w:val="footnote reference"/>
    <w:uiPriority w:val="99"/>
    <w:rsid w:val="00BD6BD7"/>
  </w:style>
  <w:style w:type="paragraph" w:styleId="FootnoteText">
    <w:name w:val="footnote text"/>
    <w:basedOn w:val="Normal"/>
    <w:link w:val="FootnoteTextChar"/>
    <w:rsid w:val="00BD6BD7"/>
    <w:pPr>
      <w:widowControl w:val="0"/>
    </w:pPr>
    <w:rPr>
      <w:rFonts w:ascii="NewBskvll BT" w:hAnsi="NewBskvll BT"/>
      <w:snapToGrid w:val="0"/>
      <w:sz w:val="20"/>
      <w:szCs w:val="20"/>
    </w:rPr>
  </w:style>
  <w:style w:type="paragraph" w:styleId="PlainText">
    <w:name w:val="Plain Text"/>
    <w:basedOn w:val="Normal"/>
    <w:link w:val="PlainTextChar"/>
    <w:uiPriority w:val="99"/>
    <w:rsid w:val="00BD6BD7"/>
    <w:pPr>
      <w:widowControl w:val="0"/>
    </w:pPr>
    <w:rPr>
      <w:rFonts w:ascii="Courier New" w:hAnsi="Courier New"/>
      <w:snapToGrid w:val="0"/>
      <w:sz w:val="20"/>
      <w:szCs w:val="20"/>
    </w:rPr>
  </w:style>
  <w:style w:type="character" w:styleId="CommentReference">
    <w:name w:val="annotation reference"/>
    <w:semiHidden/>
    <w:rsid w:val="000C616B"/>
    <w:rPr>
      <w:sz w:val="16"/>
      <w:szCs w:val="16"/>
    </w:rPr>
  </w:style>
  <w:style w:type="paragraph" w:styleId="CommentText">
    <w:name w:val="annotation text"/>
    <w:basedOn w:val="Normal"/>
    <w:semiHidden/>
    <w:rsid w:val="000C616B"/>
    <w:rPr>
      <w:sz w:val="20"/>
      <w:szCs w:val="20"/>
    </w:rPr>
  </w:style>
  <w:style w:type="paragraph" w:styleId="CommentSubject">
    <w:name w:val="annotation subject"/>
    <w:basedOn w:val="CommentText"/>
    <w:next w:val="CommentText"/>
    <w:semiHidden/>
    <w:rsid w:val="000C616B"/>
    <w:rPr>
      <w:b/>
      <w:bCs/>
    </w:rPr>
  </w:style>
  <w:style w:type="character" w:styleId="FollowedHyperlink">
    <w:name w:val="FollowedHyperlink"/>
    <w:rsid w:val="00C145F7"/>
    <w:rPr>
      <w:color w:val="800080"/>
      <w:u w:val="single"/>
    </w:rPr>
  </w:style>
  <w:style w:type="paragraph" w:styleId="NormalWeb">
    <w:name w:val="Normal (Web)"/>
    <w:basedOn w:val="Normal"/>
    <w:rsid w:val="00646E29"/>
    <w:pPr>
      <w:spacing w:before="100" w:beforeAutospacing="1" w:after="100" w:afterAutospacing="1"/>
    </w:pPr>
  </w:style>
  <w:style w:type="paragraph" w:customStyle="1" w:styleId="Default">
    <w:name w:val="Default"/>
    <w:rsid w:val="00314BBC"/>
    <w:pPr>
      <w:widowControl w:val="0"/>
      <w:autoSpaceDE w:val="0"/>
      <w:autoSpaceDN w:val="0"/>
      <w:adjustRightInd w:val="0"/>
    </w:pPr>
    <w:rPr>
      <w:color w:val="000000"/>
      <w:sz w:val="24"/>
      <w:szCs w:val="24"/>
    </w:rPr>
  </w:style>
  <w:style w:type="character" w:customStyle="1" w:styleId="searchresultjournal1">
    <w:name w:val="searchresultjournal1"/>
    <w:rsid w:val="00FE2E2C"/>
    <w:rPr>
      <w:strike w:val="0"/>
      <w:dstrike w:val="0"/>
      <w:color w:val="006699"/>
      <w:u w:val="none"/>
      <w:effect w:val="none"/>
    </w:rPr>
  </w:style>
  <w:style w:type="paragraph" w:customStyle="1" w:styleId="affiliation">
    <w:name w:val="affiliation"/>
    <w:basedOn w:val="Normal"/>
    <w:rsid w:val="00FE2E2C"/>
    <w:pPr>
      <w:spacing w:before="100" w:beforeAutospacing="1" w:after="100" w:afterAutospacing="1"/>
    </w:pPr>
  </w:style>
  <w:style w:type="paragraph" w:styleId="DocumentMap">
    <w:name w:val="Document Map"/>
    <w:basedOn w:val="Normal"/>
    <w:semiHidden/>
    <w:rsid w:val="00025FF0"/>
    <w:pPr>
      <w:shd w:val="clear" w:color="auto" w:fill="000080"/>
    </w:pPr>
    <w:rPr>
      <w:rFonts w:ascii="Tahoma" w:hAnsi="Tahoma" w:cs="Tahoma"/>
      <w:sz w:val="20"/>
      <w:szCs w:val="20"/>
    </w:rPr>
  </w:style>
  <w:style w:type="character" w:customStyle="1" w:styleId="ti">
    <w:name w:val="ti"/>
    <w:basedOn w:val="DefaultParagraphFont"/>
    <w:rsid w:val="00650D8C"/>
  </w:style>
  <w:style w:type="character" w:customStyle="1" w:styleId="featuredlinkouts">
    <w:name w:val="featured_linkouts"/>
    <w:basedOn w:val="DefaultParagraphFont"/>
    <w:rsid w:val="00650D8C"/>
  </w:style>
  <w:style w:type="table" w:styleId="TableGrid">
    <w:name w:val="Table Grid"/>
    <w:basedOn w:val="TableNormal"/>
    <w:uiPriority w:val="59"/>
    <w:rsid w:val="00ED5E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80195"/>
    <w:rPr>
      <w:sz w:val="24"/>
      <w:szCs w:val="24"/>
    </w:rPr>
  </w:style>
  <w:style w:type="paragraph" w:styleId="BodyText2">
    <w:name w:val="Body Text 2"/>
    <w:basedOn w:val="Normal"/>
    <w:link w:val="BodyText2Char"/>
    <w:rsid w:val="00180195"/>
    <w:pPr>
      <w:spacing w:after="120" w:line="480" w:lineRule="auto"/>
    </w:pPr>
  </w:style>
  <w:style w:type="character" w:customStyle="1" w:styleId="BodyText2Char">
    <w:name w:val="Body Text 2 Char"/>
    <w:link w:val="BodyText2"/>
    <w:rsid w:val="00180195"/>
    <w:rPr>
      <w:sz w:val="24"/>
      <w:szCs w:val="24"/>
    </w:rPr>
  </w:style>
  <w:style w:type="paragraph" w:customStyle="1" w:styleId="Document3">
    <w:name w:val="Document 3"/>
    <w:rsid w:val="00041C06"/>
    <w:pPr>
      <w:keepNext/>
    </w:pPr>
    <w:rPr>
      <w:rFonts w:ascii="Arial" w:hAnsi="Arial"/>
      <w:b/>
      <w:i/>
      <w:sz w:val="22"/>
    </w:rPr>
  </w:style>
  <w:style w:type="paragraph" w:customStyle="1" w:styleId="TableText">
    <w:name w:val="Table Text"/>
    <w:semiHidden/>
    <w:rsid w:val="00791BD7"/>
    <w:pPr>
      <w:jc w:val="center"/>
    </w:pPr>
    <w:rPr>
      <w:rFonts w:ascii="Arial Narrow" w:hAnsi="Arial Narrow"/>
      <w:bCs/>
      <w:sz w:val="24"/>
      <w:szCs w:val="24"/>
    </w:rPr>
  </w:style>
  <w:style w:type="paragraph" w:customStyle="1" w:styleId="Document2">
    <w:name w:val="Document 2"/>
    <w:basedOn w:val="Normal"/>
    <w:rsid w:val="00041C06"/>
    <w:pPr>
      <w:keepNext/>
      <w:spacing w:after="120"/>
      <w:jc w:val="both"/>
    </w:pPr>
    <w:rPr>
      <w:rFonts w:ascii="Arial Black" w:hAnsi="Arial Black" w:cs="Arial"/>
      <w:smallCaps/>
    </w:rPr>
  </w:style>
  <w:style w:type="paragraph" w:customStyle="1" w:styleId="DocumentBullet1">
    <w:name w:val="Document_Bullet 1"/>
    <w:rsid w:val="00041C06"/>
    <w:pPr>
      <w:numPr>
        <w:numId w:val="1"/>
      </w:numPr>
      <w:spacing w:after="120"/>
    </w:pPr>
    <w:rPr>
      <w:rFonts w:ascii="Arial" w:hAnsi="Arial"/>
      <w:sz w:val="22"/>
    </w:rPr>
  </w:style>
  <w:style w:type="paragraph" w:customStyle="1" w:styleId="DocumentBullet2">
    <w:name w:val="Document_Bullet 2"/>
    <w:basedOn w:val="DocumentBullet1"/>
    <w:rsid w:val="00041C06"/>
    <w:pPr>
      <w:spacing w:after="0"/>
    </w:pPr>
  </w:style>
  <w:style w:type="paragraph" w:customStyle="1" w:styleId="DocumentBullet3">
    <w:name w:val="Document_Bullet 3"/>
    <w:basedOn w:val="DocumentBullet2"/>
    <w:rsid w:val="00041C06"/>
    <w:pPr>
      <w:numPr>
        <w:ilvl w:val="2"/>
      </w:numPr>
    </w:pPr>
  </w:style>
  <w:style w:type="paragraph" w:customStyle="1" w:styleId="Document1">
    <w:name w:val="Document 1"/>
    <w:basedOn w:val="Normal"/>
    <w:rsid w:val="00041C06"/>
    <w:pPr>
      <w:pBdr>
        <w:bottom w:val="thickThinSmallGap" w:sz="24" w:space="1" w:color="auto"/>
      </w:pBdr>
      <w:jc w:val="center"/>
    </w:pPr>
    <w:rPr>
      <w:rFonts w:ascii="Arial Black" w:hAnsi="Arial Black" w:cs="Arial"/>
      <w:caps/>
      <w:spacing w:val="40"/>
      <w:sz w:val="28"/>
      <w:szCs w:val="28"/>
    </w:rPr>
  </w:style>
  <w:style w:type="character" w:customStyle="1" w:styleId="normalchar">
    <w:name w:val="normal__char"/>
    <w:basedOn w:val="DefaultParagraphFont"/>
    <w:rsid w:val="00834D1F"/>
  </w:style>
  <w:style w:type="paragraph" w:styleId="TOC1">
    <w:name w:val="toc 1"/>
    <w:basedOn w:val="Normal"/>
    <w:next w:val="Normal"/>
    <w:autoRedefine/>
    <w:uiPriority w:val="39"/>
    <w:rsid w:val="008E6DA3"/>
    <w:pPr>
      <w:tabs>
        <w:tab w:val="right" w:leader="dot" w:pos="9350"/>
      </w:tabs>
      <w:spacing w:after="100"/>
    </w:pPr>
    <w:rPr>
      <w:rFonts w:ascii="Arial" w:hAnsi="Arial" w:cs="Arial"/>
      <w:b/>
      <w:noProof/>
    </w:rPr>
  </w:style>
  <w:style w:type="paragraph" w:styleId="TOC2">
    <w:name w:val="toc 2"/>
    <w:basedOn w:val="Normal"/>
    <w:next w:val="Normal"/>
    <w:autoRedefine/>
    <w:uiPriority w:val="39"/>
    <w:rsid w:val="00DA327A"/>
    <w:pPr>
      <w:tabs>
        <w:tab w:val="right" w:leader="dot" w:pos="9350"/>
      </w:tabs>
      <w:spacing w:after="100"/>
      <w:ind w:left="630" w:hanging="360"/>
    </w:pPr>
    <w:rPr>
      <w:rFonts w:ascii="Arial Narrow" w:hAnsi="Arial Narrow"/>
      <w:noProof/>
    </w:rPr>
  </w:style>
  <w:style w:type="character" w:customStyle="1" w:styleId="FootnoteTextChar">
    <w:name w:val="Footnote Text Char"/>
    <w:link w:val="FootnoteText"/>
    <w:rsid w:val="00390DC4"/>
    <w:rPr>
      <w:rFonts w:ascii="NewBskvll BT" w:hAnsi="NewBskvll BT"/>
      <w:snapToGrid w:val="0"/>
    </w:rPr>
  </w:style>
  <w:style w:type="paragraph" w:customStyle="1" w:styleId="FreeForm">
    <w:name w:val="Free Form"/>
    <w:rsid w:val="00CC0E75"/>
    <w:rPr>
      <w:rFonts w:ascii="Helvetica" w:eastAsia="ヒラギノ角ゴ Pro W3" w:hAnsi="Helvetica"/>
      <w:color w:val="000000"/>
      <w:sz w:val="24"/>
    </w:rPr>
  </w:style>
  <w:style w:type="paragraph" w:customStyle="1" w:styleId="Body">
    <w:name w:val="Body"/>
    <w:rsid w:val="00CC0E75"/>
    <w:rPr>
      <w:rFonts w:ascii="Helvetica" w:eastAsia="ヒラギノ角ゴ Pro W3" w:hAnsi="Helvetica"/>
      <w:color w:val="000000"/>
      <w:sz w:val="24"/>
    </w:rPr>
  </w:style>
  <w:style w:type="paragraph" w:customStyle="1" w:styleId="a">
    <w:name w:val="آ"/>
    <w:basedOn w:val="Normal"/>
    <w:rsid w:val="00CF7D35"/>
    <w:pPr>
      <w:widowControl w:val="0"/>
    </w:pPr>
    <w:rPr>
      <w:szCs w:val="20"/>
    </w:rPr>
  </w:style>
  <w:style w:type="paragraph" w:styleId="ListParagraph">
    <w:name w:val="List Paragraph"/>
    <w:basedOn w:val="Normal"/>
    <w:uiPriority w:val="34"/>
    <w:qFormat/>
    <w:rsid w:val="00B5346D"/>
    <w:pPr>
      <w:ind w:left="720"/>
    </w:pPr>
    <w:rPr>
      <w:rFonts w:ascii="Calibri" w:eastAsia="Calibri" w:hAnsi="Calibri"/>
      <w:sz w:val="22"/>
      <w:szCs w:val="22"/>
    </w:rPr>
  </w:style>
  <w:style w:type="character" w:customStyle="1" w:styleId="PlainTextChar">
    <w:name w:val="Plain Text Char"/>
    <w:basedOn w:val="DefaultParagraphFont"/>
    <w:link w:val="PlainText"/>
    <w:uiPriority w:val="99"/>
    <w:rsid w:val="00924C54"/>
    <w:rPr>
      <w:rFonts w:ascii="Courier New" w:hAnsi="Courier New"/>
      <w:snapToGrid w:val="0"/>
    </w:rPr>
  </w:style>
  <w:style w:type="character" w:customStyle="1" w:styleId="googqs-tidbit">
    <w:name w:val="goog_qs-tidbit"/>
    <w:basedOn w:val="DefaultParagraphFont"/>
    <w:rsid w:val="00924C54"/>
  </w:style>
  <w:style w:type="character" w:customStyle="1" w:styleId="FooterChar">
    <w:name w:val="Footer Char"/>
    <w:basedOn w:val="DefaultParagraphFont"/>
    <w:link w:val="Footer"/>
    <w:uiPriority w:val="99"/>
    <w:rsid w:val="00767723"/>
    <w:rPr>
      <w:sz w:val="24"/>
      <w:szCs w:val="24"/>
    </w:rPr>
  </w:style>
  <w:style w:type="paragraph" w:customStyle="1" w:styleId="Bullet1">
    <w:name w:val="Bullet 1"/>
    <w:basedOn w:val="BodyText"/>
    <w:qFormat/>
    <w:rsid w:val="005F7122"/>
    <w:pPr>
      <w:numPr>
        <w:numId w:val="8"/>
      </w:numPr>
      <w:spacing w:after="0"/>
    </w:pPr>
  </w:style>
  <w:style w:type="paragraph" w:customStyle="1" w:styleId="Bullet1Last">
    <w:name w:val="Bullet 1 Last"/>
    <w:basedOn w:val="Bullet1"/>
    <w:qFormat/>
    <w:rsid w:val="005F7122"/>
    <w:pPr>
      <w:spacing w:after="240"/>
    </w:pPr>
  </w:style>
  <w:style w:type="paragraph" w:customStyle="1" w:styleId="BodyTextItalic">
    <w:name w:val="Body Text Italic"/>
    <w:basedOn w:val="BodyText"/>
    <w:qFormat/>
    <w:rsid w:val="005F7122"/>
    <w:rPr>
      <w:i/>
    </w:rPr>
  </w:style>
  <w:style w:type="character" w:customStyle="1" w:styleId="Heading3Char">
    <w:name w:val="Heading 3 Char"/>
    <w:basedOn w:val="DefaultParagraphFont"/>
    <w:link w:val="Heading3"/>
    <w:rsid w:val="005F7122"/>
    <w:rPr>
      <w:rFonts w:ascii="Arial Narrow" w:hAnsi="Arial Narrow"/>
      <w:sz w:val="24"/>
      <w:szCs w:val="24"/>
      <w:u w:val="single"/>
    </w:rPr>
  </w:style>
  <w:style w:type="character" w:customStyle="1" w:styleId="BodyTextChar">
    <w:name w:val="Body Text Char"/>
    <w:basedOn w:val="DefaultParagraphFont"/>
    <w:link w:val="BodyText"/>
    <w:rsid w:val="005F7122"/>
    <w:rPr>
      <w:rFonts w:ascii="Arial Narrow" w:hAnsi="Arial Narrow"/>
      <w:sz w:val="24"/>
      <w:szCs w:val="24"/>
    </w:rPr>
  </w:style>
  <w:style w:type="paragraph" w:customStyle="1" w:styleId="BodyTextNumbered">
    <w:name w:val="Body Text Numbered"/>
    <w:basedOn w:val="BodyText"/>
    <w:qFormat/>
    <w:rsid w:val="005F7122"/>
    <w:pPr>
      <w:numPr>
        <w:numId w:val="16"/>
      </w:numPr>
      <w:spacing w:after="0"/>
    </w:pPr>
  </w:style>
  <w:style w:type="paragraph" w:customStyle="1" w:styleId="BodyTextNumberedLast">
    <w:name w:val="Body Text Numbered Last"/>
    <w:basedOn w:val="BodyTextNumbered"/>
    <w:qFormat/>
    <w:rsid w:val="005F7122"/>
    <w:pPr>
      <w:spacing w:after="240"/>
    </w:pPr>
  </w:style>
  <w:style w:type="paragraph" w:customStyle="1" w:styleId="ExhibitTitle">
    <w:name w:val="Exhibit Title"/>
    <w:basedOn w:val="Normal"/>
    <w:qFormat/>
    <w:rsid w:val="00985734"/>
    <w:pPr>
      <w:spacing w:after="60"/>
      <w:jc w:val="both"/>
      <w:outlineLvl w:val="0"/>
    </w:pPr>
    <w:rPr>
      <w:rFonts w:ascii="Arial Narrow" w:hAnsi="Arial Narrow"/>
      <w:b/>
    </w:rPr>
  </w:style>
  <w:style w:type="paragraph" w:customStyle="1" w:styleId="Heading2a">
    <w:name w:val="Heading 2a"/>
    <w:basedOn w:val="Heading2"/>
    <w:qFormat/>
    <w:rsid w:val="005F7122"/>
    <w:rPr>
      <w:i w:val="0"/>
    </w:rPr>
  </w:style>
  <w:style w:type="paragraph" w:customStyle="1" w:styleId="Address">
    <w:name w:val="Address"/>
    <w:basedOn w:val="BodyText"/>
    <w:qFormat/>
    <w:rsid w:val="005F7122"/>
    <w:pPr>
      <w:spacing w:after="0"/>
      <w:jc w:val="left"/>
    </w:pPr>
  </w:style>
  <w:style w:type="paragraph" w:customStyle="1" w:styleId="TableHeader1">
    <w:name w:val="Table Header 1"/>
    <w:qFormat/>
    <w:rsid w:val="005F7122"/>
    <w:pPr>
      <w:jc w:val="center"/>
    </w:pPr>
    <w:rPr>
      <w:rFonts w:ascii="Arial Narrow" w:hAnsi="Arial Narrow"/>
      <w:b/>
      <w:bCs/>
      <w:sz w:val="24"/>
      <w:szCs w:val="24"/>
    </w:rPr>
  </w:style>
  <w:style w:type="paragraph" w:customStyle="1" w:styleId="Bullet2">
    <w:name w:val="Bullet 2"/>
    <w:basedOn w:val="Bullet1"/>
    <w:qFormat/>
    <w:rsid w:val="002236C7"/>
    <w:pPr>
      <w:numPr>
        <w:numId w:val="3"/>
      </w:numPr>
      <w:autoSpaceDE w:val="0"/>
      <w:autoSpaceDN w:val="0"/>
      <w:adjustRightInd w:val="0"/>
      <w:ind w:left="1080"/>
    </w:pPr>
  </w:style>
  <w:style w:type="paragraph" w:customStyle="1" w:styleId="Bullet2Last">
    <w:name w:val="Bullet 2 Last"/>
    <w:basedOn w:val="Bullet2"/>
    <w:qFormat/>
    <w:rsid w:val="002236C7"/>
    <w:pPr>
      <w:spacing w:after="240"/>
    </w:pPr>
  </w:style>
</w:styles>
</file>

<file path=word/webSettings.xml><?xml version="1.0" encoding="utf-8"?>
<w:webSettings xmlns:r="http://schemas.openxmlformats.org/officeDocument/2006/relationships" xmlns:w="http://schemas.openxmlformats.org/wordprocessingml/2006/main">
  <w:divs>
    <w:div w:id="183251166">
      <w:bodyDiv w:val="1"/>
      <w:marLeft w:val="0"/>
      <w:marRight w:val="0"/>
      <w:marTop w:val="0"/>
      <w:marBottom w:val="0"/>
      <w:divBdr>
        <w:top w:val="none" w:sz="0" w:space="0" w:color="auto"/>
        <w:left w:val="none" w:sz="0" w:space="0" w:color="auto"/>
        <w:bottom w:val="none" w:sz="0" w:space="0" w:color="auto"/>
        <w:right w:val="none" w:sz="0" w:space="0" w:color="auto"/>
      </w:divBdr>
    </w:div>
    <w:div w:id="219905404">
      <w:bodyDiv w:val="1"/>
      <w:marLeft w:val="0"/>
      <w:marRight w:val="0"/>
      <w:marTop w:val="0"/>
      <w:marBottom w:val="0"/>
      <w:divBdr>
        <w:top w:val="none" w:sz="0" w:space="0" w:color="auto"/>
        <w:left w:val="none" w:sz="0" w:space="0" w:color="auto"/>
        <w:bottom w:val="none" w:sz="0" w:space="0" w:color="auto"/>
        <w:right w:val="none" w:sz="0" w:space="0" w:color="auto"/>
      </w:divBdr>
    </w:div>
    <w:div w:id="256717707">
      <w:bodyDiv w:val="1"/>
      <w:marLeft w:val="0"/>
      <w:marRight w:val="0"/>
      <w:marTop w:val="0"/>
      <w:marBottom w:val="0"/>
      <w:divBdr>
        <w:top w:val="none" w:sz="0" w:space="0" w:color="auto"/>
        <w:left w:val="none" w:sz="0" w:space="0" w:color="auto"/>
        <w:bottom w:val="none" w:sz="0" w:space="0" w:color="auto"/>
        <w:right w:val="none" w:sz="0" w:space="0" w:color="auto"/>
      </w:divBdr>
    </w:div>
    <w:div w:id="398291366">
      <w:bodyDiv w:val="1"/>
      <w:marLeft w:val="0"/>
      <w:marRight w:val="0"/>
      <w:marTop w:val="0"/>
      <w:marBottom w:val="0"/>
      <w:divBdr>
        <w:top w:val="none" w:sz="0" w:space="0" w:color="auto"/>
        <w:left w:val="none" w:sz="0" w:space="0" w:color="auto"/>
        <w:bottom w:val="none" w:sz="0" w:space="0" w:color="auto"/>
        <w:right w:val="none" w:sz="0" w:space="0" w:color="auto"/>
      </w:divBdr>
    </w:div>
    <w:div w:id="578518494">
      <w:bodyDiv w:val="1"/>
      <w:marLeft w:val="0"/>
      <w:marRight w:val="0"/>
      <w:marTop w:val="0"/>
      <w:marBottom w:val="0"/>
      <w:divBdr>
        <w:top w:val="none" w:sz="0" w:space="0" w:color="auto"/>
        <w:left w:val="none" w:sz="0" w:space="0" w:color="auto"/>
        <w:bottom w:val="none" w:sz="0" w:space="0" w:color="auto"/>
        <w:right w:val="none" w:sz="0" w:space="0" w:color="auto"/>
      </w:divBdr>
    </w:div>
    <w:div w:id="705912896">
      <w:bodyDiv w:val="1"/>
      <w:marLeft w:val="0"/>
      <w:marRight w:val="0"/>
      <w:marTop w:val="0"/>
      <w:marBottom w:val="0"/>
      <w:divBdr>
        <w:top w:val="none" w:sz="0" w:space="0" w:color="auto"/>
        <w:left w:val="none" w:sz="0" w:space="0" w:color="auto"/>
        <w:bottom w:val="none" w:sz="0" w:space="0" w:color="auto"/>
        <w:right w:val="none" w:sz="0" w:space="0" w:color="auto"/>
      </w:divBdr>
      <w:divsChild>
        <w:div w:id="708411272">
          <w:marLeft w:val="0"/>
          <w:marRight w:val="0"/>
          <w:marTop w:val="0"/>
          <w:marBottom w:val="0"/>
          <w:divBdr>
            <w:top w:val="none" w:sz="0" w:space="0" w:color="auto"/>
            <w:left w:val="none" w:sz="0" w:space="0" w:color="auto"/>
            <w:bottom w:val="none" w:sz="0" w:space="0" w:color="auto"/>
            <w:right w:val="none" w:sz="0" w:space="0" w:color="auto"/>
          </w:divBdr>
          <w:divsChild>
            <w:div w:id="13016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95884">
      <w:bodyDiv w:val="1"/>
      <w:marLeft w:val="0"/>
      <w:marRight w:val="0"/>
      <w:marTop w:val="0"/>
      <w:marBottom w:val="0"/>
      <w:divBdr>
        <w:top w:val="none" w:sz="0" w:space="0" w:color="auto"/>
        <w:left w:val="none" w:sz="0" w:space="0" w:color="auto"/>
        <w:bottom w:val="none" w:sz="0" w:space="0" w:color="auto"/>
        <w:right w:val="none" w:sz="0" w:space="0" w:color="auto"/>
      </w:divBdr>
      <w:divsChild>
        <w:div w:id="1361856228">
          <w:marLeft w:val="0"/>
          <w:marRight w:val="0"/>
          <w:marTop w:val="0"/>
          <w:marBottom w:val="0"/>
          <w:divBdr>
            <w:top w:val="none" w:sz="0" w:space="0" w:color="auto"/>
            <w:left w:val="none" w:sz="0" w:space="0" w:color="auto"/>
            <w:bottom w:val="none" w:sz="0" w:space="0" w:color="auto"/>
            <w:right w:val="none" w:sz="0" w:space="0" w:color="auto"/>
          </w:divBdr>
          <w:divsChild>
            <w:div w:id="634142246">
              <w:marLeft w:val="0"/>
              <w:marRight w:val="0"/>
              <w:marTop w:val="0"/>
              <w:marBottom w:val="0"/>
              <w:divBdr>
                <w:top w:val="none" w:sz="0" w:space="0" w:color="auto"/>
                <w:left w:val="none" w:sz="0" w:space="0" w:color="auto"/>
                <w:bottom w:val="none" w:sz="0" w:space="0" w:color="auto"/>
                <w:right w:val="none" w:sz="0" w:space="0" w:color="auto"/>
              </w:divBdr>
              <w:divsChild>
                <w:div w:id="106170062">
                  <w:marLeft w:val="0"/>
                  <w:marRight w:val="0"/>
                  <w:marTop w:val="0"/>
                  <w:marBottom w:val="0"/>
                  <w:divBdr>
                    <w:top w:val="none" w:sz="0" w:space="0" w:color="auto"/>
                    <w:left w:val="none" w:sz="0" w:space="0" w:color="auto"/>
                    <w:bottom w:val="none" w:sz="0" w:space="0" w:color="auto"/>
                    <w:right w:val="none" w:sz="0" w:space="0" w:color="auto"/>
                  </w:divBdr>
                  <w:divsChild>
                    <w:div w:id="690380290">
                      <w:marLeft w:val="0"/>
                      <w:marRight w:val="0"/>
                      <w:marTop w:val="0"/>
                      <w:marBottom w:val="0"/>
                      <w:divBdr>
                        <w:top w:val="none" w:sz="0" w:space="0" w:color="auto"/>
                        <w:left w:val="none" w:sz="0" w:space="0" w:color="auto"/>
                        <w:bottom w:val="none" w:sz="0" w:space="0" w:color="auto"/>
                        <w:right w:val="none" w:sz="0" w:space="0" w:color="auto"/>
                      </w:divBdr>
                      <w:divsChild>
                        <w:div w:id="264578295">
                          <w:marLeft w:val="0"/>
                          <w:marRight w:val="0"/>
                          <w:marTop w:val="0"/>
                          <w:marBottom w:val="0"/>
                          <w:divBdr>
                            <w:top w:val="none" w:sz="0" w:space="0" w:color="auto"/>
                            <w:left w:val="none" w:sz="0" w:space="0" w:color="auto"/>
                            <w:bottom w:val="none" w:sz="0" w:space="0" w:color="auto"/>
                            <w:right w:val="none" w:sz="0" w:space="0" w:color="auto"/>
                          </w:divBdr>
                        </w:div>
                        <w:div w:id="7631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837">
      <w:bodyDiv w:val="1"/>
      <w:marLeft w:val="0"/>
      <w:marRight w:val="0"/>
      <w:marTop w:val="0"/>
      <w:marBottom w:val="0"/>
      <w:divBdr>
        <w:top w:val="none" w:sz="0" w:space="0" w:color="auto"/>
        <w:left w:val="none" w:sz="0" w:space="0" w:color="auto"/>
        <w:bottom w:val="none" w:sz="0" w:space="0" w:color="auto"/>
        <w:right w:val="none" w:sz="0" w:space="0" w:color="auto"/>
      </w:divBdr>
      <w:divsChild>
        <w:div w:id="1422486153">
          <w:marLeft w:val="0"/>
          <w:marRight w:val="0"/>
          <w:marTop w:val="0"/>
          <w:marBottom w:val="0"/>
          <w:divBdr>
            <w:top w:val="none" w:sz="0" w:space="0" w:color="auto"/>
            <w:left w:val="none" w:sz="0" w:space="0" w:color="auto"/>
            <w:bottom w:val="none" w:sz="0" w:space="0" w:color="auto"/>
            <w:right w:val="none" w:sz="0" w:space="0" w:color="auto"/>
          </w:divBdr>
          <w:divsChild>
            <w:div w:id="1457094521">
              <w:marLeft w:val="0"/>
              <w:marRight w:val="0"/>
              <w:marTop w:val="0"/>
              <w:marBottom w:val="0"/>
              <w:divBdr>
                <w:top w:val="none" w:sz="0" w:space="0" w:color="auto"/>
                <w:left w:val="none" w:sz="0" w:space="0" w:color="auto"/>
                <w:bottom w:val="none" w:sz="0" w:space="0" w:color="auto"/>
                <w:right w:val="none" w:sz="0" w:space="0" w:color="auto"/>
              </w:divBdr>
            </w:div>
            <w:div w:id="191157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7184">
      <w:bodyDiv w:val="1"/>
      <w:marLeft w:val="0"/>
      <w:marRight w:val="0"/>
      <w:marTop w:val="0"/>
      <w:marBottom w:val="0"/>
      <w:divBdr>
        <w:top w:val="none" w:sz="0" w:space="0" w:color="auto"/>
        <w:left w:val="none" w:sz="0" w:space="0" w:color="auto"/>
        <w:bottom w:val="none" w:sz="0" w:space="0" w:color="auto"/>
        <w:right w:val="none" w:sz="0" w:space="0" w:color="auto"/>
      </w:divBdr>
      <w:divsChild>
        <w:div w:id="239171007">
          <w:marLeft w:val="0"/>
          <w:marRight w:val="0"/>
          <w:marTop w:val="0"/>
          <w:marBottom w:val="0"/>
          <w:divBdr>
            <w:top w:val="none" w:sz="0" w:space="0" w:color="auto"/>
            <w:left w:val="none" w:sz="0" w:space="0" w:color="auto"/>
            <w:bottom w:val="none" w:sz="0" w:space="0" w:color="auto"/>
            <w:right w:val="none" w:sz="0" w:space="0" w:color="auto"/>
          </w:divBdr>
          <w:divsChild>
            <w:div w:id="2110617345">
              <w:marLeft w:val="0"/>
              <w:marRight w:val="0"/>
              <w:marTop w:val="0"/>
              <w:marBottom w:val="0"/>
              <w:divBdr>
                <w:top w:val="none" w:sz="0" w:space="0" w:color="auto"/>
                <w:left w:val="none" w:sz="0" w:space="0" w:color="auto"/>
                <w:bottom w:val="none" w:sz="0" w:space="0" w:color="auto"/>
                <w:right w:val="none" w:sz="0" w:space="0" w:color="auto"/>
              </w:divBdr>
              <w:divsChild>
                <w:div w:id="1738212269">
                  <w:marLeft w:val="0"/>
                  <w:marRight w:val="0"/>
                  <w:marTop w:val="0"/>
                  <w:marBottom w:val="0"/>
                  <w:divBdr>
                    <w:top w:val="none" w:sz="0" w:space="0" w:color="auto"/>
                    <w:left w:val="none" w:sz="0" w:space="0" w:color="auto"/>
                    <w:bottom w:val="none" w:sz="0" w:space="0" w:color="auto"/>
                    <w:right w:val="none" w:sz="0" w:space="0" w:color="auto"/>
                  </w:divBdr>
                  <w:divsChild>
                    <w:div w:id="40642325">
                      <w:marLeft w:val="0"/>
                      <w:marRight w:val="0"/>
                      <w:marTop w:val="0"/>
                      <w:marBottom w:val="0"/>
                      <w:divBdr>
                        <w:top w:val="none" w:sz="0" w:space="0" w:color="auto"/>
                        <w:left w:val="none" w:sz="0" w:space="0" w:color="auto"/>
                        <w:bottom w:val="none" w:sz="0" w:space="0" w:color="auto"/>
                        <w:right w:val="none" w:sz="0" w:space="0" w:color="auto"/>
                      </w:divBdr>
                      <w:divsChild>
                        <w:div w:id="1580019385">
                          <w:marLeft w:val="0"/>
                          <w:marRight w:val="0"/>
                          <w:marTop w:val="0"/>
                          <w:marBottom w:val="0"/>
                          <w:divBdr>
                            <w:top w:val="none" w:sz="0" w:space="0" w:color="auto"/>
                            <w:left w:val="none" w:sz="0" w:space="0" w:color="auto"/>
                            <w:bottom w:val="none" w:sz="0" w:space="0" w:color="auto"/>
                            <w:right w:val="none" w:sz="0" w:space="0" w:color="auto"/>
                          </w:divBdr>
                          <w:divsChild>
                            <w:div w:id="1156722290">
                              <w:marLeft w:val="0"/>
                              <w:marRight w:val="0"/>
                              <w:marTop w:val="0"/>
                              <w:marBottom w:val="0"/>
                              <w:divBdr>
                                <w:top w:val="none" w:sz="0" w:space="0" w:color="auto"/>
                                <w:left w:val="none" w:sz="0" w:space="0" w:color="auto"/>
                                <w:bottom w:val="none" w:sz="0" w:space="0" w:color="auto"/>
                                <w:right w:val="none" w:sz="0" w:space="0" w:color="auto"/>
                              </w:divBdr>
                              <w:divsChild>
                                <w:div w:id="1675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823758">
      <w:bodyDiv w:val="1"/>
      <w:marLeft w:val="0"/>
      <w:marRight w:val="0"/>
      <w:marTop w:val="0"/>
      <w:marBottom w:val="0"/>
      <w:divBdr>
        <w:top w:val="none" w:sz="0" w:space="0" w:color="auto"/>
        <w:left w:val="none" w:sz="0" w:space="0" w:color="auto"/>
        <w:bottom w:val="none" w:sz="0" w:space="0" w:color="auto"/>
        <w:right w:val="none" w:sz="0" w:space="0" w:color="auto"/>
      </w:divBdr>
    </w:div>
    <w:div w:id="1357734439">
      <w:bodyDiv w:val="1"/>
      <w:marLeft w:val="0"/>
      <w:marRight w:val="0"/>
      <w:marTop w:val="0"/>
      <w:marBottom w:val="0"/>
      <w:divBdr>
        <w:top w:val="none" w:sz="0" w:space="0" w:color="auto"/>
        <w:left w:val="none" w:sz="0" w:space="0" w:color="auto"/>
        <w:bottom w:val="none" w:sz="0" w:space="0" w:color="auto"/>
        <w:right w:val="none" w:sz="0" w:space="0" w:color="auto"/>
      </w:divBdr>
    </w:div>
    <w:div w:id="1460995410">
      <w:bodyDiv w:val="1"/>
      <w:marLeft w:val="0"/>
      <w:marRight w:val="0"/>
      <w:marTop w:val="0"/>
      <w:marBottom w:val="0"/>
      <w:divBdr>
        <w:top w:val="none" w:sz="0" w:space="0" w:color="auto"/>
        <w:left w:val="none" w:sz="0" w:space="0" w:color="auto"/>
        <w:bottom w:val="none" w:sz="0" w:space="0" w:color="auto"/>
        <w:right w:val="none" w:sz="0" w:space="0" w:color="auto"/>
      </w:divBdr>
    </w:div>
    <w:div w:id="1648587817">
      <w:bodyDiv w:val="1"/>
      <w:marLeft w:val="0"/>
      <w:marRight w:val="0"/>
      <w:marTop w:val="0"/>
      <w:marBottom w:val="0"/>
      <w:divBdr>
        <w:top w:val="none" w:sz="0" w:space="0" w:color="auto"/>
        <w:left w:val="none" w:sz="0" w:space="0" w:color="auto"/>
        <w:bottom w:val="none" w:sz="0" w:space="0" w:color="auto"/>
        <w:right w:val="none" w:sz="0" w:space="0" w:color="auto"/>
      </w:divBdr>
      <w:divsChild>
        <w:div w:id="508327780">
          <w:marLeft w:val="0"/>
          <w:marRight w:val="0"/>
          <w:marTop w:val="0"/>
          <w:marBottom w:val="0"/>
          <w:divBdr>
            <w:top w:val="none" w:sz="0" w:space="0" w:color="auto"/>
            <w:left w:val="none" w:sz="0" w:space="0" w:color="auto"/>
            <w:bottom w:val="none" w:sz="0" w:space="0" w:color="auto"/>
            <w:right w:val="none" w:sz="0" w:space="0" w:color="auto"/>
          </w:divBdr>
          <w:divsChild>
            <w:div w:id="7543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274">
      <w:bodyDiv w:val="1"/>
      <w:marLeft w:val="0"/>
      <w:marRight w:val="0"/>
      <w:marTop w:val="0"/>
      <w:marBottom w:val="0"/>
      <w:divBdr>
        <w:top w:val="none" w:sz="0" w:space="0" w:color="auto"/>
        <w:left w:val="none" w:sz="0" w:space="0" w:color="auto"/>
        <w:bottom w:val="none" w:sz="0" w:space="0" w:color="auto"/>
        <w:right w:val="none" w:sz="0" w:space="0" w:color="auto"/>
      </w:divBdr>
      <w:divsChild>
        <w:div w:id="1291935686">
          <w:marLeft w:val="0"/>
          <w:marRight w:val="0"/>
          <w:marTop w:val="0"/>
          <w:marBottom w:val="0"/>
          <w:divBdr>
            <w:top w:val="none" w:sz="0" w:space="0" w:color="auto"/>
            <w:left w:val="none" w:sz="0" w:space="0" w:color="auto"/>
            <w:bottom w:val="none" w:sz="0" w:space="0" w:color="auto"/>
            <w:right w:val="none" w:sz="0" w:space="0" w:color="auto"/>
          </w:divBdr>
          <w:divsChild>
            <w:div w:id="167066376">
              <w:marLeft w:val="0"/>
              <w:marRight w:val="0"/>
              <w:marTop w:val="0"/>
              <w:marBottom w:val="0"/>
              <w:divBdr>
                <w:top w:val="none" w:sz="0" w:space="0" w:color="auto"/>
                <w:left w:val="none" w:sz="0" w:space="0" w:color="auto"/>
                <w:bottom w:val="none" w:sz="0" w:space="0" w:color="auto"/>
                <w:right w:val="none" w:sz="0" w:space="0" w:color="auto"/>
              </w:divBdr>
            </w:div>
            <w:div w:id="12656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17930">
      <w:bodyDiv w:val="1"/>
      <w:marLeft w:val="0"/>
      <w:marRight w:val="0"/>
      <w:marTop w:val="0"/>
      <w:marBottom w:val="0"/>
      <w:divBdr>
        <w:top w:val="none" w:sz="0" w:space="0" w:color="auto"/>
        <w:left w:val="none" w:sz="0" w:space="0" w:color="auto"/>
        <w:bottom w:val="none" w:sz="0" w:space="0" w:color="auto"/>
        <w:right w:val="none" w:sz="0" w:space="0" w:color="auto"/>
      </w:divBdr>
    </w:div>
    <w:div w:id="1884364808">
      <w:bodyDiv w:val="1"/>
      <w:marLeft w:val="0"/>
      <w:marRight w:val="0"/>
      <w:marTop w:val="0"/>
      <w:marBottom w:val="0"/>
      <w:divBdr>
        <w:top w:val="none" w:sz="0" w:space="0" w:color="auto"/>
        <w:left w:val="none" w:sz="0" w:space="0" w:color="auto"/>
        <w:bottom w:val="none" w:sz="0" w:space="0" w:color="auto"/>
        <w:right w:val="none" w:sz="0" w:space="0" w:color="auto"/>
      </w:divBdr>
      <w:divsChild>
        <w:div w:id="85810025">
          <w:marLeft w:val="0"/>
          <w:marRight w:val="0"/>
          <w:marTop w:val="0"/>
          <w:marBottom w:val="0"/>
          <w:divBdr>
            <w:top w:val="none" w:sz="0" w:space="0" w:color="auto"/>
            <w:left w:val="none" w:sz="0" w:space="0" w:color="auto"/>
            <w:bottom w:val="none" w:sz="0" w:space="0" w:color="auto"/>
            <w:right w:val="none" w:sz="0" w:space="0" w:color="auto"/>
          </w:divBdr>
        </w:div>
      </w:divsChild>
    </w:div>
    <w:div w:id="1922638329">
      <w:bodyDiv w:val="1"/>
      <w:marLeft w:val="0"/>
      <w:marRight w:val="0"/>
      <w:marTop w:val="0"/>
      <w:marBottom w:val="0"/>
      <w:divBdr>
        <w:top w:val="none" w:sz="0" w:space="0" w:color="auto"/>
        <w:left w:val="none" w:sz="0" w:space="0" w:color="auto"/>
        <w:bottom w:val="none" w:sz="0" w:space="0" w:color="auto"/>
        <w:right w:val="none" w:sz="0" w:space="0" w:color="auto"/>
      </w:divBdr>
      <w:divsChild>
        <w:div w:id="1278101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cdc.gov./pcd/issues/2010/jul/09_0194.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kfj1@cdc.gov"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6601</Words>
  <Characters>38369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44881</CharactersWithSpaces>
  <SharedDoc>false</SharedDoc>
  <HLinks>
    <vt:vector size="18" baseType="variant">
      <vt:variant>
        <vt:i4>1769512</vt:i4>
      </vt:variant>
      <vt:variant>
        <vt:i4>6</vt:i4>
      </vt:variant>
      <vt:variant>
        <vt:i4>0</vt:i4>
      </vt:variant>
      <vt:variant>
        <vt:i4>5</vt:i4>
      </vt:variant>
      <vt:variant>
        <vt:lpwstr>mailto:linda.rascoe@dhhs.nc.gov</vt:lpwstr>
      </vt:variant>
      <vt:variant>
        <vt:lpwstr/>
      </vt:variant>
      <vt:variant>
        <vt:i4>5242981</vt:i4>
      </vt:variant>
      <vt:variant>
        <vt:i4>3</vt:i4>
      </vt:variant>
      <vt:variant>
        <vt:i4>0</vt:i4>
      </vt:variant>
      <vt:variant>
        <vt:i4>5</vt:i4>
      </vt:variant>
      <vt:variant>
        <vt:lpwstr>mailto:lakeisha.johnson@dhhs.nc.gov</vt:lpwstr>
      </vt:variant>
      <vt:variant>
        <vt:lpwstr/>
      </vt:variant>
      <vt:variant>
        <vt:i4>393338</vt:i4>
      </vt:variant>
      <vt:variant>
        <vt:i4>0</vt:i4>
      </vt:variant>
      <vt:variant>
        <vt:i4>0</vt:i4>
      </vt:variant>
      <vt:variant>
        <vt:i4>5</vt:i4>
      </vt:variant>
      <vt:variant>
        <vt:lpwstr>mailto:kfj1@cdc.gov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2011-11-03T15:18:00Z</dcterms:created>
  <dcterms:modified xsi:type="dcterms:W3CDTF">2011-11-03T15:20:00Z</dcterms:modified>
</cp:coreProperties>
</file>