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2B1" w:rsidRPr="00D2299E" w:rsidRDefault="007C52B1" w:rsidP="007C52B1">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ED7EF8" w:rsidRPr="00D877E1" w:rsidRDefault="00ED7EF8" w:rsidP="0033551D">
      <w:pPr>
        <w:tabs>
          <w:tab w:val="left" w:pos="-720"/>
          <w:tab w:val="right" w:pos="8622"/>
        </w:tabs>
        <w:jc w:val="center"/>
        <w:rPr>
          <w:rFonts w:ascii="Times New Roman" w:hAnsi="Times New Roman"/>
          <w:b/>
          <w:bCs/>
          <w:sz w:val="24"/>
          <w:szCs w:val="24"/>
        </w:rPr>
      </w:pPr>
      <w:r w:rsidRPr="00D877E1">
        <w:rPr>
          <w:rFonts w:ascii="Times New Roman" w:hAnsi="Times New Roman"/>
          <w:b/>
          <w:bCs/>
          <w:sz w:val="24"/>
          <w:szCs w:val="24"/>
        </w:rPr>
        <w:t xml:space="preserve">Bureau of Clinician Recruitment Services (BCRS) </w:t>
      </w:r>
    </w:p>
    <w:p w:rsidR="001879E5" w:rsidRDefault="00ED7EF8" w:rsidP="0033551D">
      <w:pPr>
        <w:tabs>
          <w:tab w:val="left" w:pos="-720"/>
          <w:tab w:val="right" w:pos="8622"/>
        </w:tabs>
        <w:jc w:val="center"/>
        <w:rPr>
          <w:rFonts w:ascii="Times New Roman" w:hAnsi="Times New Roman"/>
          <w:sz w:val="24"/>
          <w:szCs w:val="24"/>
        </w:rPr>
      </w:pPr>
      <w:r w:rsidRPr="00D877E1">
        <w:rPr>
          <w:rFonts w:ascii="Times New Roman" w:hAnsi="Times New Roman"/>
          <w:b/>
          <w:bCs/>
          <w:sz w:val="24"/>
          <w:szCs w:val="24"/>
        </w:rPr>
        <w:t>Communications Materials Assessment</w:t>
      </w: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pPr>
        <w:tabs>
          <w:tab w:val="left" w:pos="-720"/>
          <w:tab w:val="left" w:pos="720"/>
          <w:tab w:val="right" w:pos="8622"/>
        </w:tabs>
        <w:rPr>
          <w:rFonts w:ascii="Times New Roman" w:hAnsi="Times New Roman"/>
          <w:sz w:val="24"/>
          <w:szCs w:val="24"/>
        </w:rPr>
      </w:pPr>
    </w:p>
    <w:p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pPr>
        <w:tabs>
          <w:tab w:val="left" w:pos="-720"/>
          <w:tab w:val="left" w:pos="44"/>
          <w:tab w:val="left" w:pos="720"/>
          <w:tab w:val="right" w:pos="8622"/>
        </w:tabs>
        <w:rPr>
          <w:rFonts w:ascii="Times New Roman" w:hAnsi="Times New Roman"/>
          <w:sz w:val="24"/>
          <w:szCs w:val="24"/>
        </w:rPr>
      </w:pPr>
    </w:p>
    <w:p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w:t>
      </w:r>
      <w:proofErr w:type="gramStart"/>
      <w:r>
        <w:rPr>
          <w:b w:val="0"/>
          <w:color w:val="auto"/>
          <w:sz w:val="24"/>
          <w:szCs w:val="24"/>
        </w:rPr>
        <w:t>has</w:t>
      </w:r>
      <w:proofErr w:type="gramEnd"/>
      <w:r>
        <w:rPr>
          <w:b w:val="0"/>
          <w:color w:val="auto"/>
          <w:sz w:val="24"/>
          <w:szCs w:val="24"/>
        </w:rPr>
        <w:t xml:space="preserve">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pPr>
        <w:tabs>
          <w:tab w:val="left" w:pos="-720"/>
        </w:tabs>
        <w:rPr>
          <w:rFonts w:ascii="Times New Roman" w:hAnsi="Times New Roman"/>
          <w:sz w:val="24"/>
          <w:szCs w:val="24"/>
        </w:rPr>
      </w:pPr>
    </w:p>
    <w:p w:rsidR="004E3605" w:rsidRDefault="001879E5">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qualitative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 xml:space="preserve">customer satisfaction </w:t>
      </w:r>
      <w:r w:rsidR="009E3BF2">
        <w:rPr>
          <w:rFonts w:ascii="Times New Roman" w:hAnsi="Times New Roman"/>
          <w:sz w:val="24"/>
          <w:szCs w:val="24"/>
        </w:rPr>
        <w:t xml:space="preserve">feedback obtained through </w:t>
      </w:r>
      <w:r w:rsidR="0033551D">
        <w:rPr>
          <w:rFonts w:ascii="Times New Roman" w:hAnsi="Times New Roman"/>
          <w:sz w:val="24"/>
          <w:szCs w:val="24"/>
        </w:rPr>
        <w:t>focus group</w:t>
      </w:r>
      <w:r w:rsidR="00854C43">
        <w:rPr>
          <w:rFonts w:ascii="Times New Roman" w:hAnsi="Times New Roman"/>
          <w:sz w:val="24"/>
          <w:szCs w:val="24"/>
        </w:rPr>
        <w:t>s</w:t>
      </w:r>
      <w:r w:rsidR="00A342EB" w:rsidRPr="00A4213C">
        <w:rPr>
          <w:rFonts w:ascii="Times New Roman" w:hAnsi="Times New Roman"/>
          <w:sz w:val="24"/>
          <w:szCs w:val="24"/>
        </w:rPr>
        <w:t xml:space="preserve"> under HRSA’s generic clearance. </w:t>
      </w:r>
      <w:r w:rsidR="00472378" w:rsidRPr="00A4213C">
        <w:rPr>
          <w:rFonts w:ascii="Times New Roman" w:hAnsi="Times New Roman"/>
          <w:sz w:val="24"/>
          <w:szCs w:val="24"/>
        </w:rPr>
        <w:t xml:space="preserve"> </w:t>
      </w:r>
    </w:p>
    <w:p w:rsidR="001F78C0" w:rsidRDefault="001F78C0">
      <w:pPr>
        <w:tabs>
          <w:tab w:val="left" w:pos="-720"/>
        </w:tabs>
        <w:rPr>
          <w:rFonts w:ascii="Times New Roman" w:hAnsi="Times New Roman"/>
          <w:sz w:val="24"/>
          <w:szCs w:val="24"/>
        </w:rPr>
      </w:pPr>
    </w:p>
    <w:p w:rsidR="00DC26D4" w:rsidRDefault="001879E5">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satisfaction with existing services</w:t>
      </w:r>
      <w:r w:rsidR="00807E72">
        <w:rPr>
          <w:rFonts w:ascii="Times New Roman" w:hAnsi="Times New Roman"/>
          <w:sz w:val="24"/>
          <w:szCs w:val="24"/>
        </w:rPr>
        <w:t>.</w:t>
      </w:r>
      <w:r>
        <w:rPr>
          <w:rFonts w:ascii="Times New Roman" w:hAnsi="Times New Roman"/>
          <w:sz w:val="24"/>
          <w:szCs w:val="24"/>
        </w:rPr>
        <w:t xml:space="preserve">"   </w:t>
      </w:r>
    </w:p>
    <w:p w:rsidR="00DC26D4" w:rsidRDefault="00DC26D4">
      <w:pPr>
        <w:tabs>
          <w:tab w:val="left" w:pos="-720"/>
        </w:tabs>
        <w:rPr>
          <w:rFonts w:ascii="Times New Roman" w:hAnsi="Times New Roman"/>
          <w:sz w:val="24"/>
          <w:szCs w:val="24"/>
        </w:rPr>
      </w:pPr>
    </w:p>
    <w:p w:rsidR="00FA4FEE" w:rsidRDefault="00DC26D4">
      <w:pPr>
        <w:tabs>
          <w:tab w:val="left" w:pos="-720"/>
        </w:tabs>
        <w:rPr>
          <w:rFonts w:ascii="Times New Roman" w:hAnsi="Times New Roman"/>
          <w:sz w:val="24"/>
          <w:szCs w:val="24"/>
        </w:rPr>
      </w:pPr>
      <w:r>
        <w:rPr>
          <w:rFonts w:ascii="Times New Roman" w:hAnsi="Times New Roman"/>
          <w:sz w:val="24"/>
          <w:szCs w:val="24"/>
        </w:rPr>
        <w:t xml:space="preserve">This statement is a request from the </w:t>
      </w:r>
      <w:r w:rsidR="0052494C">
        <w:rPr>
          <w:rFonts w:ascii="Times New Roman" w:hAnsi="Times New Roman"/>
          <w:sz w:val="24"/>
          <w:szCs w:val="24"/>
        </w:rPr>
        <w:t>Bureau of Clinician Recruitment Services</w:t>
      </w:r>
      <w:r>
        <w:rPr>
          <w:rFonts w:ascii="Times New Roman" w:hAnsi="Times New Roman"/>
          <w:sz w:val="24"/>
          <w:szCs w:val="24"/>
        </w:rPr>
        <w:t xml:space="preserve"> (</w:t>
      </w:r>
      <w:r w:rsidR="0052494C">
        <w:rPr>
          <w:rFonts w:ascii="Times New Roman" w:hAnsi="Times New Roman"/>
          <w:sz w:val="24"/>
          <w:szCs w:val="24"/>
        </w:rPr>
        <w:t>BCRS</w:t>
      </w:r>
      <w:r>
        <w:rPr>
          <w:rFonts w:ascii="Times New Roman" w:hAnsi="Times New Roman"/>
          <w:sz w:val="24"/>
          <w:szCs w:val="24"/>
        </w:rPr>
        <w:t>)</w:t>
      </w:r>
      <w:r w:rsidR="00605B01">
        <w:rPr>
          <w:rFonts w:ascii="Times New Roman" w:hAnsi="Times New Roman"/>
          <w:sz w:val="24"/>
          <w:szCs w:val="24"/>
        </w:rPr>
        <w:t>, part of the Health Resources and Services Administration (HRSA),</w:t>
      </w:r>
      <w:r>
        <w:rPr>
          <w:rFonts w:ascii="Times New Roman" w:hAnsi="Times New Roman"/>
          <w:sz w:val="24"/>
          <w:szCs w:val="24"/>
        </w:rPr>
        <w:t xml:space="preserve"> </w:t>
      </w:r>
      <w:r w:rsidRPr="00DC26D4">
        <w:rPr>
          <w:rFonts w:ascii="Times New Roman" w:hAnsi="Times New Roman"/>
          <w:sz w:val="24"/>
          <w:szCs w:val="24"/>
        </w:rPr>
        <w:t>for Office of Management and Budget</w:t>
      </w:r>
      <w:r w:rsidR="00605B01">
        <w:rPr>
          <w:rFonts w:ascii="Times New Roman" w:hAnsi="Times New Roman"/>
          <w:sz w:val="24"/>
          <w:szCs w:val="24"/>
        </w:rPr>
        <w:t xml:space="preserve"> (OMB)</w:t>
      </w:r>
      <w:r w:rsidRPr="00DC26D4">
        <w:rPr>
          <w:rFonts w:ascii="Times New Roman" w:hAnsi="Times New Roman"/>
          <w:sz w:val="24"/>
          <w:szCs w:val="24"/>
        </w:rPr>
        <w:t xml:space="preserve"> approval to </w:t>
      </w:r>
      <w:r w:rsidR="00134988">
        <w:rPr>
          <w:rFonts w:ascii="Times New Roman" w:hAnsi="Times New Roman"/>
          <w:sz w:val="24"/>
          <w:szCs w:val="24"/>
        </w:rPr>
        <w:t xml:space="preserve">garner feedback on BCRS Nursing Programs and </w:t>
      </w:r>
      <w:r w:rsidRPr="00DC26D4">
        <w:rPr>
          <w:rFonts w:ascii="Times New Roman" w:hAnsi="Times New Roman"/>
          <w:sz w:val="24"/>
          <w:szCs w:val="24"/>
        </w:rPr>
        <w:t>assess</w:t>
      </w:r>
      <w:r>
        <w:rPr>
          <w:rFonts w:ascii="Times New Roman" w:hAnsi="Times New Roman"/>
          <w:sz w:val="24"/>
          <w:szCs w:val="24"/>
        </w:rPr>
        <w:t xml:space="preserve"> new communications campaign materials for the Nursing Education </w:t>
      </w:r>
      <w:r w:rsidR="00CE3C8D">
        <w:rPr>
          <w:rFonts w:ascii="Times New Roman" w:hAnsi="Times New Roman"/>
          <w:sz w:val="24"/>
          <w:szCs w:val="24"/>
        </w:rPr>
        <w:t xml:space="preserve">Loan Repayment Program (NELRP) and </w:t>
      </w:r>
      <w:r>
        <w:rPr>
          <w:rFonts w:ascii="Times New Roman" w:hAnsi="Times New Roman"/>
          <w:sz w:val="24"/>
          <w:szCs w:val="24"/>
        </w:rPr>
        <w:t xml:space="preserve">the Nursing Scholarship Program (NSP).  Clearance is requested </w:t>
      </w:r>
      <w:r w:rsidR="00D877E1">
        <w:rPr>
          <w:rFonts w:ascii="Times New Roman" w:hAnsi="Times New Roman"/>
          <w:sz w:val="24"/>
          <w:szCs w:val="24"/>
        </w:rPr>
        <w:t xml:space="preserve">for </w:t>
      </w:r>
      <w:r w:rsidR="00EB5B40">
        <w:rPr>
          <w:rFonts w:ascii="Times New Roman" w:hAnsi="Times New Roman"/>
          <w:sz w:val="24"/>
          <w:szCs w:val="24"/>
        </w:rPr>
        <w:t xml:space="preserve">in-person focus groups, </w:t>
      </w:r>
      <w:r>
        <w:rPr>
          <w:rFonts w:ascii="Times New Roman" w:hAnsi="Times New Roman"/>
          <w:sz w:val="24"/>
          <w:szCs w:val="24"/>
        </w:rPr>
        <w:t xml:space="preserve">online focus groups and </w:t>
      </w:r>
      <w:r w:rsidR="009F4B26">
        <w:rPr>
          <w:rFonts w:ascii="Times New Roman" w:hAnsi="Times New Roman"/>
          <w:sz w:val="24"/>
          <w:szCs w:val="24"/>
        </w:rPr>
        <w:t>tele</w:t>
      </w:r>
      <w:r>
        <w:rPr>
          <w:rFonts w:ascii="Times New Roman" w:hAnsi="Times New Roman"/>
          <w:sz w:val="24"/>
          <w:szCs w:val="24"/>
        </w:rPr>
        <w:t xml:space="preserve">phone interviews </w:t>
      </w:r>
      <w:r w:rsidR="00720A98">
        <w:rPr>
          <w:rFonts w:ascii="Times New Roman" w:hAnsi="Times New Roman"/>
          <w:sz w:val="24"/>
          <w:szCs w:val="24"/>
        </w:rPr>
        <w:t xml:space="preserve">completed </w:t>
      </w:r>
      <w:r w:rsidR="00807E72">
        <w:rPr>
          <w:rFonts w:ascii="Times New Roman" w:hAnsi="Times New Roman"/>
          <w:sz w:val="24"/>
          <w:szCs w:val="24"/>
        </w:rPr>
        <w:t xml:space="preserve">among </w:t>
      </w:r>
      <w:r w:rsidR="00720A98">
        <w:rPr>
          <w:rFonts w:ascii="Times New Roman" w:hAnsi="Times New Roman"/>
          <w:sz w:val="24"/>
          <w:szCs w:val="24"/>
        </w:rPr>
        <w:t xml:space="preserve">stakeholders, participants and </w:t>
      </w:r>
      <w:r w:rsidR="00BA1DBD">
        <w:rPr>
          <w:rFonts w:ascii="Times New Roman" w:hAnsi="Times New Roman"/>
          <w:sz w:val="24"/>
          <w:szCs w:val="24"/>
        </w:rPr>
        <w:t>prospective</w:t>
      </w:r>
      <w:r w:rsidR="00720A98">
        <w:rPr>
          <w:rFonts w:ascii="Times New Roman" w:hAnsi="Times New Roman"/>
          <w:sz w:val="24"/>
          <w:szCs w:val="24"/>
        </w:rPr>
        <w:t xml:space="preserve"> participants in the NELRP</w:t>
      </w:r>
      <w:r w:rsidR="00CE3C8D">
        <w:rPr>
          <w:rFonts w:ascii="Times New Roman" w:hAnsi="Times New Roman"/>
          <w:sz w:val="24"/>
          <w:szCs w:val="24"/>
        </w:rPr>
        <w:t xml:space="preserve"> and </w:t>
      </w:r>
      <w:r w:rsidR="00720A98">
        <w:rPr>
          <w:rFonts w:ascii="Times New Roman" w:hAnsi="Times New Roman"/>
          <w:sz w:val="24"/>
          <w:szCs w:val="24"/>
        </w:rPr>
        <w:t xml:space="preserve">NSP programs.  The data collection effort is designed to gather information on communications campaign materials </w:t>
      </w:r>
      <w:r w:rsidR="00605B01">
        <w:rPr>
          <w:rFonts w:ascii="Times New Roman" w:hAnsi="Times New Roman"/>
          <w:sz w:val="24"/>
          <w:szCs w:val="24"/>
        </w:rPr>
        <w:t>that will impact BCRS programs.</w:t>
      </w:r>
    </w:p>
    <w:p w:rsidR="00605B01" w:rsidRDefault="00605B01">
      <w:pPr>
        <w:tabs>
          <w:tab w:val="left" w:pos="-720"/>
        </w:tabs>
        <w:rPr>
          <w:rFonts w:ascii="Times New Roman" w:hAnsi="Times New Roman"/>
          <w:sz w:val="24"/>
          <w:szCs w:val="24"/>
        </w:rPr>
      </w:pPr>
    </w:p>
    <w:p w:rsidR="00605B01" w:rsidRDefault="00605B01">
      <w:pPr>
        <w:tabs>
          <w:tab w:val="left" w:pos="-720"/>
        </w:tabs>
        <w:rPr>
          <w:rFonts w:ascii="Times New Roman" w:hAnsi="Times New Roman"/>
          <w:sz w:val="24"/>
          <w:szCs w:val="24"/>
        </w:rPr>
      </w:pPr>
      <w:r>
        <w:rPr>
          <w:rFonts w:ascii="Times New Roman" w:hAnsi="Times New Roman"/>
          <w:sz w:val="24"/>
          <w:szCs w:val="24"/>
        </w:rPr>
        <w:t xml:space="preserve">BCRS is </w:t>
      </w:r>
      <w:r w:rsidR="00D877E1">
        <w:rPr>
          <w:rFonts w:ascii="Times New Roman" w:hAnsi="Times New Roman"/>
          <w:sz w:val="24"/>
          <w:szCs w:val="24"/>
        </w:rPr>
        <w:t xml:space="preserve">developing </w:t>
      </w:r>
      <w:r>
        <w:rPr>
          <w:rFonts w:ascii="Times New Roman" w:hAnsi="Times New Roman"/>
          <w:sz w:val="24"/>
          <w:szCs w:val="24"/>
        </w:rPr>
        <w:t xml:space="preserve">communications materials in order to </w:t>
      </w:r>
      <w:r w:rsidR="00D877E1">
        <w:rPr>
          <w:rFonts w:ascii="Times New Roman" w:hAnsi="Times New Roman"/>
          <w:sz w:val="24"/>
          <w:szCs w:val="24"/>
        </w:rPr>
        <w:t>more efficiently and effectively communicate the benefits of programs to stakeholders and current and perspective participants.</w:t>
      </w:r>
      <w:r>
        <w:rPr>
          <w:rFonts w:ascii="Times New Roman" w:hAnsi="Times New Roman"/>
          <w:sz w:val="24"/>
          <w:szCs w:val="24"/>
        </w:rPr>
        <w:t xml:space="preserve"> Re</w:t>
      </w:r>
      <w:r w:rsidR="00EB5B40">
        <w:rPr>
          <w:rFonts w:ascii="Times New Roman" w:hAnsi="Times New Roman"/>
          <w:sz w:val="24"/>
          <w:szCs w:val="24"/>
        </w:rPr>
        <w:t xml:space="preserve">commendations and feedback from </w:t>
      </w:r>
      <w:r>
        <w:rPr>
          <w:rFonts w:ascii="Times New Roman" w:hAnsi="Times New Roman"/>
          <w:sz w:val="24"/>
          <w:szCs w:val="24"/>
        </w:rPr>
        <w:t xml:space="preserve">the focus groups and </w:t>
      </w:r>
      <w:r w:rsidR="009F4B26">
        <w:rPr>
          <w:rFonts w:ascii="Times New Roman" w:hAnsi="Times New Roman"/>
          <w:sz w:val="24"/>
          <w:szCs w:val="24"/>
        </w:rPr>
        <w:t>tele</w:t>
      </w:r>
      <w:r>
        <w:rPr>
          <w:rFonts w:ascii="Times New Roman" w:hAnsi="Times New Roman"/>
          <w:sz w:val="24"/>
          <w:szCs w:val="24"/>
        </w:rPr>
        <w:t>phone interviews will be incorporated int</w:t>
      </w:r>
      <w:r w:rsidR="00D877E1">
        <w:rPr>
          <w:rFonts w:ascii="Times New Roman" w:hAnsi="Times New Roman"/>
          <w:sz w:val="24"/>
          <w:szCs w:val="24"/>
        </w:rPr>
        <w:t xml:space="preserve">o the messaging, materials and </w:t>
      </w:r>
      <w:r>
        <w:rPr>
          <w:rFonts w:ascii="Times New Roman" w:hAnsi="Times New Roman"/>
          <w:sz w:val="24"/>
          <w:szCs w:val="24"/>
        </w:rPr>
        <w:t xml:space="preserve">identity for which OMB clearance is being requested. </w:t>
      </w:r>
    </w:p>
    <w:p w:rsidR="00DC26D4" w:rsidRDefault="00DC26D4">
      <w:pPr>
        <w:tabs>
          <w:tab w:val="left" w:pos="-720"/>
        </w:tabs>
        <w:rPr>
          <w:rFonts w:ascii="Times New Roman" w:hAnsi="Times New Roman"/>
          <w:sz w:val="24"/>
          <w:szCs w:val="24"/>
        </w:rPr>
      </w:pPr>
    </w:p>
    <w:p w:rsidR="00DC26D4" w:rsidRDefault="00DC26D4">
      <w:pPr>
        <w:tabs>
          <w:tab w:val="left" w:pos="-720"/>
        </w:tabs>
        <w:rPr>
          <w:rFonts w:ascii="Times New Roman" w:hAnsi="Times New Roman"/>
          <w:sz w:val="24"/>
          <w:szCs w:val="24"/>
        </w:rPr>
      </w:pPr>
      <w:r>
        <w:rPr>
          <w:rFonts w:ascii="Times New Roman" w:hAnsi="Times New Roman"/>
          <w:sz w:val="24"/>
          <w:szCs w:val="24"/>
        </w:rPr>
        <w:t>MATERIALS TO BE EVALUATED</w:t>
      </w:r>
    </w:p>
    <w:p w:rsidR="00F0703F" w:rsidRDefault="0052494C">
      <w:pPr>
        <w:tabs>
          <w:tab w:val="left" w:pos="-720"/>
        </w:tabs>
        <w:rPr>
          <w:rFonts w:ascii="Times New Roman" w:hAnsi="Times New Roman"/>
          <w:sz w:val="24"/>
          <w:szCs w:val="24"/>
        </w:rPr>
      </w:pPr>
      <w:r>
        <w:rPr>
          <w:rFonts w:ascii="Times New Roman" w:hAnsi="Times New Roman"/>
          <w:sz w:val="24"/>
          <w:szCs w:val="24"/>
        </w:rPr>
        <w:t>BCRS</w:t>
      </w:r>
      <w:r w:rsidR="00DC26D4">
        <w:rPr>
          <w:rFonts w:ascii="Times New Roman" w:hAnsi="Times New Roman"/>
          <w:sz w:val="24"/>
          <w:szCs w:val="24"/>
        </w:rPr>
        <w:t xml:space="preserve"> aims to evaluate the effectiveness of several communications tools </w:t>
      </w:r>
      <w:r w:rsidR="00DC26D4" w:rsidRPr="00EB5B40">
        <w:rPr>
          <w:rFonts w:ascii="Times New Roman" w:hAnsi="Times New Roman"/>
          <w:sz w:val="24"/>
          <w:szCs w:val="24"/>
        </w:rPr>
        <w:t xml:space="preserve">– </w:t>
      </w:r>
      <w:r w:rsidR="00EB5B40" w:rsidRPr="00EB5B40">
        <w:rPr>
          <w:rFonts w:ascii="Times New Roman" w:hAnsi="Times New Roman"/>
          <w:sz w:val="24"/>
          <w:szCs w:val="24"/>
        </w:rPr>
        <w:t>messaging, potential program names and potential program logos</w:t>
      </w:r>
      <w:r w:rsidR="00DC26D4" w:rsidRPr="00EB5B40">
        <w:rPr>
          <w:rFonts w:ascii="Times New Roman" w:hAnsi="Times New Roman"/>
          <w:sz w:val="24"/>
          <w:szCs w:val="24"/>
        </w:rPr>
        <w:t>– that</w:t>
      </w:r>
      <w:r w:rsidR="00DC26D4">
        <w:rPr>
          <w:rFonts w:ascii="Times New Roman" w:hAnsi="Times New Roman"/>
          <w:sz w:val="24"/>
          <w:szCs w:val="24"/>
        </w:rPr>
        <w:t xml:space="preserve"> are being tested to determine whether they are effective at conveying </w:t>
      </w:r>
      <w:r w:rsidR="00F0703F">
        <w:rPr>
          <w:rFonts w:ascii="Times New Roman" w:hAnsi="Times New Roman"/>
          <w:sz w:val="24"/>
          <w:szCs w:val="24"/>
        </w:rPr>
        <w:t xml:space="preserve">the programs’ desired identity, attributes and benefits to </w:t>
      </w:r>
      <w:r w:rsidR="00DC26D4">
        <w:rPr>
          <w:rFonts w:ascii="Times New Roman" w:hAnsi="Times New Roman"/>
          <w:sz w:val="24"/>
          <w:szCs w:val="24"/>
        </w:rPr>
        <w:t xml:space="preserve">target audiences. </w:t>
      </w:r>
    </w:p>
    <w:p w:rsidR="00EB5B40" w:rsidRDefault="00F0703F">
      <w:pPr>
        <w:tabs>
          <w:tab w:val="left" w:pos="-720"/>
        </w:tabs>
        <w:rPr>
          <w:rFonts w:ascii="Times New Roman" w:hAnsi="Times New Roman"/>
          <w:sz w:val="24"/>
          <w:szCs w:val="24"/>
        </w:rPr>
      </w:pPr>
      <w:r>
        <w:rPr>
          <w:rFonts w:ascii="Times New Roman" w:hAnsi="Times New Roman"/>
          <w:sz w:val="24"/>
          <w:szCs w:val="24"/>
        </w:rPr>
        <w:t xml:space="preserve">Stimulus materials for the focus groups and telephone interviews will include descriptive </w:t>
      </w:r>
      <w:r>
        <w:rPr>
          <w:rFonts w:ascii="Times New Roman" w:hAnsi="Times New Roman"/>
          <w:sz w:val="24"/>
          <w:szCs w:val="24"/>
        </w:rPr>
        <w:lastRenderedPageBreak/>
        <w:t>language, potential program names and logo types / design concepts.</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876FA9" w:rsidRDefault="00876FA9">
      <w:pPr>
        <w:tabs>
          <w:tab w:val="left" w:pos="-720"/>
          <w:tab w:val="left" w:pos="720"/>
          <w:tab w:val="right" w:pos="8648"/>
        </w:tabs>
        <w:rPr>
          <w:rFonts w:ascii="Times New Roman" w:hAnsi="Times New Roman"/>
          <w:sz w:val="24"/>
          <w:szCs w:val="24"/>
          <w:u w:val="single"/>
        </w:rPr>
      </w:pPr>
    </w:p>
    <w:p w:rsidR="00F03DEE" w:rsidRDefault="00605B01" w:rsidP="00876FA9">
      <w:pPr>
        <w:tabs>
          <w:tab w:val="left" w:pos="720"/>
        </w:tabs>
        <w:rPr>
          <w:rFonts w:ascii="Times New Roman" w:hAnsi="Times New Roman"/>
          <w:sz w:val="24"/>
          <w:szCs w:val="24"/>
        </w:rPr>
      </w:pPr>
      <w:r>
        <w:rPr>
          <w:rFonts w:ascii="Times New Roman" w:hAnsi="Times New Roman"/>
          <w:sz w:val="24"/>
          <w:szCs w:val="24"/>
        </w:rPr>
        <w:t>BCRS</w:t>
      </w:r>
      <w:r w:rsidR="00876FA9">
        <w:rPr>
          <w:rFonts w:ascii="Times New Roman" w:hAnsi="Times New Roman"/>
          <w:sz w:val="24"/>
          <w:szCs w:val="24"/>
        </w:rPr>
        <w:t xml:space="preserve"> aims to collect feedback from cur</w:t>
      </w:r>
      <w:r w:rsidR="00F03DEE">
        <w:rPr>
          <w:rFonts w:ascii="Times New Roman" w:hAnsi="Times New Roman"/>
          <w:sz w:val="24"/>
          <w:szCs w:val="24"/>
        </w:rPr>
        <w:t xml:space="preserve">rent NSP and NELRP participants; </w:t>
      </w:r>
      <w:r w:rsidR="00876FA9">
        <w:rPr>
          <w:rFonts w:ascii="Times New Roman" w:hAnsi="Times New Roman"/>
          <w:sz w:val="24"/>
          <w:szCs w:val="24"/>
        </w:rPr>
        <w:t xml:space="preserve"> </w:t>
      </w:r>
      <w:r w:rsidR="00BA1DBD">
        <w:rPr>
          <w:rFonts w:ascii="Times New Roman" w:hAnsi="Times New Roman"/>
          <w:sz w:val="24"/>
          <w:szCs w:val="24"/>
        </w:rPr>
        <w:t>prospective</w:t>
      </w:r>
      <w:r w:rsidR="00F03DEE">
        <w:rPr>
          <w:rFonts w:ascii="Times New Roman" w:hAnsi="Times New Roman"/>
          <w:sz w:val="24"/>
          <w:szCs w:val="24"/>
        </w:rPr>
        <w:t xml:space="preserve"> NSP and NELRP participants;</w:t>
      </w:r>
      <w:r w:rsidR="00876FA9">
        <w:rPr>
          <w:rFonts w:ascii="Times New Roman" w:hAnsi="Times New Roman"/>
          <w:sz w:val="24"/>
          <w:szCs w:val="24"/>
        </w:rPr>
        <w:t xml:space="preserve"> critical s</w:t>
      </w:r>
      <w:r w:rsidR="00F03DEE">
        <w:rPr>
          <w:rFonts w:ascii="Times New Roman" w:hAnsi="Times New Roman"/>
          <w:sz w:val="24"/>
          <w:szCs w:val="24"/>
        </w:rPr>
        <w:t>hortage facility administrators;</w:t>
      </w:r>
      <w:r w:rsidR="00876FA9">
        <w:rPr>
          <w:rFonts w:ascii="Times New Roman" w:hAnsi="Times New Roman"/>
          <w:sz w:val="24"/>
          <w:szCs w:val="24"/>
        </w:rPr>
        <w:t xml:space="preserve"> </w:t>
      </w:r>
      <w:r w:rsidR="00F03DEE">
        <w:rPr>
          <w:rFonts w:ascii="Times New Roman" w:hAnsi="Times New Roman"/>
          <w:sz w:val="24"/>
          <w:szCs w:val="24"/>
        </w:rPr>
        <w:t xml:space="preserve">deans, </w:t>
      </w:r>
      <w:r w:rsidR="00876FA9">
        <w:rPr>
          <w:rFonts w:ascii="Times New Roman" w:hAnsi="Times New Roman"/>
          <w:sz w:val="24"/>
          <w:szCs w:val="24"/>
        </w:rPr>
        <w:t xml:space="preserve">administrators </w:t>
      </w:r>
      <w:r w:rsidR="00F03DEE">
        <w:rPr>
          <w:rFonts w:ascii="Times New Roman" w:hAnsi="Times New Roman"/>
          <w:sz w:val="24"/>
          <w:szCs w:val="24"/>
        </w:rPr>
        <w:t xml:space="preserve">and financial aid directors </w:t>
      </w:r>
      <w:r w:rsidR="00F03DEE" w:rsidRPr="00F03DEE">
        <w:rPr>
          <w:rFonts w:ascii="Times New Roman" w:hAnsi="Times New Roman"/>
          <w:sz w:val="24"/>
          <w:szCs w:val="24"/>
        </w:rPr>
        <w:t xml:space="preserve">at schools of nursing, </w:t>
      </w:r>
      <w:r w:rsidR="00F03DEE">
        <w:rPr>
          <w:rFonts w:ascii="Times New Roman" w:hAnsi="Times New Roman"/>
          <w:sz w:val="24"/>
          <w:szCs w:val="24"/>
        </w:rPr>
        <w:t>including</w:t>
      </w:r>
      <w:r w:rsidR="00F03DEE" w:rsidRPr="00F03DEE">
        <w:rPr>
          <w:rFonts w:ascii="Times New Roman" w:hAnsi="Times New Roman"/>
          <w:sz w:val="24"/>
          <w:szCs w:val="24"/>
        </w:rPr>
        <w:t xml:space="preserve"> </w:t>
      </w:r>
      <w:r w:rsidR="009E3BF2">
        <w:rPr>
          <w:rFonts w:ascii="Times New Roman" w:hAnsi="Times New Roman"/>
          <w:sz w:val="24"/>
          <w:szCs w:val="24"/>
        </w:rPr>
        <w:t>Historically Black Collegies and Universities (</w:t>
      </w:r>
      <w:r w:rsidR="00F03DEE" w:rsidRPr="00F03DEE">
        <w:rPr>
          <w:rFonts w:ascii="Times New Roman" w:hAnsi="Times New Roman"/>
          <w:sz w:val="24"/>
          <w:szCs w:val="24"/>
        </w:rPr>
        <w:t>HBCU</w:t>
      </w:r>
      <w:r w:rsidR="009E3BF2">
        <w:rPr>
          <w:rFonts w:ascii="Times New Roman" w:hAnsi="Times New Roman"/>
          <w:sz w:val="24"/>
          <w:szCs w:val="24"/>
        </w:rPr>
        <w:t>)</w:t>
      </w:r>
      <w:r w:rsidR="00F03DEE" w:rsidRPr="00F03DEE">
        <w:rPr>
          <w:rFonts w:ascii="Times New Roman" w:hAnsi="Times New Roman"/>
          <w:sz w:val="24"/>
          <w:szCs w:val="24"/>
        </w:rPr>
        <w:t xml:space="preserve"> Schools of Nursing and Nursing Schools located in Hispanic Serving Institutions (HSIs), Tribal Colleges and Universitie</w:t>
      </w:r>
      <w:r w:rsidR="00F03DEE">
        <w:rPr>
          <w:rFonts w:ascii="Times New Roman" w:hAnsi="Times New Roman"/>
          <w:sz w:val="24"/>
          <w:szCs w:val="24"/>
        </w:rPr>
        <w:t>s (TCUs) and Community Colleges; and</w:t>
      </w:r>
      <w:r w:rsidR="00876FA9">
        <w:rPr>
          <w:rFonts w:ascii="Times New Roman" w:hAnsi="Times New Roman"/>
          <w:sz w:val="24"/>
          <w:szCs w:val="24"/>
        </w:rPr>
        <w:t xml:space="preserve"> administrators from community colleges, and administrators from pipeline programs such as Area Health Education Centers, </w:t>
      </w:r>
      <w:r w:rsidR="00927D79" w:rsidRPr="009920FA">
        <w:rPr>
          <w:rFonts w:ascii="Times New Roman" w:hAnsi="Times New Roman"/>
          <w:sz w:val="24"/>
          <w:szCs w:val="24"/>
        </w:rPr>
        <w:t>Student/Resident Experiences and Rotations in Community Health</w:t>
      </w:r>
      <w:r w:rsidR="00BA1DBD">
        <w:rPr>
          <w:rFonts w:ascii="Times New Roman" w:hAnsi="Times New Roman"/>
          <w:color w:val="275C99"/>
          <w:sz w:val="24"/>
          <w:szCs w:val="24"/>
        </w:rPr>
        <w:t xml:space="preserve">  </w:t>
      </w:r>
      <w:r w:rsidR="00BA1DBD" w:rsidRPr="00BA1DBD">
        <w:rPr>
          <w:rFonts w:ascii="Times New Roman" w:hAnsi="Times New Roman"/>
          <w:sz w:val="24"/>
          <w:szCs w:val="24"/>
        </w:rPr>
        <w:t>(</w:t>
      </w:r>
      <w:r w:rsidR="00876FA9" w:rsidRPr="00BA1DBD">
        <w:rPr>
          <w:rFonts w:ascii="Times New Roman" w:hAnsi="Times New Roman"/>
          <w:sz w:val="24"/>
          <w:szCs w:val="24"/>
        </w:rPr>
        <w:t>S</w:t>
      </w:r>
      <w:r w:rsidR="00876FA9" w:rsidRPr="009920FA">
        <w:rPr>
          <w:rFonts w:ascii="Times New Roman" w:hAnsi="Times New Roman"/>
          <w:sz w:val="24"/>
          <w:szCs w:val="24"/>
        </w:rPr>
        <w:t>EARCH</w:t>
      </w:r>
      <w:r w:rsidR="00A7520D" w:rsidRPr="009920FA">
        <w:rPr>
          <w:rFonts w:ascii="Times New Roman" w:hAnsi="Times New Roman"/>
          <w:sz w:val="24"/>
          <w:szCs w:val="24"/>
        </w:rPr>
        <w:t>)</w:t>
      </w:r>
      <w:r w:rsidR="00876FA9" w:rsidRPr="009920FA">
        <w:rPr>
          <w:rFonts w:ascii="Times New Roman" w:hAnsi="Times New Roman"/>
          <w:sz w:val="24"/>
          <w:szCs w:val="24"/>
        </w:rPr>
        <w:t xml:space="preserve"> and</w:t>
      </w:r>
      <w:r w:rsidR="00876FA9">
        <w:rPr>
          <w:rFonts w:ascii="Times New Roman" w:hAnsi="Times New Roman"/>
          <w:sz w:val="24"/>
          <w:szCs w:val="24"/>
        </w:rPr>
        <w:t xml:space="preserve"> Health Careers Opportunity Program. </w:t>
      </w:r>
    </w:p>
    <w:p w:rsidR="009920FA" w:rsidRDefault="009920FA" w:rsidP="00876FA9">
      <w:pPr>
        <w:tabs>
          <w:tab w:val="left" w:pos="720"/>
        </w:tabs>
        <w:rPr>
          <w:rFonts w:ascii="Times New Roman" w:hAnsi="Times New Roman"/>
          <w:sz w:val="24"/>
          <w:szCs w:val="24"/>
        </w:rPr>
      </w:pPr>
    </w:p>
    <w:p w:rsidR="009920FA" w:rsidRPr="008F207B" w:rsidRDefault="00BA1DBD" w:rsidP="00876FA9">
      <w:pPr>
        <w:tabs>
          <w:tab w:val="left" w:pos="720"/>
        </w:tabs>
        <w:rPr>
          <w:rFonts w:ascii="Times New Roman" w:hAnsi="Times New Roman"/>
          <w:sz w:val="24"/>
          <w:szCs w:val="24"/>
        </w:rPr>
      </w:pPr>
      <w:r w:rsidRPr="008F207B">
        <w:rPr>
          <w:rFonts w:ascii="Times New Roman" w:hAnsi="Times New Roman"/>
          <w:sz w:val="24"/>
          <w:szCs w:val="24"/>
        </w:rPr>
        <w:t>Prospective</w:t>
      </w:r>
      <w:r w:rsidR="009920FA" w:rsidRPr="008F207B">
        <w:rPr>
          <w:rFonts w:ascii="Times New Roman" w:hAnsi="Times New Roman"/>
          <w:sz w:val="24"/>
          <w:szCs w:val="24"/>
        </w:rPr>
        <w:t xml:space="preserve"> NSP and NELRP participants will be </w:t>
      </w:r>
      <w:r w:rsidR="00E5367F" w:rsidRPr="008F207B">
        <w:rPr>
          <w:rFonts w:ascii="Times New Roman" w:hAnsi="Times New Roman"/>
          <w:sz w:val="24"/>
          <w:szCs w:val="24"/>
        </w:rPr>
        <w:t>determined based on the following criteria</w:t>
      </w:r>
      <w:r w:rsidR="00344284" w:rsidRPr="008F207B">
        <w:rPr>
          <w:rFonts w:ascii="Times New Roman" w:hAnsi="Times New Roman"/>
          <w:sz w:val="24"/>
          <w:szCs w:val="24"/>
        </w:rPr>
        <w:t xml:space="preserve"> and they will be found </w:t>
      </w:r>
      <w:r w:rsidRPr="008F207B">
        <w:rPr>
          <w:rFonts w:ascii="Times New Roman" w:hAnsi="Times New Roman"/>
          <w:sz w:val="24"/>
          <w:szCs w:val="24"/>
        </w:rPr>
        <w:t xml:space="preserve">through the use of proprietary lists of our host facilities of practicing nurses and nursing students and nurse faculty who are engaged with qualifying facilities/schools. We will also use purchased/rented lists if/as needed that meet the required qualifications. </w:t>
      </w:r>
    </w:p>
    <w:p w:rsidR="00E5367F" w:rsidRPr="008F207B" w:rsidRDefault="00E5367F" w:rsidP="00876FA9">
      <w:pPr>
        <w:tabs>
          <w:tab w:val="left" w:pos="720"/>
        </w:tabs>
        <w:rPr>
          <w:rFonts w:ascii="Times New Roman" w:hAnsi="Times New Roman"/>
          <w:sz w:val="24"/>
          <w:szCs w:val="24"/>
        </w:rPr>
      </w:pPr>
    </w:p>
    <w:p w:rsidR="00E5367F" w:rsidRPr="008F207B" w:rsidRDefault="00E5367F" w:rsidP="00E5367F">
      <w:pPr>
        <w:numPr>
          <w:ilvl w:val="0"/>
          <w:numId w:val="8"/>
        </w:numPr>
        <w:tabs>
          <w:tab w:val="left" w:pos="720"/>
        </w:tabs>
        <w:rPr>
          <w:rFonts w:ascii="Times New Roman" w:hAnsi="Times New Roman"/>
          <w:sz w:val="24"/>
          <w:szCs w:val="24"/>
        </w:rPr>
      </w:pPr>
      <w:r w:rsidRPr="008F207B">
        <w:rPr>
          <w:rFonts w:ascii="Times New Roman" w:hAnsi="Times New Roman"/>
          <w:b/>
          <w:sz w:val="24"/>
          <w:szCs w:val="24"/>
        </w:rPr>
        <w:t>A.</w:t>
      </w:r>
      <w:r w:rsidRPr="008F207B">
        <w:rPr>
          <w:rFonts w:ascii="Times New Roman" w:hAnsi="Times New Roman"/>
          <w:sz w:val="24"/>
          <w:szCs w:val="24"/>
        </w:rPr>
        <w:t xml:space="preserve"> [NSP] Enrolled or accepted for enrollment in a professional registered nurse program (baccalaureate, graduate, associate degree, or diploma) at accredited school of nursing located in a U.S. state or territory and eligible for scholarship </w:t>
      </w:r>
      <w:r w:rsidRPr="008F207B">
        <w:rPr>
          <w:rFonts w:ascii="Times New Roman" w:hAnsi="Times New Roman"/>
          <w:b/>
          <w:sz w:val="24"/>
          <w:szCs w:val="24"/>
          <w:u w:val="single"/>
        </w:rPr>
        <w:t>and/or</w:t>
      </w:r>
      <w:r w:rsidRPr="008F207B">
        <w:rPr>
          <w:rFonts w:ascii="Times New Roman" w:hAnsi="Times New Roman"/>
          <w:sz w:val="24"/>
          <w:szCs w:val="24"/>
        </w:rPr>
        <w:t xml:space="preserve"> loan repayment programs.</w:t>
      </w:r>
    </w:p>
    <w:p w:rsidR="00E5367F" w:rsidRPr="008F207B" w:rsidRDefault="00E5367F" w:rsidP="00E5367F">
      <w:pPr>
        <w:numPr>
          <w:ilvl w:val="1"/>
          <w:numId w:val="8"/>
        </w:numPr>
        <w:tabs>
          <w:tab w:val="left" w:pos="720"/>
        </w:tabs>
        <w:rPr>
          <w:rFonts w:ascii="Times New Roman" w:hAnsi="Times New Roman"/>
          <w:sz w:val="24"/>
          <w:szCs w:val="24"/>
        </w:rPr>
      </w:pPr>
      <w:r w:rsidRPr="008F207B">
        <w:rPr>
          <w:rFonts w:ascii="Times New Roman" w:hAnsi="Times New Roman"/>
          <w:sz w:val="24"/>
          <w:szCs w:val="24"/>
        </w:rPr>
        <w:t>Free from any Federal judgment liens</w:t>
      </w:r>
    </w:p>
    <w:p w:rsidR="00E5367F" w:rsidRPr="008F207B" w:rsidRDefault="00E5367F" w:rsidP="00E5367F">
      <w:pPr>
        <w:numPr>
          <w:ilvl w:val="1"/>
          <w:numId w:val="8"/>
        </w:numPr>
        <w:tabs>
          <w:tab w:val="left" w:pos="720"/>
        </w:tabs>
        <w:rPr>
          <w:rFonts w:ascii="Times New Roman" w:hAnsi="Times New Roman"/>
          <w:sz w:val="24"/>
          <w:szCs w:val="24"/>
        </w:rPr>
      </w:pPr>
      <w:r w:rsidRPr="008F207B">
        <w:rPr>
          <w:rFonts w:ascii="Times New Roman" w:hAnsi="Times New Roman"/>
          <w:sz w:val="24"/>
          <w:szCs w:val="24"/>
        </w:rPr>
        <w:t>Free from existing service commitments</w:t>
      </w:r>
    </w:p>
    <w:p w:rsidR="00E5367F" w:rsidRPr="008F207B" w:rsidRDefault="00E5367F" w:rsidP="00E5367F">
      <w:pPr>
        <w:numPr>
          <w:ilvl w:val="1"/>
          <w:numId w:val="8"/>
        </w:numPr>
        <w:tabs>
          <w:tab w:val="left" w:pos="720"/>
        </w:tabs>
        <w:rPr>
          <w:rFonts w:ascii="Times New Roman" w:hAnsi="Times New Roman"/>
          <w:sz w:val="24"/>
          <w:szCs w:val="24"/>
        </w:rPr>
      </w:pPr>
      <w:r w:rsidRPr="008F207B">
        <w:rPr>
          <w:rFonts w:ascii="Times New Roman" w:hAnsi="Times New Roman"/>
          <w:sz w:val="24"/>
          <w:szCs w:val="24"/>
        </w:rPr>
        <w:t>Not delinquent on a Federal debt</w:t>
      </w:r>
    </w:p>
    <w:p w:rsidR="00E5367F" w:rsidRPr="008F207B" w:rsidRDefault="00E5367F" w:rsidP="00E5367F">
      <w:pPr>
        <w:tabs>
          <w:tab w:val="left" w:pos="720"/>
        </w:tabs>
        <w:ind w:left="1440"/>
        <w:rPr>
          <w:rFonts w:ascii="Times New Roman" w:hAnsi="Times New Roman"/>
          <w:sz w:val="24"/>
          <w:szCs w:val="24"/>
        </w:rPr>
      </w:pPr>
    </w:p>
    <w:p w:rsidR="00E5367F" w:rsidRPr="008F207B" w:rsidRDefault="00E5367F" w:rsidP="00E5367F">
      <w:pPr>
        <w:numPr>
          <w:ilvl w:val="0"/>
          <w:numId w:val="7"/>
        </w:numPr>
        <w:tabs>
          <w:tab w:val="left" w:pos="720"/>
        </w:tabs>
        <w:rPr>
          <w:rFonts w:ascii="Times New Roman" w:hAnsi="Times New Roman"/>
          <w:sz w:val="24"/>
          <w:szCs w:val="24"/>
        </w:rPr>
      </w:pPr>
      <w:r w:rsidRPr="008F207B">
        <w:rPr>
          <w:rFonts w:ascii="Times New Roman" w:hAnsi="Times New Roman"/>
          <w:b/>
          <w:sz w:val="24"/>
          <w:szCs w:val="24"/>
        </w:rPr>
        <w:t>B.</w:t>
      </w:r>
      <w:r w:rsidRPr="008F207B">
        <w:rPr>
          <w:rFonts w:ascii="Times New Roman" w:hAnsi="Times New Roman"/>
          <w:sz w:val="24"/>
          <w:szCs w:val="24"/>
        </w:rPr>
        <w:t xml:space="preserve"> [NELRP] </w:t>
      </w:r>
      <w:proofErr w:type="gramStart"/>
      <w:r w:rsidRPr="008F207B">
        <w:rPr>
          <w:rFonts w:ascii="Times New Roman" w:hAnsi="Times New Roman"/>
          <w:sz w:val="24"/>
          <w:szCs w:val="24"/>
        </w:rPr>
        <w:t>Have</w:t>
      </w:r>
      <w:proofErr w:type="gramEnd"/>
      <w:r w:rsidRPr="008F207B">
        <w:rPr>
          <w:rFonts w:ascii="Times New Roman" w:hAnsi="Times New Roman"/>
          <w:sz w:val="24"/>
          <w:szCs w:val="24"/>
        </w:rPr>
        <w:t xml:space="preserve"> received a bachelor’s degree, a master’s degree, an associate degree, a diploma or a doctoral degree in nursing and eligible for loan repayment programs.</w:t>
      </w:r>
    </w:p>
    <w:p w:rsidR="00E5367F" w:rsidRPr="008F207B" w:rsidRDefault="00E5367F" w:rsidP="00E5367F">
      <w:pPr>
        <w:numPr>
          <w:ilvl w:val="1"/>
          <w:numId w:val="7"/>
        </w:numPr>
        <w:tabs>
          <w:tab w:val="left" w:pos="720"/>
        </w:tabs>
        <w:rPr>
          <w:rFonts w:ascii="Times New Roman" w:hAnsi="Times New Roman"/>
          <w:sz w:val="24"/>
          <w:szCs w:val="24"/>
        </w:rPr>
      </w:pPr>
      <w:r w:rsidRPr="008F207B">
        <w:rPr>
          <w:rFonts w:ascii="Times New Roman" w:hAnsi="Times New Roman"/>
          <w:sz w:val="24"/>
          <w:szCs w:val="24"/>
        </w:rPr>
        <w:t>Be employed as a full-time RN or nurse practitioner, defined as at least 32 hours per week, at a public or private nonprofit Critical Shortage Facility (A health care facility located in, designated as, or serving a primary medical care or mental health, Health Professional Shortage Area (HPSA))</w:t>
      </w:r>
    </w:p>
    <w:p w:rsidR="00E5367F" w:rsidRPr="008F207B" w:rsidRDefault="00BA1DBD" w:rsidP="00876FA9">
      <w:pPr>
        <w:numPr>
          <w:ilvl w:val="1"/>
          <w:numId w:val="7"/>
        </w:numPr>
        <w:tabs>
          <w:tab w:val="left" w:pos="720"/>
        </w:tabs>
        <w:rPr>
          <w:rFonts w:ascii="Times New Roman" w:hAnsi="Times New Roman"/>
          <w:sz w:val="24"/>
          <w:szCs w:val="24"/>
        </w:rPr>
      </w:pPr>
      <w:r w:rsidRPr="008F207B">
        <w:rPr>
          <w:rFonts w:ascii="Times New Roman" w:hAnsi="Times New Roman"/>
          <w:sz w:val="24"/>
          <w:szCs w:val="24"/>
        </w:rPr>
        <w:t>Prospective</w:t>
      </w:r>
      <w:r w:rsidR="00E5367F" w:rsidRPr="008F207B">
        <w:rPr>
          <w:rFonts w:ascii="Times New Roman" w:hAnsi="Times New Roman"/>
          <w:sz w:val="24"/>
          <w:szCs w:val="24"/>
        </w:rPr>
        <w:t xml:space="preserve"> NELRP applicants who are nurses would have to be working in a CSF to qualify for the focus groups. Potential NELRP applicants who are nurse faculty members at a nursing school would have to be employed by an accredited public or private nonprofit school of nursing.</w:t>
      </w:r>
    </w:p>
    <w:p w:rsidR="00F03DEE" w:rsidRDefault="00F03DEE" w:rsidP="00876FA9">
      <w:pPr>
        <w:tabs>
          <w:tab w:val="left" w:pos="720"/>
        </w:tabs>
        <w:rPr>
          <w:rFonts w:ascii="Times New Roman" w:hAnsi="Times New Roman"/>
          <w:sz w:val="24"/>
          <w:szCs w:val="24"/>
        </w:rPr>
      </w:pPr>
    </w:p>
    <w:p w:rsidR="00876FA9" w:rsidRDefault="00876FA9" w:rsidP="00876FA9">
      <w:pPr>
        <w:tabs>
          <w:tab w:val="left" w:pos="720"/>
        </w:tabs>
        <w:rPr>
          <w:rFonts w:ascii="Times New Roman" w:hAnsi="Times New Roman"/>
          <w:sz w:val="24"/>
          <w:szCs w:val="24"/>
        </w:rPr>
      </w:pPr>
      <w:r>
        <w:rPr>
          <w:rFonts w:ascii="Times New Roman" w:hAnsi="Times New Roman"/>
          <w:sz w:val="24"/>
          <w:szCs w:val="24"/>
        </w:rPr>
        <w:t xml:space="preserve">The purpose is to </w:t>
      </w:r>
      <w:r w:rsidR="00F03DEE">
        <w:rPr>
          <w:rFonts w:ascii="Times New Roman" w:hAnsi="Times New Roman"/>
          <w:sz w:val="24"/>
          <w:szCs w:val="24"/>
        </w:rPr>
        <w:t>discover and understand</w:t>
      </w:r>
      <w:r w:rsidRPr="00876FA9">
        <w:rPr>
          <w:rFonts w:ascii="Times New Roman" w:hAnsi="Times New Roman"/>
          <w:sz w:val="24"/>
          <w:szCs w:val="24"/>
        </w:rPr>
        <w:t xml:space="preserve"> current perceptions, challenges, expectations, and information needs </w:t>
      </w:r>
      <w:r w:rsidR="00F03DEE">
        <w:rPr>
          <w:rFonts w:ascii="Times New Roman" w:hAnsi="Times New Roman"/>
          <w:sz w:val="24"/>
          <w:szCs w:val="24"/>
        </w:rPr>
        <w:t>as it applies to</w:t>
      </w:r>
      <w:r w:rsidRPr="00876FA9">
        <w:rPr>
          <w:rFonts w:ascii="Times New Roman" w:hAnsi="Times New Roman"/>
          <w:sz w:val="24"/>
          <w:szCs w:val="24"/>
        </w:rPr>
        <w:t xml:space="preserve"> </w:t>
      </w:r>
      <w:r w:rsidR="00AC2407">
        <w:rPr>
          <w:rFonts w:ascii="Times New Roman" w:hAnsi="Times New Roman"/>
          <w:sz w:val="24"/>
          <w:szCs w:val="24"/>
        </w:rPr>
        <w:t xml:space="preserve">messaging, </w:t>
      </w:r>
      <w:r w:rsidR="00F03DEE">
        <w:rPr>
          <w:rFonts w:ascii="Times New Roman" w:hAnsi="Times New Roman"/>
          <w:sz w:val="24"/>
          <w:szCs w:val="24"/>
        </w:rPr>
        <w:t>potential naming, potential logos and program identity</w:t>
      </w:r>
      <w:r>
        <w:rPr>
          <w:rFonts w:ascii="Times New Roman" w:hAnsi="Times New Roman"/>
          <w:sz w:val="24"/>
          <w:szCs w:val="24"/>
        </w:rPr>
        <w:t xml:space="preserve">. The information gathered will ensure that the messaging, materials and other information </w:t>
      </w:r>
      <w:r w:rsidRPr="00876FA9">
        <w:rPr>
          <w:rFonts w:ascii="Times New Roman" w:hAnsi="Times New Roman"/>
          <w:sz w:val="24"/>
          <w:szCs w:val="24"/>
        </w:rPr>
        <w:t xml:space="preserve">disseminated </w:t>
      </w:r>
      <w:r w:rsidR="00605B01">
        <w:rPr>
          <w:rFonts w:ascii="Times New Roman" w:hAnsi="Times New Roman"/>
          <w:sz w:val="24"/>
          <w:szCs w:val="24"/>
        </w:rPr>
        <w:t>are</w:t>
      </w:r>
      <w:r w:rsidRPr="00876FA9">
        <w:rPr>
          <w:rFonts w:ascii="Times New Roman" w:hAnsi="Times New Roman"/>
          <w:sz w:val="24"/>
          <w:szCs w:val="24"/>
        </w:rPr>
        <w:t xml:space="preserve"> effective, relevant, and useful to target audiences. </w:t>
      </w:r>
      <w:r w:rsidR="009B73A2">
        <w:rPr>
          <w:rFonts w:ascii="Times New Roman" w:hAnsi="Times New Roman"/>
          <w:sz w:val="24"/>
          <w:szCs w:val="24"/>
        </w:rPr>
        <w:t xml:space="preserve"> </w:t>
      </w:r>
    </w:p>
    <w:p w:rsidR="00876FA9" w:rsidRPr="00876FA9" w:rsidRDefault="00876FA9" w:rsidP="00876FA9">
      <w:pPr>
        <w:tabs>
          <w:tab w:val="left" w:pos="720"/>
        </w:tabs>
        <w:rPr>
          <w:rFonts w:ascii="Times New Roman" w:hAnsi="Times New Roman"/>
          <w:sz w:val="24"/>
          <w:szCs w:val="24"/>
        </w:rPr>
      </w:pPr>
    </w:p>
    <w:p w:rsidR="00876FA9" w:rsidRPr="00876FA9" w:rsidRDefault="00876FA9" w:rsidP="00876FA9">
      <w:pPr>
        <w:tabs>
          <w:tab w:val="left" w:pos="720"/>
        </w:tabs>
        <w:rPr>
          <w:rFonts w:ascii="Times New Roman" w:hAnsi="Times New Roman"/>
          <w:sz w:val="24"/>
          <w:szCs w:val="24"/>
        </w:rPr>
      </w:pPr>
      <w:r w:rsidRPr="00876FA9">
        <w:rPr>
          <w:rFonts w:ascii="Times New Roman" w:hAnsi="Times New Roman"/>
          <w:sz w:val="24"/>
          <w:szCs w:val="24"/>
        </w:rPr>
        <w:t xml:space="preserve">Information obtained through this assessment will deliver strategic and actionable guidance for refining </w:t>
      </w:r>
      <w:r>
        <w:rPr>
          <w:rFonts w:ascii="Times New Roman" w:hAnsi="Times New Roman"/>
          <w:sz w:val="24"/>
          <w:szCs w:val="24"/>
        </w:rPr>
        <w:t xml:space="preserve">of messaging, materials and </w:t>
      </w:r>
      <w:r w:rsidR="00D877E1">
        <w:rPr>
          <w:rFonts w:ascii="Times New Roman" w:hAnsi="Times New Roman"/>
          <w:sz w:val="24"/>
          <w:szCs w:val="24"/>
        </w:rPr>
        <w:t xml:space="preserve">identity </w:t>
      </w:r>
      <w:r>
        <w:rPr>
          <w:rFonts w:ascii="Times New Roman" w:hAnsi="Times New Roman"/>
          <w:sz w:val="24"/>
          <w:szCs w:val="24"/>
        </w:rPr>
        <w:t xml:space="preserve">of the programs. </w:t>
      </w:r>
      <w:r w:rsidRPr="00876FA9">
        <w:rPr>
          <w:rFonts w:ascii="Times New Roman" w:hAnsi="Times New Roman"/>
          <w:sz w:val="24"/>
          <w:szCs w:val="24"/>
        </w:rPr>
        <w:t xml:space="preserve">Without this information </w:t>
      </w:r>
      <w:r w:rsidR="00F965A2">
        <w:rPr>
          <w:rFonts w:ascii="Times New Roman" w:hAnsi="Times New Roman"/>
          <w:sz w:val="24"/>
          <w:szCs w:val="24"/>
        </w:rPr>
        <w:t xml:space="preserve">BCRS </w:t>
      </w:r>
      <w:r w:rsidRPr="00876FA9">
        <w:rPr>
          <w:rFonts w:ascii="Times New Roman" w:hAnsi="Times New Roman"/>
          <w:sz w:val="24"/>
          <w:szCs w:val="24"/>
        </w:rPr>
        <w:t xml:space="preserve">risks the possibility of inefficiently and ineffectively </w:t>
      </w:r>
      <w:r>
        <w:rPr>
          <w:rFonts w:ascii="Times New Roman" w:hAnsi="Times New Roman"/>
          <w:sz w:val="24"/>
          <w:szCs w:val="24"/>
        </w:rPr>
        <w:t xml:space="preserve">communicating the purpose and benefits of </w:t>
      </w:r>
      <w:r>
        <w:rPr>
          <w:rFonts w:ascii="Times New Roman" w:hAnsi="Times New Roman"/>
          <w:sz w:val="24"/>
          <w:szCs w:val="24"/>
        </w:rPr>
        <w:lastRenderedPageBreak/>
        <w:t xml:space="preserve">the programs to current and </w:t>
      </w:r>
      <w:r w:rsidR="00BA1DBD">
        <w:rPr>
          <w:rFonts w:ascii="Times New Roman" w:hAnsi="Times New Roman"/>
          <w:sz w:val="24"/>
          <w:szCs w:val="24"/>
        </w:rPr>
        <w:t>prospective</w:t>
      </w:r>
      <w:r>
        <w:rPr>
          <w:rFonts w:ascii="Times New Roman" w:hAnsi="Times New Roman"/>
          <w:sz w:val="24"/>
          <w:szCs w:val="24"/>
        </w:rPr>
        <w:t xml:space="preserve"> participants</w:t>
      </w:r>
      <w:r w:rsidR="00D914F8">
        <w:rPr>
          <w:rFonts w:ascii="Times New Roman" w:hAnsi="Times New Roman"/>
          <w:sz w:val="24"/>
          <w:szCs w:val="24"/>
        </w:rPr>
        <w:t xml:space="preserve"> and stakeholders</w:t>
      </w:r>
      <w:r>
        <w:rPr>
          <w:rFonts w:ascii="Times New Roman" w:hAnsi="Times New Roman"/>
          <w:sz w:val="24"/>
          <w:szCs w:val="24"/>
        </w:rPr>
        <w:t>.</w:t>
      </w:r>
    </w:p>
    <w:p w:rsidR="00876FA9" w:rsidRPr="00876FA9" w:rsidRDefault="00876FA9" w:rsidP="00876FA9">
      <w:pPr>
        <w:tabs>
          <w:tab w:val="left" w:pos="720"/>
        </w:tabs>
        <w:rPr>
          <w:rFonts w:ascii="Times New Roman" w:hAnsi="Times New Roman"/>
          <w:sz w:val="24"/>
          <w:szCs w:val="24"/>
        </w:rPr>
      </w:pPr>
    </w:p>
    <w:p w:rsidR="00876FA9" w:rsidRPr="00F03DEE" w:rsidRDefault="00876FA9" w:rsidP="00876FA9">
      <w:pPr>
        <w:tabs>
          <w:tab w:val="left" w:pos="720"/>
        </w:tabs>
        <w:rPr>
          <w:rFonts w:ascii="Times New Roman" w:hAnsi="Times New Roman"/>
          <w:sz w:val="24"/>
          <w:szCs w:val="24"/>
        </w:rPr>
      </w:pPr>
      <w:r w:rsidRPr="00F03DEE">
        <w:rPr>
          <w:rFonts w:ascii="Times New Roman" w:hAnsi="Times New Roman"/>
          <w:sz w:val="24"/>
          <w:szCs w:val="24"/>
        </w:rPr>
        <w:t xml:space="preserve">This data collection is designed to answer </w:t>
      </w:r>
      <w:r w:rsidR="00A21945">
        <w:rPr>
          <w:rFonts w:ascii="Times New Roman" w:hAnsi="Times New Roman"/>
          <w:sz w:val="24"/>
          <w:szCs w:val="24"/>
        </w:rPr>
        <w:t>questions in the following categories:</w:t>
      </w:r>
    </w:p>
    <w:p w:rsidR="00AC2407" w:rsidRPr="00F03DEE" w:rsidRDefault="00AC2407" w:rsidP="00876FA9">
      <w:pPr>
        <w:tabs>
          <w:tab w:val="left" w:pos="720"/>
        </w:tabs>
        <w:rPr>
          <w:rFonts w:ascii="Times New Roman" w:hAnsi="Times New Roman"/>
          <w:sz w:val="24"/>
          <w:szCs w:val="24"/>
        </w:rPr>
      </w:pPr>
    </w:p>
    <w:p w:rsidR="00A21945" w:rsidRDefault="00F03DEE" w:rsidP="00A21945">
      <w:pPr>
        <w:numPr>
          <w:ilvl w:val="0"/>
          <w:numId w:val="3"/>
        </w:numPr>
        <w:tabs>
          <w:tab w:val="left" w:pos="720"/>
        </w:tabs>
        <w:rPr>
          <w:rFonts w:ascii="Times New Roman" w:hAnsi="Times New Roman"/>
          <w:sz w:val="24"/>
          <w:szCs w:val="24"/>
        </w:rPr>
      </w:pPr>
      <w:r w:rsidRPr="00F03DEE">
        <w:rPr>
          <w:rFonts w:ascii="Times New Roman" w:hAnsi="Times New Roman"/>
          <w:sz w:val="24"/>
          <w:szCs w:val="24"/>
        </w:rPr>
        <w:t xml:space="preserve">Perspectives on </w:t>
      </w:r>
      <w:r w:rsidR="00D914F8">
        <w:rPr>
          <w:rFonts w:ascii="Times New Roman" w:hAnsi="Times New Roman"/>
          <w:sz w:val="24"/>
          <w:szCs w:val="24"/>
        </w:rPr>
        <w:t xml:space="preserve">the </w:t>
      </w:r>
      <w:r w:rsidRPr="00F03DEE">
        <w:rPr>
          <w:rFonts w:ascii="Times New Roman" w:hAnsi="Times New Roman"/>
          <w:sz w:val="24"/>
          <w:szCs w:val="24"/>
        </w:rPr>
        <w:t xml:space="preserve">field of nursing </w:t>
      </w:r>
    </w:p>
    <w:p w:rsidR="00A21945" w:rsidRDefault="00A21945" w:rsidP="00A21945">
      <w:pPr>
        <w:numPr>
          <w:ilvl w:val="0"/>
          <w:numId w:val="3"/>
        </w:numPr>
        <w:tabs>
          <w:tab w:val="left" w:pos="720"/>
        </w:tabs>
        <w:rPr>
          <w:rFonts w:ascii="Times New Roman" w:hAnsi="Times New Roman"/>
          <w:sz w:val="24"/>
          <w:szCs w:val="24"/>
        </w:rPr>
      </w:pPr>
      <w:r>
        <w:rPr>
          <w:rFonts w:ascii="Times New Roman" w:hAnsi="Times New Roman"/>
          <w:sz w:val="24"/>
          <w:szCs w:val="24"/>
        </w:rPr>
        <w:t>Awareness and k</w:t>
      </w:r>
      <w:r w:rsidRPr="00A21945">
        <w:rPr>
          <w:rFonts w:ascii="Times New Roman" w:hAnsi="Times New Roman"/>
          <w:sz w:val="24"/>
          <w:szCs w:val="24"/>
        </w:rPr>
        <w:t xml:space="preserve">nowledge of </w:t>
      </w:r>
      <w:r>
        <w:rPr>
          <w:rFonts w:ascii="Times New Roman" w:hAnsi="Times New Roman"/>
          <w:sz w:val="24"/>
          <w:szCs w:val="24"/>
        </w:rPr>
        <w:t xml:space="preserve">the </w:t>
      </w:r>
      <w:r w:rsidRPr="00A21945">
        <w:rPr>
          <w:rFonts w:ascii="Times New Roman" w:hAnsi="Times New Roman"/>
          <w:sz w:val="24"/>
          <w:szCs w:val="24"/>
        </w:rPr>
        <w:t>HRSA/BCRS Nursing Programs</w:t>
      </w:r>
    </w:p>
    <w:p w:rsidR="00A21945" w:rsidRPr="00A21945" w:rsidRDefault="00A21945" w:rsidP="00A21945">
      <w:pPr>
        <w:numPr>
          <w:ilvl w:val="0"/>
          <w:numId w:val="3"/>
        </w:numPr>
        <w:tabs>
          <w:tab w:val="left" w:pos="720"/>
        </w:tabs>
        <w:rPr>
          <w:rFonts w:ascii="Times New Roman" w:hAnsi="Times New Roman"/>
          <w:sz w:val="24"/>
          <w:szCs w:val="24"/>
        </w:rPr>
      </w:pPr>
      <w:r>
        <w:rPr>
          <w:rFonts w:ascii="Times New Roman" w:hAnsi="Times New Roman"/>
          <w:sz w:val="24"/>
          <w:szCs w:val="24"/>
        </w:rPr>
        <w:t xml:space="preserve">Evaluation of potential messaging for the </w:t>
      </w:r>
      <w:r w:rsidRPr="00A21945">
        <w:rPr>
          <w:rFonts w:ascii="Times New Roman" w:hAnsi="Times New Roman"/>
          <w:sz w:val="24"/>
          <w:szCs w:val="24"/>
        </w:rPr>
        <w:t>HRSA/BCRS Nursing Programs</w:t>
      </w:r>
    </w:p>
    <w:p w:rsidR="00AC2407" w:rsidRPr="00F03DEE" w:rsidRDefault="00A21945" w:rsidP="00AC2407">
      <w:pPr>
        <w:numPr>
          <w:ilvl w:val="0"/>
          <w:numId w:val="3"/>
        </w:numPr>
        <w:tabs>
          <w:tab w:val="left" w:pos="720"/>
        </w:tabs>
        <w:rPr>
          <w:rFonts w:ascii="Times New Roman" w:hAnsi="Times New Roman"/>
          <w:sz w:val="24"/>
          <w:szCs w:val="24"/>
        </w:rPr>
      </w:pPr>
      <w:r>
        <w:rPr>
          <w:rFonts w:ascii="Times New Roman" w:hAnsi="Times New Roman"/>
          <w:sz w:val="24"/>
          <w:szCs w:val="24"/>
        </w:rPr>
        <w:t>Evaluation of potential names and logos for the HRSA/BCRS Nursing Programs</w:t>
      </w:r>
    </w:p>
    <w:p w:rsidR="00876FA9" w:rsidRPr="00876FA9" w:rsidRDefault="00AC2407" w:rsidP="00876FA9">
      <w:pPr>
        <w:tabs>
          <w:tab w:val="left" w:pos="720"/>
        </w:tabs>
        <w:rPr>
          <w:rFonts w:ascii="Times New Roman" w:hAnsi="Times New Roman"/>
          <w:sz w:val="24"/>
          <w:szCs w:val="24"/>
        </w:rPr>
      </w:pPr>
      <w:r>
        <w:rPr>
          <w:rFonts w:ascii="Times New Roman" w:hAnsi="Times New Roman"/>
          <w:sz w:val="24"/>
          <w:szCs w:val="24"/>
        </w:rPr>
        <w:tab/>
      </w:r>
    </w:p>
    <w:p w:rsidR="005E3576" w:rsidRDefault="00605B01" w:rsidP="00876FA9">
      <w:pPr>
        <w:tabs>
          <w:tab w:val="left" w:pos="720"/>
        </w:tabs>
        <w:rPr>
          <w:rFonts w:ascii="Times New Roman" w:hAnsi="Times New Roman"/>
          <w:sz w:val="24"/>
          <w:szCs w:val="24"/>
        </w:rPr>
      </w:pPr>
      <w:r>
        <w:rPr>
          <w:rFonts w:ascii="Times New Roman" w:hAnsi="Times New Roman"/>
          <w:sz w:val="24"/>
          <w:szCs w:val="24"/>
        </w:rPr>
        <w:t>BCRS</w:t>
      </w:r>
      <w:r w:rsidR="00AC2407">
        <w:rPr>
          <w:rFonts w:ascii="Times New Roman" w:hAnsi="Times New Roman"/>
          <w:sz w:val="24"/>
          <w:szCs w:val="24"/>
        </w:rPr>
        <w:t xml:space="preserve"> has identified</w:t>
      </w:r>
      <w:r w:rsidR="006C03A5">
        <w:rPr>
          <w:rFonts w:ascii="Times New Roman" w:hAnsi="Times New Roman"/>
          <w:sz w:val="24"/>
          <w:szCs w:val="24"/>
        </w:rPr>
        <w:t xml:space="preserve"> target region</w:t>
      </w:r>
      <w:r w:rsidR="00ED7EF8">
        <w:rPr>
          <w:rFonts w:ascii="Times New Roman" w:hAnsi="Times New Roman"/>
          <w:sz w:val="24"/>
          <w:szCs w:val="24"/>
        </w:rPr>
        <w:t>s</w:t>
      </w:r>
      <w:r w:rsidR="006C03A5">
        <w:rPr>
          <w:rFonts w:ascii="Times New Roman" w:hAnsi="Times New Roman"/>
          <w:sz w:val="24"/>
          <w:szCs w:val="24"/>
        </w:rPr>
        <w:t xml:space="preserve"> and categories of </w:t>
      </w:r>
      <w:r w:rsidR="00BA1DBD">
        <w:rPr>
          <w:rFonts w:ascii="Times New Roman" w:hAnsi="Times New Roman"/>
          <w:sz w:val="24"/>
          <w:szCs w:val="24"/>
        </w:rPr>
        <w:t>prospective</w:t>
      </w:r>
      <w:r w:rsidR="006C03A5">
        <w:rPr>
          <w:rFonts w:ascii="Times New Roman" w:hAnsi="Times New Roman"/>
          <w:sz w:val="24"/>
          <w:szCs w:val="24"/>
        </w:rPr>
        <w:t xml:space="preserve"> assessment participants. The data will be collected through </w:t>
      </w:r>
      <w:r w:rsidR="00A21945">
        <w:rPr>
          <w:rFonts w:ascii="Times New Roman" w:hAnsi="Times New Roman"/>
          <w:sz w:val="24"/>
          <w:szCs w:val="24"/>
        </w:rPr>
        <w:t xml:space="preserve">two in-person focus groups, four online focus groups and 24 </w:t>
      </w:r>
      <w:r w:rsidR="006C03A5">
        <w:rPr>
          <w:rFonts w:ascii="Times New Roman" w:hAnsi="Times New Roman"/>
          <w:sz w:val="24"/>
          <w:szCs w:val="24"/>
        </w:rPr>
        <w:t xml:space="preserve">telephone in-depth interviews over the course of </w:t>
      </w:r>
      <w:r w:rsidR="00DC26D4" w:rsidRPr="00D877E1">
        <w:rPr>
          <w:rFonts w:ascii="Times New Roman" w:hAnsi="Times New Roman"/>
          <w:sz w:val="24"/>
          <w:szCs w:val="24"/>
        </w:rPr>
        <w:t>one month</w:t>
      </w:r>
      <w:r w:rsidR="006C03A5" w:rsidRPr="00D877E1">
        <w:rPr>
          <w:rFonts w:ascii="Times New Roman" w:hAnsi="Times New Roman"/>
          <w:sz w:val="24"/>
          <w:szCs w:val="24"/>
        </w:rPr>
        <w:t>.</w:t>
      </w:r>
      <w:r w:rsidR="006C03A5">
        <w:rPr>
          <w:rFonts w:ascii="Times New Roman" w:hAnsi="Times New Roman"/>
          <w:sz w:val="24"/>
          <w:szCs w:val="24"/>
        </w:rPr>
        <w:t xml:space="preserve"> </w:t>
      </w:r>
    </w:p>
    <w:p w:rsidR="005E3576" w:rsidRDefault="005E3576" w:rsidP="00876FA9">
      <w:pPr>
        <w:tabs>
          <w:tab w:val="left" w:pos="720"/>
        </w:tabs>
        <w:rPr>
          <w:rFonts w:ascii="Times New Roman" w:hAnsi="Times New Roman"/>
          <w:sz w:val="24"/>
          <w:szCs w:val="24"/>
        </w:rPr>
      </w:pPr>
    </w:p>
    <w:p w:rsidR="005E3576" w:rsidRPr="005E3576" w:rsidRDefault="00876FA9" w:rsidP="00876FA9">
      <w:pPr>
        <w:tabs>
          <w:tab w:val="left" w:pos="720"/>
        </w:tabs>
        <w:rPr>
          <w:rFonts w:ascii="Times New Roman" w:hAnsi="Times New Roman"/>
          <w:b/>
          <w:sz w:val="24"/>
          <w:szCs w:val="24"/>
        </w:rPr>
      </w:pPr>
      <w:r w:rsidRPr="00876FA9">
        <w:rPr>
          <w:rFonts w:ascii="Times New Roman" w:hAnsi="Times New Roman"/>
          <w:sz w:val="24"/>
          <w:szCs w:val="24"/>
        </w:rPr>
        <w:t xml:space="preserve">The </w:t>
      </w:r>
      <w:r w:rsidR="005E3576">
        <w:rPr>
          <w:rFonts w:ascii="Times New Roman" w:hAnsi="Times New Roman"/>
          <w:sz w:val="24"/>
          <w:szCs w:val="24"/>
        </w:rPr>
        <w:t xml:space="preserve">two </w:t>
      </w:r>
      <w:r w:rsidR="00A21945">
        <w:rPr>
          <w:rFonts w:ascii="Times New Roman" w:hAnsi="Times New Roman"/>
          <w:sz w:val="24"/>
          <w:szCs w:val="24"/>
        </w:rPr>
        <w:t xml:space="preserve">in-person </w:t>
      </w:r>
      <w:r w:rsidR="00DC26D4">
        <w:rPr>
          <w:rFonts w:ascii="Times New Roman" w:hAnsi="Times New Roman"/>
          <w:sz w:val="24"/>
          <w:szCs w:val="24"/>
        </w:rPr>
        <w:t>focus groups</w:t>
      </w:r>
      <w:r w:rsidRPr="00876FA9">
        <w:rPr>
          <w:rFonts w:ascii="Times New Roman" w:hAnsi="Times New Roman"/>
          <w:sz w:val="24"/>
          <w:szCs w:val="24"/>
        </w:rPr>
        <w:t xml:space="preserve"> will be voluntary and will be conducted</w:t>
      </w:r>
      <w:r w:rsidR="005E3576">
        <w:rPr>
          <w:rFonts w:ascii="Times New Roman" w:hAnsi="Times New Roman"/>
          <w:sz w:val="24"/>
          <w:szCs w:val="24"/>
        </w:rPr>
        <w:t xml:space="preserve"> by </w:t>
      </w:r>
      <w:r w:rsidR="005E3576" w:rsidRPr="005E3576">
        <w:rPr>
          <w:rFonts w:ascii="Times New Roman" w:hAnsi="Times New Roman"/>
          <w:sz w:val="24"/>
          <w:szCs w:val="24"/>
        </w:rPr>
        <w:t>Russell Research</w:t>
      </w:r>
      <w:r w:rsidR="005E3576">
        <w:rPr>
          <w:rFonts w:ascii="Times New Roman" w:hAnsi="Times New Roman"/>
          <w:sz w:val="24"/>
          <w:szCs w:val="24"/>
        </w:rPr>
        <w:t xml:space="preserve"> </w:t>
      </w:r>
      <w:r w:rsidR="005E3576" w:rsidRPr="00876FA9">
        <w:rPr>
          <w:rFonts w:ascii="Times New Roman" w:hAnsi="Times New Roman"/>
          <w:sz w:val="24"/>
          <w:szCs w:val="24"/>
        </w:rPr>
        <w:t>in</w:t>
      </w:r>
      <w:r w:rsidR="00A21945">
        <w:rPr>
          <w:rFonts w:ascii="Times New Roman" w:hAnsi="Times New Roman"/>
          <w:sz w:val="24"/>
          <w:szCs w:val="24"/>
        </w:rPr>
        <w:t xml:space="preserve"> Philadelphia</w:t>
      </w:r>
      <w:r w:rsidR="009920FA">
        <w:rPr>
          <w:rFonts w:ascii="Times New Roman" w:hAnsi="Times New Roman"/>
          <w:sz w:val="24"/>
          <w:szCs w:val="24"/>
        </w:rPr>
        <w:t xml:space="preserve">, </w:t>
      </w:r>
      <w:r w:rsidR="00A21945">
        <w:rPr>
          <w:rFonts w:ascii="Times New Roman" w:hAnsi="Times New Roman"/>
          <w:sz w:val="24"/>
          <w:szCs w:val="24"/>
        </w:rPr>
        <w:t>as th</w:t>
      </w:r>
      <w:r w:rsidR="000A2742">
        <w:rPr>
          <w:rFonts w:ascii="Times New Roman" w:hAnsi="Times New Roman"/>
          <w:sz w:val="24"/>
          <w:szCs w:val="24"/>
        </w:rPr>
        <w:t>is</w:t>
      </w:r>
      <w:r w:rsidR="00A21945">
        <w:rPr>
          <w:rFonts w:ascii="Times New Roman" w:hAnsi="Times New Roman"/>
          <w:sz w:val="24"/>
          <w:szCs w:val="24"/>
        </w:rPr>
        <w:t xml:space="preserve"> location require</w:t>
      </w:r>
      <w:r w:rsidR="000A2742">
        <w:rPr>
          <w:rFonts w:ascii="Times New Roman" w:hAnsi="Times New Roman"/>
          <w:sz w:val="24"/>
          <w:szCs w:val="24"/>
        </w:rPr>
        <w:t>s</w:t>
      </w:r>
      <w:r w:rsidR="00A21945">
        <w:rPr>
          <w:rFonts w:ascii="Times New Roman" w:hAnsi="Times New Roman"/>
          <w:sz w:val="24"/>
          <w:szCs w:val="24"/>
        </w:rPr>
        <w:t xml:space="preserve"> limited travel</w:t>
      </w:r>
      <w:r w:rsidR="005E3576">
        <w:rPr>
          <w:rFonts w:ascii="Times New Roman" w:hAnsi="Times New Roman"/>
          <w:sz w:val="24"/>
          <w:szCs w:val="24"/>
        </w:rPr>
        <w:t xml:space="preserve"> and therefore minimize expenses</w:t>
      </w:r>
      <w:r w:rsidR="00A21945">
        <w:rPr>
          <w:rFonts w:ascii="Times New Roman" w:hAnsi="Times New Roman"/>
          <w:sz w:val="24"/>
          <w:szCs w:val="24"/>
        </w:rPr>
        <w:t>.</w:t>
      </w:r>
      <w:r w:rsidRPr="00876FA9">
        <w:rPr>
          <w:rFonts w:ascii="Times New Roman" w:hAnsi="Times New Roman"/>
          <w:sz w:val="24"/>
          <w:szCs w:val="24"/>
        </w:rPr>
        <w:t xml:space="preserve"> </w:t>
      </w:r>
      <w:r w:rsidR="00605B01">
        <w:rPr>
          <w:rFonts w:ascii="Times New Roman" w:hAnsi="Times New Roman"/>
          <w:sz w:val="24"/>
          <w:szCs w:val="24"/>
        </w:rPr>
        <w:t>The focus groups will</w:t>
      </w:r>
      <w:r w:rsidR="00A21945">
        <w:rPr>
          <w:rFonts w:ascii="Times New Roman" w:hAnsi="Times New Roman"/>
          <w:sz w:val="24"/>
          <w:szCs w:val="24"/>
        </w:rPr>
        <w:t xml:space="preserve"> last two hours and will</w:t>
      </w:r>
      <w:r w:rsidR="00605B01">
        <w:rPr>
          <w:rFonts w:ascii="Times New Roman" w:hAnsi="Times New Roman"/>
          <w:sz w:val="24"/>
          <w:szCs w:val="24"/>
        </w:rPr>
        <w:t xml:space="preserve"> consist of </w:t>
      </w:r>
      <w:r w:rsidR="00A21945">
        <w:rPr>
          <w:rFonts w:ascii="Times New Roman" w:hAnsi="Times New Roman"/>
          <w:sz w:val="24"/>
          <w:szCs w:val="24"/>
        </w:rPr>
        <w:t>eight to ten</w:t>
      </w:r>
      <w:r w:rsidR="00605B01">
        <w:rPr>
          <w:rFonts w:ascii="Times New Roman" w:hAnsi="Times New Roman"/>
          <w:sz w:val="24"/>
          <w:szCs w:val="24"/>
        </w:rPr>
        <w:t xml:space="preserve"> respondents each, selected from prospective NELRP and NSP </w:t>
      </w:r>
      <w:r w:rsidR="00D914F8">
        <w:rPr>
          <w:rFonts w:ascii="Times New Roman" w:hAnsi="Times New Roman"/>
          <w:sz w:val="24"/>
          <w:szCs w:val="24"/>
        </w:rPr>
        <w:t>participants</w:t>
      </w:r>
      <w:r w:rsidR="00CE3C8D">
        <w:rPr>
          <w:rFonts w:ascii="Times New Roman" w:hAnsi="Times New Roman"/>
          <w:sz w:val="24"/>
          <w:szCs w:val="24"/>
        </w:rPr>
        <w:t xml:space="preserve">, </w:t>
      </w:r>
      <w:r w:rsidR="005E3576">
        <w:rPr>
          <w:rFonts w:ascii="Times New Roman" w:hAnsi="Times New Roman"/>
          <w:sz w:val="24"/>
          <w:szCs w:val="24"/>
        </w:rPr>
        <w:t>which includes nursing students,</w:t>
      </w:r>
      <w:r w:rsidR="00A21945">
        <w:rPr>
          <w:rFonts w:ascii="Times New Roman" w:hAnsi="Times New Roman"/>
          <w:sz w:val="24"/>
          <w:szCs w:val="24"/>
        </w:rPr>
        <w:t xml:space="preserve"> nurses, nurse practitioners and nursing faculty</w:t>
      </w:r>
      <w:r w:rsidR="00605B01">
        <w:rPr>
          <w:rFonts w:ascii="Times New Roman" w:hAnsi="Times New Roman"/>
          <w:sz w:val="24"/>
          <w:szCs w:val="24"/>
        </w:rPr>
        <w:t xml:space="preserve">.  </w:t>
      </w:r>
      <w:r w:rsidR="005E3576">
        <w:rPr>
          <w:rFonts w:ascii="Times New Roman" w:hAnsi="Times New Roman"/>
          <w:sz w:val="24"/>
          <w:szCs w:val="24"/>
        </w:rPr>
        <w:t xml:space="preserve">The purpose is to </w:t>
      </w:r>
      <w:r w:rsidR="005E3576" w:rsidRPr="005E3576">
        <w:rPr>
          <w:rFonts w:ascii="Times New Roman" w:hAnsi="Times New Roman"/>
          <w:sz w:val="24"/>
          <w:szCs w:val="24"/>
        </w:rPr>
        <w:t xml:space="preserve">better understand prospective program participant needs, awareness and resonance to messages </w:t>
      </w:r>
      <w:r w:rsidR="005E3576">
        <w:rPr>
          <w:rFonts w:ascii="Times New Roman" w:hAnsi="Times New Roman"/>
          <w:sz w:val="24"/>
          <w:szCs w:val="24"/>
        </w:rPr>
        <w:t>and creative (prospective names and logos) for</w:t>
      </w:r>
      <w:r w:rsidR="005E3576" w:rsidRPr="005E3576">
        <w:rPr>
          <w:rFonts w:ascii="Times New Roman" w:hAnsi="Times New Roman"/>
          <w:sz w:val="24"/>
          <w:szCs w:val="24"/>
        </w:rPr>
        <w:t xml:space="preserve"> the NSP and NELRP programs</w:t>
      </w:r>
      <w:r w:rsidR="005E3576">
        <w:rPr>
          <w:rFonts w:ascii="Times New Roman" w:hAnsi="Times New Roman"/>
          <w:sz w:val="24"/>
          <w:szCs w:val="24"/>
        </w:rPr>
        <w:t>.</w:t>
      </w:r>
    </w:p>
    <w:p w:rsidR="005E3576" w:rsidRDefault="005E3576" w:rsidP="00876FA9">
      <w:pPr>
        <w:tabs>
          <w:tab w:val="left" w:pos="720"/>
        </w:tabs>
        <w:rPr>
          <w:rFonts w:ascii="Times New Roman" w:hAnsi="Times New Roman"/>
          <w:sz w:val="24"/>
          <w:szCs w:val="24"/>
        </w:rPr>
      </w:pPr>
    </w:p>
    <w:p w:rsidR="005E3576" w:rsidRDefault="005E3576" w:rsidP="00876FA9">
      <w:pPr>
        <w:tabs>
          <w:tab w:val="left" w:pos="720"/>
        </w:tabs>
        <w:rPr>
          <w:rFonts w:ascii="Times New Roman" w:hAnsi="Times New Roman"/>
          <w:sz w:val="24"/>
          <w:szCs w:val="24"/>
        </w:rPr>
      </w:pPr>
      <w:r>
        <w:rPr>
          <w:rFonts w:ascii="Times New Roman" w:hAnsi="Times New Roman"/>
          <w:sz w:val="24"/>
          <w:szCs w:val="24"/>
        </w:rPr>
        <w:t>The four online focus groups will be voluntary and will be conducted by</w:t>
      </w:r>
      <w:r w:rsidRPr="005E3576">
        <w:rPr>
          <w:rFonts w:asciiTheme="minorHAnsi" w:eastAsiaTheme="minorHAnsi" w:hAnsiTheme="minorHAnsi" w:cs="Arial"/>
          <w:sz w:val="22"/>
          <w:szCs w:val="22"/>
        </w:rPr>
        <w:t xml:space="preserve"> </w:t>
      </w:r>
      <w:r w:rsidRPr="005E3576">
        <w:rPr>
          <w:rFonts w:ascii="Times New Roman" w:hAnsi="Times New Roman"/>
          <w:sz w:val="24"/>
          <w:szCs w:val="24"/>
        </w:rPr>
        <w:t>Stratalys</w:t>
      </w:r>
      <w:r w:rsidR="00CE3C8D">
        <w:rPr>
          <w:rFonts w:ascii="Times New Roman" w:hAnsi="Times New Roman"/>
          <w:sz w:val="24"/>
          <w:szCs w:val="24"/>
        </w:rPr>
        <w:t xml:space="preserve"> Research</w:t>
      </w:r>
      <w:r w:rsidR="00E468DA">
        <w:rPr>
          <w:rFonts w:ascii="Times New Roman" w:hAnsi="Times New Roman"/>
          <w:sz w:val="24"/>
          <w:szCs w:val="24"/>
        </w:rPr>
        <w:t xml:space="preserve">. </w:t>
      </w:r>
      <w:r>
        <w:rPr>
          <w:rFonts w:ascii="Times New Roman" w:hAnsi="Times New Roman"/>
          <w:sz w:val="24"/>
          <w:szCs w:val="24"/>
        </w:rPr>
        <w:t xml:space="preserve">The online focus groups will last approximately 90 minutes and will include 13 to 15 respondents each, selected from current and prospective NELRP and NSP participants, including </w:t>
      </w:r>
      <w:r w:rsidR="00A7520D">
        <w:rPr>
          <w:rFonts w:ascii="Times New Roman" w:hAnsi="Times New Roman"/>
          <w:sz w:val="24"/>
          <w:szCs w:val="24"/>
        </w:rPr>
        <w:t>nursing students, nurses, nurse practitioners and nursing faculty</w:t>
      </w:r>
      <w:r>
        <w:rPr>
          <w:rFonts w:ascii="Times New Roman" w:hAnsi="Times New Roman"/>
          <w:sz w:val="24"/>
          <w:szCs w:val="24"/>
        </w:rPr>
        <w:t xml:space="preserve">. The purpose is to provide feedback and guidance to inform messaging, communications materials, and creative (prospective names and logos). </w:t>
      </w:r>
    </w:p>
    <w:p w:rsidR="005E3576" w:rsidRDefault="005E3576" w:rsidP="00876FA9">
      <w:pPr>
        <w:tabs>
          <w:tab w:val="left" w:pos="720"/>
        </w:tabs>
        <w:rPr>
          <w:rFonts w:ascii="Times New Roman" w:hAnsi="Times New Roman"/>
          <w:sz w:val="24"/>
          <w:szCs w:val="24"/>
        </w:rPr>
      </w:pPr>
    </w:p>
    <w:p w:rsidR="00E468DA" w:rsidRPr="00E468DA" w:rsidRDefault="005E3576" w:rsidP="00E468DA">
      <w:pPr>
        <w:tabs>
          <w:tab w:val="left" w:pos="720"/>
        </w:tabs>
        <w:rPr>
          <w:rFonts w:ascii="Times New Roman" w:hAnsi="Times New Roman"/>
          <w:sz w:val="24"/>
          <w:szCs w:val="24"/>
        </w:rPr>
      </w:pPr>
      <w:r>
        <w:rPr>
          <w:rFonts w:ascii="Times New Roman" w:hAnsi="Times New Roman"/>
          <w:sz w:val="24"/>
          <w:szCs w:val="24"/>
        </w:rPr>
        <w:t xml:space="preserve">The 24 </w:t>
      </w:r>
      <w:r w:rsidR="00807E72">
        <w:rPr>
          <w:rFonts w:ascii="Times New Roman" w:hAnsi="Times New Roman"/>
          <w:sz w:val="24"/>
          <w:szCs w:val="24"/>
        </w:rPr>
        <w:t>tele</w:t>
      </w:r>
      <w:r>
        <w:rPr>
          <w:rFonts w:ascii="Times New Roman" w:hAnsi="Times New Roman"/>
          <w:sz w:val="24"/>
          <w:szCs w:val="24"/>
        </w:rPr>
        <w:t xml:space="preserve">phone interviews will be voluntary and will be conducted by </w:t>
      </w:r>
      <w:r w:rsidRPr="005E3576">
        <w:rPr>
          <w:rFonts w:ascii="Times New Roman" w:hAnsi="Times New Roman"/>
          <w:sz w:val="24"/>
          <w:szCs w:val="24"/>
        </w:rPr>
        <w:t>Russell Research</w:t>
      </w:r>
      <w:r w:rsidR="00E468DA">
        <w:rPr>
          <w:rFonts w:ascii="Times New Roman" w:hAnsi="Times New Roman"/>
          <w:sz w:val="24"/>
          <w:szCs w:val="24"/>
        </w:rPr>
        <w:t xml:space="preserve">. </w:t>
      </w:r>
      <w:r w:rsidR="00605B01">
        <w:rPr>
          <w:rFonts w:ascii="Times New Roman" w:hAnsi="Times New Roman"/>
          <w:sz w:val="24"/>
          <w:szCs w:val="24"/>
        </w:rPr>
        <w:t xml:space="preserve">The </w:t>
      </w:r>
      <w:r w:rsidR="00807E72">
        <w:rPr>
          <w:rFonts w:ascii="Times New Roman" w:hAnsi="Times New Roman"/>
          <w:sz w:val="24"/>
          <w:szCs w:val="24"/>
        </w:rPr>
        <w:t>tele</w:t>
      </w:r>
      <w:r w:rsidR="00605B01">
        <w:rPr>
          <w:rFonts w:ascii="Times New Roman" w:hAnsi="Times New Roman"/>
          <w:sz w:val="24"/>
          <w:szCs w:val="24"/>
        </w:rPr>
        <w:t>phone i</w:t>
      </w:r>
      <w:r>
        <w:rPr>
          <w:rFonts w:ascii="Times New Roman" w:hAnsi="Times New Roman"/>
          <w:sz w:val="24"/>
          <w:szCs w:val="24"/>
        </w:rPr>
        <w:t xml:space="preserve">nterviews will consist of </w:t>
      </w:r>
      <w:r w:rsidR="00E468DA">
        <w:rPr>
          <w:rFonts w:ascii="Times New Roman" w:hAnsi="Times New Roman"/>
          <w:sz w:val="24"/>
          <w:szCs w:val="24"/>
        </w:rPr>
        <w:t xml:space="preserve"> conversations with critical shortage facility administrators; deans, administrators and financial aid directors </w:t>
      </w:r>
      <w:r w:rsidR="00E468DA" w:rsidRPr="00F03DEE">
        <w:rPr>
          <w:rFonts w:ascii="Times New Roman" w:hAnsi="Times New Roman"/>
          <w:sz w:val="24"/>
          <w:szCs w:val="24"/>
        </w:rPr>
        <w:t xml:space="preserve">at schools of nursing, </w:t>
      </w:r>
      <w:r w:rsidR="00E468DA">
        <w:rPr>
          <w:rFonts w:ascii="Times New Roman" w:hAnsi="Times New Roman"/>
          <w:sz w:val="24"/>
          <w:szCs w:val="24"/>
        </w:rPr>
        <w:t>including</w:t>
      </w:r>
      <w:r w:rsidR="00E468DA" w:rsidRPr="00F03DEE">
        <w:rPr>
          <w:rFonts w:ascii="Times New Roman" w:hAnsi="Times New Roman"/>
          <w:sz w:val="24"/>
          <w:szCs w:val="24"/>
        </w:rPr>
        <w:t xml:space="preserve"> </w:t>
      </w:r>
      <w:r w:rsidR="009920FA">
        <w:rPr>
          <w:rFonts w:ascii="Times New Roman" w:hAnsi="Times New Roman"/>
          <w:sz w:val="24"/>
          <w:szCs w:val="24"/>
        </w:rPr>
        <w:t xml:space="preserve">Historically Black </w:t>
      </w:r>
      <w:r w:rsidR="008F207B">
        <w:rPr>
          <w:rFonts w:ascii="Times New Roman" w:hAnsi="Times New Roman"/>
          <w:sz w:val="24"/>
          <w:szCs w:val="24"/>
        </w:rPr>
        <w:t>Colleges</w:t>
      </w:r>
      <w:r w:rsidR="009920FA">
        <w:rPr>
          <w:rFonts w:ascii="Times New Roman" w:hAnsi="Times New Roman"/>
          <w:sz w:val="24"/>
          <w:szCs w:val="24"/>
        </w:rPr>
        <w:t xml:space="preserve"> and Universities (</w:t>
      </w:r>
      <w:r w:rsidR="00E468DA" w:rsidRPr="00F03DEE">
        <w:rPr>
          <w:rFonts w:ascii="Times New Roman" w:hAnsi="Times New Roman"/>
          <w:sz w:val="24"/>
          <w:szCs w:val="24"/>
        </w:rPr>
        <w:t>HBCU</w:t>
      </w:r>
      <w:r w:rsidR="009920FA">
        <w:rPr>
          <w:rFonts w:ascii="Times New Roman" w:hAnsi="Times New Roman"/>
          <w:sz w:val="24"/>
          <w:szCs w:val="24"/>
        </w:rPr>
        <w:t>)</w:t>
      </w:r>
      <w:r w:rsidR="00E468DA" w:rsidRPr="00F03DEE">
        <w:rPr>
          <w:rFonts w:ascii="Times New Roman" w:hAnsi="Times New Roman"/>
          <w:sz w:val="24"/>
          <w:szCs w:val="24"/>
        </w:rPr>
        <w:t xml:space="preserve"> Schools of Nursing and Nursing Schools located in Hispanic Serving Institutions (HSIs), Tribal Colleges and Universitie</w:t>
      </w:r>
      <w:r w:rsidR="00E468DA">
        <w:rPr>
          <w:rFonts w:ascii="Times New Roman" w:hAnsi="Times New Roman"/>
          <w:sz w:val="24"/>
          <w:szCs w:val="24"/>
        </w:rPr>
        <w:t>s (TCUs) and Community Colleges; and administrators from community colleges, and administrators from pipeline programs such as Area Health Education Centers, SEARCH and Health Careers Opportunity Program.  P</w:t>
      </w:r>
      <w:r w:rsidR="00E468DA" w:rsidRPr="00E468DA">
        <w:rPr>
          <w:rFonts w:ascii="Times New Roman" w:hAnsi="Times New Roman"/>
          <w:sz w:val="24"/>
          <w:szCs w:val="24"/>
        </w:rPr>
        <w:t xml:space="preserve">articipants will be allowed access to a password protected </w:t>
      </w:r>
      <w:r w:rsidR="00E468DA">
        <w:rPr>
          <w:rFonts w:ascii="Times New Roman" w:hAnsi="Times New Roman"/>
          <w:sz w:val="24"/>
          <w:szCs w:val="24"/>
        </w:rPr>
        <w:t>web</w:t>
      </w:r>
      <w:r w:rsidR="00E468DA" w:rsidRPr="00E468DA">
        <w:rPr>
          <w:rFonts w:ascii="Times New Roman" w:hAnsi="Times New Roman"/>
          <w:sz w:val="24"/>
          <w:szCs w:val="24"/>
        </w:rPr>
        <w:t xml:space="preserve">site to see and respond to creative stimuli—these may include message concepts, names, logo designs, descriptive language. </w:t>
      </w:r>
      <w:r w:rsidR="00E468DA">
        <w:rPr>
          <w:rFonts w:ascii="Times New Roman" w:hAnsi="Times New Roman"/>
          <w:sz w:val="24"/>
          <w:szCs w:val="24"/>
        </w:rPr>
        <w:t>The purpose is to provide feedback and guidance to inform messaging, communications materials, and creative (prospective names and logos).</w:t>
      </w:r>
    </w:p>
    <w:p w:rsidR="001879E5" w:rsidRDefault="001879E5">
      <w:pPr>
        <w:tabs>
          <w:tab w:val="left" w:pos="720"/>
        </w:tabs>
        <w:rPr>
          <w:rFonts w:ascii="Times New Roman" w:hAnsi="Times New Roman"/>
          <w:sz w:val="24"/>
          <w:szCs w:val="24"/>
        </w:rPr>
      </w:pPr>
    </w:p>
    <w:p w:rsidR="001879E5" w:rsidRPr="000B105F" w:rsidRDefault="001879E5">
      <w:pPr>
        <w:tabs>
          <w:tab w:val="left" w:pos="-720"/>
          <w:tab w:val="left" w:pos="720"/>
          <w:tab w:val="right" w:pos="8648"/>
        </w:tabs>
        <w:rPr>
          <w:rFonts w:ascii="Times New Roman" w:hAnsi="Times New Roman"/>
          <w:color w:val="FF0000"/>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pPr>
        <w:tabs>
          <w:tab w:val="left" w:pos="-720"/>
          <w:tab w:val="left" w:pos="720"/>
          <w:tab w:val="right" w:pos="8648"/>
        </w:tabs>
        <w:rPr>
          <w:rFonts w:ascii="Times New Roman" w:hAnsi="Times New Roman"/>
          <w:sz w:val="24"/>
          <w:szCs w:val="24"/>
        </w:rPr>
      </w:pPr>
    </w:p>
    <w:p w:rsidR="006C03A5" w:rsidRDefault="00AC2407">
      <w:pPr>
        <w:tabs>
          <w:tab w:val="left" w:pos="-720"/>
        </w:tabs>
        <w:rPr>
          <w:rFonts w:ascii="Times New Roman" w:hAnsi="Times New Roman"/>
          <w:sz w:val="24"/>
          <w:szCs w:val="24"/>
        </w:rPr>
      </w:pPr>
      <w:r w:rsidRPr="00AC2407">
        <w:rPr>
          <w:rFonts w:ascii="Times New Roman" w:hAnsi="Times New Roman"/>
          <w:sz w:val="24"/>
          <w:szCs w:val="24"/>
        </w:rPr>
        <w:t>T</w:t>
      </w:r>
      <w:r w:rsidR="00E468DA">
        <w:rPr>
          <w:rFonts w:ascii="Times New Roman" w:hAnsi="Times New Roman"/>
          <w:sz w:val="24"/>
          <w:szCs w:val="24"/>
        </w:rPr>
        <w:t xml:space="preserve">o reduce respondent burden, </w:t>
      </w:r>
      <w:r w:rsidR="006C03A5">
        <w:rPr>
          <w:rFonts w:ascii="Times New Roman" w:hAnsi="Times New Roman"/>
          <w:sz w:val="24"/>
          <w:szCs w:val="24"/>
        </w:rPr>
        <w:t>four</w:t>
      </w:r>
      <w:r w:rsidR="00E468DA">
        <w:rPr>
          <w:rFonts w:ascii="Times New Roman" w:hAnsi="Times New Roman"/>
          <w:sz w:val="24"/>
          <w:szCs w:val="24"/>
        </w:rPr>
        <w:t xml:space="preserve"> of the six</w:t>
      </w:r>
      <w:r w:rsidR="006C03A5">
        <w:rPr>
          <w:rFonts w:ascii="Times New Roman" w:hAnsi="Times New Roman"/>
          <w:sz w:val="24"/>
          <w:szCs w:val="24"/>
        </w:rPr>
        <w:t xml:space="preserve"> focus groups</w:t>
      </w:r>
      <w:r w:rsidRPr="00AC2407">
        <w:rPr>
          <w:rFonts w:ascii="Times New Roman" w:hAnsi="Times New Roman"/>
          <w:sz w:val="24"/>
          <w:szCs w:val="24"/>
        </w:rPr>
        <w:t xml:space="preserve"> will be deployed and submitted using an online</w:t>
      </w:r>
      <w:r w:rsidR="00E468DA">
        <w:rPr>
          <w:rFonts w:ascii="Times New Roman" w:hAnsi="Times New Roman"/>
          <w:sz w:val="24"/>
          <w:szCs w:val="24"/>
        </w:rPr>
        <w:t>, password protected</w:t>
      </w:r>
      <w:r w:rsidRPr="00AC2407">
        <w:rPr>
          <w:rFonts w:ascii="Times New Roman" w:hAnsi="Times New Roman"/>
          <w:sz w:val="24"/>
          <w:szCs w:val="24"/>
        </w:rPr>
        <w:t xml:space="preserve"> electronic tool. </w:t>
      </w:r>
      <w:r w:rsidR="00E468DA">
        <w:rPr>
          <w:rFonts w:ascii="Times New Roman" w:hAnsi="Times New Roman"/>
          <w:sz w:val="24"/>
          <w:szCs w:val="24"/>
        </w:rPr>
        <w:t xml:space="preserve"> These online focus groups will be conducted by</w:t>
      </w:r>
      <w:r w:rsidR="00E468DA" w:rsidRPr="005E3576">
        <w:rPr>
          <w:rFonts w:asciiTheme="minorHAnsi" w:eastAsiaTheme="minorHAnsi" w:hAnsiTheme="minorHAnsi" w:cs="Arial"/>
          <w:sz w:val="22"/>
          <w:szCs w:val="22"/>
        </w:rPr>
        <w:t xml:space="preserve"> </w:t>
      </w:r>
      <w:r w:rsidR="00E468DA" w:rsidRPr="005E3576">
        <w:rPr>
          <w:rFonts w:ascii="Times New Roman" w:hAnsi="Times New Roman"/>
          <w:sz w:val="24"/>
          <w:szCs w:val="24"/>
        </w:rPr>
        <w:t>Stratalys</w:t>
      </w:r>
      <w:r w:rsidR="00E468DA">
        <w:rPr>
          <w:rFonts w:ascii="Times New Roman" w:hAnsi="Times New Roman"/>
          <w:sz w:val="24"/>
          <w:szCs w:val="24"/>
        </w:rPr>
        <w:t xml:space="preserve"> </w:t>
      </w:r>
      <w:r w:rsidR="00E468DA" w:rsidRPr="005E3576">
        <w:rPr>
          <w:rFonts w:ascii="Times New Roman" w:hAnsi="Times New Roman"/>
          <w:sz w:val="24"/>
          <w:szCs w:val="24"/>
        </w:rPr>
        <w:t>Research</w:t>
      </w:r>
      <w:r w:rsidR="00807E72">
        <w:rPr>
          <w:rFonts w:ascii="Times New Roman" w:hAnsi="Times New Roman"/>
          <w:sz w:val="24"/>
          <w:szCs w:val="24"/>
        </w:rPr>
        <w:t xml:space="preserve">, using their </w:t>
      </w:r>
      <w:r w:rsidR="009E3BF2">
        <w:rPr>
          <w:rFonts w:ascii="Times New Roman" w:hAnsi="Times New Roman"/>
          <w:sz w:val="24"/>
          <w:szCs w:val="24"/>
        </w:rPr>
        <w:t xml:space="preserve">proprietary </w:t>
      </w:r>
      <w:r w:rsidR="00E468DA">
        <w:rPr>
          <w:rFonts w:ascii="Times New Roman" w:hAnsi="Times New Roman"/>
          <w:sz w:val="24"/>
          <w:szCs w:val="24"/>
        </w:rPr>
        <w:t>online focus group platform</w:t>
      </w:r>
      <w:r w:rsidR="00E468DA" w:rsidRPr="005E3576">
        <w:rPr>
          <w:rFonts w:ascii="Times New Roman" w:hAnsi="Times New Roman"/>
          <w:sz w:val="24"/>
          <w:szCs w:val="24"/>
        </w:rPr>
        <w:t xml:space="preserve">.  This unique tool </w:t>
      </w:r>
      <w:r w:rsidR="00E468DA">
        <w:rPr>
          <w:rFonts w:ascii="Times New Roman" w:hAnsi="Times New Roman"/>
          <w:sz w:val="24"/>
          <w:szCs w:val="24"/>
        </w:rPr>
        <w:t>gathers</w:t>
      </w:r>
      <w:r w:rsidR="00E468DA" w:rsidRPr="005E3576">
        <w:rPr>
          <w:rFonts w:ascii="Times New Roman" w:hAnsi="Times New Roman"/>
          <w:sz w:val="24"/>
          <w:szCs w:val="24"/>
        </w:rPr>
        <w:t xml:space="preserve"> </w:t>
      </w:r>
      <w:r w:rsidR="00E468DA" w:rsidRPr="005E3576">
        <w:rPr>
          <w:rFonts w:ascii="Times New Roman" w:hAnsi="Times New Roman"/>
          <w:sz w:val="24"/>
          <w:szCs w:val="24"/>
        </w:rPr>
        <w:lastRenderedPageBreak/>
        <w:t xml:space="preserve">individual feedback from participants (such as ratings and </w:t>
      </w:r>
      <w:r w:rsidR="00E468DA">
        <w:rPr>
          <w:rFonts w:ascii="Times New Roman" w:hAnsi="Times New Roman"/>
          <w:sz w:val="24"/>
          <w:szCs w:val="24"/>
        </w:rPr>
        <w:t>rankings of positioning statemen</w:t>
      </w:r>
      <w:r w:rsidR="00E468DA" w:rsidRPr="005E3576">
        <w:rPr>
          <w:rFonts w:ascii="Times New Roman" w:hAnsi="Times New Roman"/>
          <w:sz w:val="24"/>
          <w:szCs w:val="24"/>
        </w:rPr>
        <w:t>ts, messages and creative) as well as engag</w:t>
      </w:r>
      <w:r w:rsidR="00E468DA">
        <w:rPr>
          <w:rFonts w:ascii="Times New Roman" w:hAnsi="Times New Roman"/>
          <w:sz w:val="24"/>
          <w:szCs w:val="24"/>
        </w:rPr>
        <w:t>es</w:t>
      </w:r>
      <w:r w:rsidR="00E468DA" w:rsidRPr="005E3576">
        <w:rPr>
          <w:rFonts w:ascii="Times New Roman" w:hAnsi="Times New Roman"/>
          <w:sz w:val="24"/>
          <w:szCs w:val="24"/>
        </w:rPr>
        <w:t xml:space="preserve"> the group in a robust discussion – thereby controlling for “group think.” It also </w:t>
      </w:r>
      <w:r w:rsidR="00E468DA">
        <w:rPr>
          <w:rFonts w:ascii="Times New Roman" w:hAnsi="Times New Roman"/>
          <w:sz w:val="24"/>
          <w:szCs w:val="24"/>
        </w:rPr>
        <w:t>cost effectively allows for the</w:t>
      </w:r>
      <w:r w:rsidR="00E468DA" w:rsidRPr="005E3576">
        <w:rPr>
          <w:rFonts w:ascii="Times New Roman" w:hAnsi="Times New Roman"/>
          <w:sz w:val="24"/>
          <w:szCs w:val="24"/>
        </w:rPr>
        <w:t xml:space="preserve"> </w:t>
      </w:r>
      <w:r w:rsidR="00E468DA">
        <w:rPr>
          <w:rFonts w:ascii="Times New Roman" w:hAnsi="Times New Roman"/>
          <w:sz w:val="24"/>
          <w:szCs w:val="24"/>
        </w:rPr>
        <w:t>recruitment of</w:t>
      </w:r>
      <w:r w:rsidR="00E468DA" w:rsidRPr="005E3576">
        <w:rPr>
          <w:rFonts w:ascii="Times New Roman" w:hAnsi="Times New Roman"/>
          <w:sz w:val="24"/>
          <w:szCs w:val="24"/>
        </w:rPr>
        <w:t xml:space="preserve"> a highly targeted national sample based on various client-approved criteria.</w:t>
      </w:r>
      <w:r w:rsidR="00E468DA">
        <w:rPr>
          <w:rFonts w:ascii="Times New Roman" w:hAnsi="Times New Roman"/>
          <w:sz w:val="24"/>
          <w:szCs w:val="24"/>
        </w:rPr>
        <w:t xml:space="preserve"> </w:t>
      </w:r>
      <w:r w:rsidRPr="00AC2407">
        <w:rPr>
          <w:rFonts w:ascii="Times New Roman" w:hAnsi="Times New Roman"/>
          <w:sz w:val="24"/>
          <w:szCs w:val="24"/>
        </w:rPr>
        <w:t xml:space="preserve">In addition, use of online </w:t>
      </w:r>
      <w:r w:rsidR="009B73A2">
        <w:rPr>
          <w:rFonts w:ascii="Times New Roman" w:hAnsi="Times New Roman"/>
          <w:sz w:val="24"/>
          <w:szCs w:val="24"/>
        </w:rPr>
        <w:t xml:space="preserve">focus groups </w:t>
      </w:r>
      <w:r w:rsidRPr="00AC2407">
        <w:rPr>
          <w:rFonts w:ascii="Times New Roman" w:hAnsi="Times New Roman"/>
          <w:sz w:val="24"/>
          <w:szCs w:val="24"/>
        </w:rPr>
        <w:t xml:space="preserve">will ensure quality and accurate collection of data, while also providing the greatest privacy to respondents and the least burden of time on respondents. An online </w:t>
      </w:r>
      <w:r w:rsidR="009B73A2">
        <w:rPr>
          <w:rFonts w:ascii="Times New Roman" w:hAnsi="Times New Roman"/>
          <w:sz w:val="24"/>
          <w:szCs w:val="24"/>
        </w:rPr>
        <w:t>focus group</w:t>
      </w:r>
      <w:r w:rsidRPr="00AC2407">
        <w:rPr>
          <w:rFonts w:ascii="Times New Roman" w:hAnsi="Times New Roman"/>
          <w:sz w:val="24"/>
          <w:szCs w:val="24"/>
        </w:rPr>
        <w:t xml:space="preserve"> will allow participants to be more candid tha</w:t>
      </w:r>
      <w:r w:rsidR="00374407">
        <w:rPr>
          <w:rFonts w:ascii="Times New Roman" w:hAnsi="Times New Roman"/>
          <w:sz w:val="24"/>
          <w:szCs w:val="24"/>
        </w:rPr>
        <w:t xml:space="preserve">n they might be in </w:t>
      </w:r>
      <w:r w:rsidR="005B6BDA">
        <w:rPr>
          <w:rFonts w:ascii="Times New Roman" w:hAnsi="Times New Roman"/>
          <w:sz w:val="24"/>
          <w:szCs w:val="24"/>
        </w:rPr>
        <w:t>an</w:t>
      </w:r>
      <w:r w:rsidR="006C03A5">
        <w:rPr>
          <w:rFonts w:ascii="Times New Roman" w:hAnsi="Times New Roman"/>
          <w:sz w:val="24"/>
          <w:szCs w:val="24"/>
        </w:rPr>
        <w:t xml:space="preserve"> in-person</w:t>
      </w:r>
      <w:r w:rsidR="00807E72">
        <w:rPr>
          <w:rFonts w:ascii="Times New Roman" w:hAnsi="Times New Roman"/>
          <w:sz w:val="24"/>
          <w:szCs w:val="24"/>
        </w:rPr>
        <w:t xml:space="preserve"> focus groups</w:t>
      </w:r>
      <w:r w:rsidR="006C03A5">
        <w:rPr>
          <w:rFonts w:ascii="Times New Roman" w:hAnsi="Times New Roman"/>
          <w:sz w:val="24"/>
          <w:szCs w:val="24"/>
        </w:rPr>
        <w:t xml:space="preserve">. </w:t>
      </w:r>
      <w:r w:rsidR="00374407">
        <w:rPr>
          <w:rFonts w:ascii="Times New Roman" w:hAnsi="Times New Roman"/>
          <w:sz w:val="24"/>
          <w:szCs w:val="24"/>
        </w:rPr>
        <w:t xml:space="preserve">Respondents will be recruited from email lists and to ensure that they have computer access. They will be they will be qualified to participate by the previously noted criteria.   We will not discriminate by typing speed, just as we would not discriminate in an in-person group </w:t>
      </w:r>
      <w:r w:rsidR="006C03A5">
        <w:rPr>
          <w:rFonts w:ascii="Times New Roman" w:hAnsi="Times New Roman"/>
          <w:sz w:val="24"/>
          <w:szCs w:val="24"/>
        </w:rPr>
        <w:t xml:space="preserve">In addition, </w:t>
      </w:r>
      <w:r w:rsidR="00E468DA">
        <w:rPr>
          <w:rFonts w:ascii="Times New Roman" w:hAnsi="Times New Roman"/>
          <w:sz w:val="24"/>
          <w:szCs w:val="24"/>
        </w:rPr>
        <w:t>24</w:t>
      </w:r>
      <w:r w:rsidR="006C03A5">
        <w:rPr>
          <w:rFonts w:ascii="Times New Roman" w:hAnsi="Times New Roman"/>
          <w:sz w:val="24"/>
          <w:szCs w:val="24"/>
        </w:rPr>
        <w:t xml:space="preserve"> in-depth interviews will be conducted over the </w:t>
      </w:r>
      <w:r w:rsidR="009F4B26">
        <w:rPr>
          <w:rFonts w:ascii="Times New Roman" w:hAnsi="Times New Roman"/>
          <w:sz w:val="24"/>
          <w:szCs w:val="24"/>
        </w:rPr>
        <w:t>tele</w:t>
      </w:r>
      <w:r w:rsidR="006C03A5">
        <w:rPr>
          <w:rFonts w:ascii="Times New Roman" w:hAnsi="Times New Roman"/>
          <w:sz w:val="24"/>
          <w:szCs w:val="24"/>
        </w:rPr>
        <w:t xml:space="preserve">phone instead of in-person in order to reduce respondent burden. </w:t>
      </w:r>
    </w:p>
    <w:p w:rsidR="00AC2407" w:rsidRDefault="00AC2407">
      <w:pPr>
        <w:tabs>
          <w:tab w:val="left" w:pos="-720"/>
        </w:tabs>
        <w:rPr>
          <w:rFonts w:ascii="Times New Roman" w:hAnsi="Times New Roman"/>
          <w:sz w:val="24"/>
          <w:szCs w:val="24"/>
        </w:rPr>
      </w:pPr>
    </w:p>
    <w:p w:rsidR="001879E5" w:rsidRDefault="001879E5" w:rsidP="00F0703F">
      <w:pPr>
        <w:tabs>
          <w:tab w:val="left" w:pos="-720"/>
          <w:tab w:val="left" w:pos="720"/>
          <w:tab w:val="center" w:pos="4680"/>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r w:rsidR="00F0703F" w:rsidRPr="00BB6C1A">
        <w:rPr>
          <w:rFonts w:ascii="Times New Roman" w:hAnsi="Times New Roman"/>
          <w:sz w:val="24"/>
          <w:szCs w:val="24"/>
        </w:rPr>
        <w:tab/>
      </w:r>
    </w:p>
    <w:p w:rsidR="001879E5" w:rsidRDefault="001879E5">
      <w:pPr>
        <w:tabs>
          <w:tab w:val="left" w:pos="-720"/>
          <w:tab w:val="left" w:pos="720"/>
          <w:tab w:val="right" w:pos="8648"/>
        </w:tabs>
        <w:rPr>
          <w:rFonts w:ascii="Times New Roman" w:hAnsi="Times New Roman"/>
          <w:sz w:val="24"/>
          <w:szCs w:val="24"/>
        </w:rPr>
      </w:pPr>
    </w:p>
    <w:p w:rsidR="006C03A5" w:rsidRDefault="00605B01">
      <w:pPr>
        <w:tabs>
          <w:tab w:val="left" w:pos="-720"/>
          <w:tab w:val="left" w:pos="720"/>
          <w:tab w:val="right" w:pos="8648"/>
        </w:tabs>
        <w:rPr>
          <w:rFonts w:ascii="Times New Roman" w:hAnsi="Times New Roman"/>
          <w:sz w:val="24"/>
          <w:szCs w:val="24"/>
        </w:rPr>
      </w:pPr>
      <w:r>
        <w:rPr>
          <w:rFonts w:ascii="Times New Roman" w:hAnsi="Times New Roman"/>
          <w:sz w:val="24"/>
          <w:szCs w:val="24"/>
        </w:rPr>
        <w:t>BCRS</w:t>
      </w:r>
      <w:r w:rsidR="006C03A5">
        <w:rPr>
          <w:rFonts w:ascii="Times New Roman" w:hAnsi="Times New Roman"/>
          <w:sz w:val="24"/>
          <w:szCs w:val="24"/>
        </w:rPr>
        <w:t xml:space="preserve"> has taken steps to ensure that the proposed data collection does not duplicate ongoing efforts and that no existing data sets would address the proposed focus group and interview questions. </w:t>
      </w:r>
      <w:r>
        <w:rPr>
          <w:rFonts w:ascii="Times New Roman" w:hAnsi="Times New Roman"/>
          <w:sz w:val="24"/>
          <w:szCs w:val="24"/>
        </w:rPr>
        <w:t>BCRS</w:t>
      </w:r>
      <w:r w:rsidR="006C03A5">
        <w:rPr>
          <w:rFonts w:ascii="Times New Roman" w:hAnsi="Times New Roman"/>
          <w:sz w:val="24"/>
          <w:szCs w:val="24"/>
        </w:rPr>
        <w:t xml:space="preserve"> has searched existing Federal studies, studies from other prominent research institutions, and other government agencies to confirm that the information gathered is not currently being collected. Evaluatio</w:t>
      </w:r>
      <w:r w:rsidR="00D877E1">
        <w:rPr>
          <w:rFonts w:ascii="Times New Roman" w:hAnsi="Times New Roman"/>
          <w:sz w:val="24"/>
          <w:szCs w:val="24"/>
        </w:rPr>
        <w:t>n and review of messaging,</w:t>
      </w:r>
      <w:r w:rsidR="006C03A5">
        <w:rPr>
          <w:rFonts w:ascii="Times New Roman" w:hAnsi="Times New Roman"/>
          <w:sz w:val="24"/>
          <w:szCs w:val="24"/>
        </w:rPr>
        <w:t xml:space="preserve"> identity and communications materials for NELRP and NSP has not been developed previously.</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pPr>
        <w:tabs>
          <w:tab w:val="left" w:pos="-720"/>
          <w:tab w:val="left" w:pos="720"/>
          <w:tab w:val="right" w:pos="8648"/>
        </w:tabs>
        <w:rPr>
          <w:rFonts w:ascii="Times New Roman" w:hAnsi="Times New Roman"/>
          <w:sz w:val="24"/>
          <w:szCs w:val="24"/>
        </w:rPr>
      </w:pPr>
    </w:p>
    <w:p w:rsidR="001879E5" w:rsidRDefault="00605B01">
      <w:pPr>
        <w:tabs>
          <w:tab w:val="left" w:pos="-720"/>
        </w:tabs>
        <w:rPr>
          <w:rFonts w:ascii="Times New Roman" w:hAnsi="Times New Roman"/>
          <w:sz w:val="24"/>
          <w:szCs w:val="24"/>
        </w:rPr>
      </w:pPr>
      <w:r>
        <w:rPr>
          <w:rFonts w:ascii="Times New Roman" w:hAnsi="Times New Roman"/>
          <w:sz w:val="24"/>
          <w:szCs w:val="24"/>
        </w:rPr>
        <w:t xml:space="preserve">BCRS </w:t>
      </w:r>
      <w:r w:rsidR="00DB70CB">
        <w:rPr>
          <w:rFonts w:ascii="Times New Roman" w:hAnsi="Times New Roman"/>
          <w:sz w:val="24"/>
          <w:szCs w:val="24"/>
        </w:rPr>
        <w:t xml:space="preserve">efforts will </w:t>
      </w:r>
      <w:r w:rsidR="00DB70CB" w:rsidRPr="00DB70CB">
        <w:rPr>
          <w:rFonts w:ascii="Times New Roman" w:hAnsi="Times New Roman"/>
          <w:sz w:val="24"/>
          <w:szCs w:val="24"/>
        </w:rPr>
        <w:t>not be affecting the day-to-day conduct of small businesses or other small entities.</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b/>
          <w:color w:val="FF0000"/>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r w:rsidR="000B105F">
        <w:rPr>
          <w:rFonts w:ascii="Times New Roman" w:hAnsi="Times New Roman"/>
          <w:sz w:val="24"/>
          <w:szCs w:val="24"/>
          <w:u w:val="single"/>
        </w:rPr>
        <w:t xml:space="preserve"> </w:t>
      </w:r>
    </w:p>
    <w:p w:rsidR="00374407" w:rsidRDefault="00374407">
      <w:pPr>
        <w:tabs>
          <w:tab w:val="left" w:pos="-720"/>
          <w:tab w:val="left" w:pos="720"/>
          <w:tab w:val="right" w:pos="8648"/>
        </w:tabs>
        <w:rPr>
          <w:rFonts w:ascii="Times New Roman" w:hAnsi="Times New Roman"/>
          <w:sz w:val="24"/>
          <w:szCs w:val="24"/>
        </w:rPr>
      </w:pPr>
    </w:p>
    <w:p w:rsidR="00DB70CB" w:rsidRPr="00DB70CB" w:rsidRDefault="000B105F" w:rsidP="00DB70CB">
      <w:pPr>
        <w:tabs>
          <w:tab w:val="left" w:pos="-720"/>
        </w:tabs>
        <w:rPr>
          <w:rFonts w:ascii="Times New Roman" w:hAnsi="Times New Roman"/>
          <w:sz w:val="24"/>
          <w:szCs w:val="24"/>
        </w:rPr>
      </w:pPr>
      <w:r>
        <w:rPr>
          <w:rFonts w:ascii="Times New Roman" w:hAnsi="Times New Roman"/>
          <w:sz w:val="24"/>
          <w:szCs w:val="24"/>
        </w:rPr>
        <w:t>T</w:t>
      </w:r>
      <w:r w:rsidRPr="00DB70CB">
        <w:rPr>
          <w:rFonts w:ascii="Times New Roman" w:hAnsi="Times New Roman"/>
          <w:sz w:val="24"/>
          <w:szCs w:val="24"/>
        </w:rPr>
        <w:t xml:space="preserve">his </w:t>
      </w:r>
      <w:r>
        <w:rPr>
          <w:rFonts w:ascii="Times New Roman" w:hAnsi="Times New Roman"/>
          <w:sz w:val="24"/>
          <w:szCs w:val="24"/>
        </w:rPr>
        <w:t>is a one-time only project of limited duration with significant benefits.</w:t>
      </w:r>
      <w:r w:rsidRPr="000B105F">
        <w:rPr>
          <w:rFonts w:ascii="Times New Roman" w:hAnsi="Times New Roman"/>
          <w:sz w:val="24"/>
          <w:szCs w:val="24"/>
        </w:rPr>
        <w:t xml:space="preserve"> </w:t>
      </w:r>
      <w:r>
        <w:rPr>
          <w:rFonts w:ascii="Times New Roman" w:hAnsi="Times New Roman"/>
          <w:sz w:val="24"/>
          <w:szCs w:val="24"/>
        </w:rPr>
        <w:t xml:space="preserve">Not collecting the information will result in a limited knowledge base for making consequential decisions about </w:t>
      </w:r>
      <w:r w:rsidRPr="00DB70CB">
        <w:rPr>
          <w:rFonts w:ascii="Times New Roman" w:hAnsi="Times New Roman"/>
          <w:sz w:val="24"/>
          <w:szCs w:val="24"/>
        </w:rPr>
        <w:t>NELRP and NSP</w:t>
      </w:r>
      <w:r>
        <w:rPr>
          <w:rFonts w:ascii="Times New Roman" w:hAnsi="Times New Roman"/>
          <w:sz w:val="24"/>
          <w:szCs w:val="24"/>
        </w:rPr>
        <w:t xml:space="preserve">, messaging and creative (potential names and logos).   Use of such information is industry best </w:t>
      </w:r>
      <w:r w:rsidR="000C3DD0">
        <w:rPr>
          <w:rFonts w:ascii="Times New Roman" w:hAnsi="Times New Roman"/>
          <w:sz w:val="24"/>
          <w:szCs w:val="24"/>
        </w:rPr>
        <w:t>practice and</w:t>
      </w:r>
      <w:r>
        <w:rPr>
          <w:rFonts w:ascii="Times New Roman" w:hAnsi="Times New Roman"/>
          <w:sz w:val="24"/>
          <w:szCs w:val="24"/>
        </w:rPr>
        <w:t xml:space="preserve"> will be used here to help in the creation of an identity for the NELRP and NSP programs and the B</w:t>
      </w:r>
      <w:r w:rsidR="000C3DD0">
        <w:rPr>
          <w:rFonts w:ascii="Times New Roman" w:hAnsi="Times New Roman"/>
          <w:sz w:val="24"/>
          <w:szCs w:val="24"/>
        </w:rPr>
        <w:t>CRS nursing efforts as a whole.</w:t>
      </w:r>
      <w:r>
        <w:rPr>
          <w:rFonts w:ascii="Times New Roman" w:hAnsi="Times New Roman"/>
          <w:sz w:val="24"/>
          <w:szCs w:val="24"/>
        </w:rPr>
        <w:t xml:space="preserve">  </w:t>
      </w:r>
    </w:p>
    <w:p w:rsidR="001879E5" w:rsidRDefault="001879E5">
      <w:pPr>
        <w:tabs>
          <w:tab w:val="left" w:pos="-720"/>
        </w:tabs>
        <w:rPr>
          <w:rFonts w:ascii="Times New Roman" w:hAnsi="Times New Roman"/>
          <w:sz w:val="24"/>
          <w:szCs w:val="24"/>
        </w:rPr>
      </w:pPr>
    </w:p>
    <w:p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w:t>
      </w:r>
      <w:proofErr w:type="gramStart"/>
      <w:r>
        <w:rPr>
          <w:rFonts w:ascii="Times New Roman" w:hAnsi="Times New Roman"/>
          <w:sz w:val="24"/>
          <w:szCs w:val="24"/>
          <w:u w:val="single"/>
        </w:rPr>
        <w:t>)(</w:t>
      </w:r>
      <w:proofErr w:type="gramEnd"/>
      <w:r>
        <w:rPr>
          <w:rFonts w:ascii="Times New Roman" w:hAnsi="Times New Roman"/>
          <w:sz w:val="24"/>
          <w:szCs w:val="24"/>
          <w:u w:val="single"/>
        </w:rPr>
        <w:t>2)</w:t>
      </w:r>
    </w:p>
    <w:p w:rsidR="001879E5" w:rsidRDefault="001879E5">
      <w:pPr>
        <w:tabs>
          <w:tab w:val="left" w:pos="-720"/>
          <w:tab w:val="left" w:pos="720"/>
          <w:tab w:val="right" w:pos="8677"/>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w:t>
      </w:r>
      <w:proofErr w:type="gramStart"/>
      <w:r>
        <w:rPr>
          <w:rFonts w:ascii="Times New Roman" w:hAnsi="Times New Roman"/>
          <w:sz w:val="24"/>
          <w:szCs w:val="24"/>
        </w:rPr>
        <w:t>)(</w:t>
      </w:r>
      <w:proofErr w:type="gramEnd"/>
      <w:r>
        <w:rPr>
          <w:rFonts w:ascii="Times New Roman" w:hAnsi="Times New Roman"/>
          <w:sz w:val="24"/>
          <w:szCs w:val="24"/>
        </w:rPr>
        <w:t>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 xml:space="preserve">Consultation </w:t>
      </w:r>
      <w:proofErr w:type="gramStart"/>
      <w:r>
        <w:rPr>
          <w:rFonts w:ascii="Times New Roman" w:hAnsi="Times New Roman"/>
          <w:sz w:val="24"/>
          <w:szCs w:val="24"/>
          <w:u w:val="single"/>
        </w:rPr>
        <w:t>Outside</w:t>
      </w:r>
      <w:proofErr w:type="gramEnd"/>
      <w:r>
        <w:rPr>
          <w:rFonts w:ascii="Times New Roman" w:hAnsi="Times New Roman"/>
          <w:sz w:val="24"/>
          <w:szCs w:val="24"/>
          <w:u w:val="single"/>
        </w:rPr>
        <w:t xml:space="preserve"> the Agency</w:t>
      </w:r>
    </w:p>
    <w:p w:rsidR="001879E5" w:rsidRDefault="001879E5">
      <w:pPr>
        <w:tabs>
          <w:tab w:val="left" w:pos="-720"/>
          <w:tab w:val="left" w:pos="720"/>
          <w:tab w:val="right" w:pos="8677"/>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In accordance with 5 CFR 1320.8(d), on April 24, 2009, a 30 day notice was published in the Federal Register for HRSA’s generic clearance, OMB Control No. 0915-0212 (Vol. 74, Page 18726).  No public comments were received.  </w:t>
      </w:r>
    </w:p>
    <w:p w:rsidR="001879E5" w:rsidRDefault="001879E5">
      <w:pPr>
        <w:tabs>
          <w:tab w:val="left" w:pos="-720"/>
        </w:tabs>
        <w:rPr>
          <w:rFonts w:ascii="Times New Roman" w:hAnsi="Times New Roman"/>
          <w:sz w:val="24"/>
          <w:szCs w:val="24"/>
        </w:rPr>
      </w:pPr>
    </w:p>
    <w:p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lastRenderedPageBreak/>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pPr>
        <w:tabs>
          <w:tab w:val="left" w:pos="720"/>
          <w:tab w:val="right" w:pos="8677"/>
        </w:tabs>
        <w:rPr>
          <w:rFonts w:ascii="Times New Roman" w:hAnsi="Times New Roman"/>
          <w:sz w:val="24"/>
          <w:szCs w:val="24"/>
        </w:rPr>
      </w:pPr>
    </w:p>
    <w:p w:rsidR="008F207B" w:rsidRDefault="00DB70CB">
      <w:pPr>
        <w:tabs>
          <w:tab w:val="left" w:pos="720"/>
          <w:tab w:val="right" w:pos="8677"/>
        </w:tabs>
        <w:rPr>
          <w:rFonts w:ascii="Times New Roman" w:hAnsi="Times New Roman"/>
          <w:sz w:val="24"/>
          <w:szCs w:val="24"/>
        </w:rPr>
      </w:pPr>
      <w:r w:rsidRPr="00DB70CB">
        <w:rPr>
          <w:rFonts w:ascii="Times New Roman" w:hAnsi="Times New Roman"/>
          <w:sz w:val="24"/>
          <w:szCs w:val="24"/>
        </w:rPr>
        <w:t xml:space="preserve">The </w:t>
      </w:r>
      <w:r>
        <w:rPr>
          <w:rFonts w:ascii="Times New Roman" w:hAnsi="Times New Roman"/>
          <w:sz w:val="24"/>
          <w:szCs w:val="24"/>
        </w:rPr>
        <w:t>participants</w:t>
      </w:r>
      <w:r w:rsidRPr="00DB70CB">
        <w:rPr>
          <w:rFonts w:ascii="Times New Roman" w:hAnsi="Times New Roman"/>
          <w:sz w:val="24"/>
          <w:szCs w:val="24"/>
        </w:rPr>
        <w:t xml:space="preserve"> actively involved in the assessment activities will receive remuneration</w:t>
      </w:r>
      <w:r w:rsidR="00AF1F93">
        <w:rPr>
          <w:rFonts w:ascii="Times New Roman" w:hAnsi="Times New Roman"/>
          <w:sz w:val="24"/>
          <w:szCs w:val="24"/>
        </w:rPr>
        <w:t>, based on current industry standards for recruiting these types and levels of respondents</w:t>
      </w:r>
      <w:r w:rsidR="00807E72">
        <w:rPr>
          <w:rFonts w:ascii="Times New Roman" w:hAnsi="Times New Roman"/>
          <w:sz w:val="24"/>
          <w:szCs w:val="24"/>
        </w:rPr>
        <w:t xml:space="preserve">. </w:t>
      </w:r>
      <w:r w:rsidRPr="00DB70CB">
        <w:rPr>
          <w:rFonts w:ascii="Times New Roman" w:hAnsi="Times New Roman"/>
          <w:sz w:val="24"/>
          <w:szCs w:val="24"/>
        </w:rPr>
        <w:t xml:space="preserve"> Th</w:t>
      </w:r>
      <w:r>
        <w:rPr>
          <w:rFonts w:ascii="Times New Roman" w:hAnsi="Times New Roman"/>
          <w:sz w:val="24"/>
          <w:szCs w:val="24"/>
        </w:rPr>
        <w:t>is remuneration is designed to</w:t>
      </w:r>
      <w:r w:rsidRPr="00DB70CB">
        <w:rPr>
          <w:rFonts w:ascii="Times New Roman" w:hAnsi="Times New Roman"/>
          <w:sz w:val="24"/>
          <w:szCs w:val="24"/>
        </w:rPr>
        <w:t xml:space="preserve"> encourag</w:t>
      </w:r>
      <w:r>
        <w:rPr>
          <w:rFonts w:ascii="Times New Roman" w:hAnsi="Times New Roman"/>
          <w:sz w:val="24"/>
          <w:szCs w:val="24"/>
        </w:rPr>
        <w:t>e</w:t>
      </w:r>
      <w:r w:rsidRPr="00DB70CB">
        <w:rPr>
          <w:rFonts w:ascii="Times New Roman" w:hAnsi="Times New Roman"/>
          <w:sz w:val="24"/>
          <w:szCs w:val="24"/>
        </w:rPr>
        <w:t xml:space="preserve"> </w:t>
      </w:r>
      <w:r>
        <w:rPr>
          <w:rFonts w:ascii="Times New Roman" w:hAnsi="Times New Roman"/>
          <w:sz w:val="24"/>
          <w:szCs w:val="24"/>
        </w:rPr>
        <w:t>participation</w:t>
      </w:r>
      <w:r w:rsidRPr="00DB70CB">
        <w:rPr>
          <w:rFonts w:ascii="Times New Roman" w:hAnsi="Times New Roman"/>
          <w:sz w:val="24"/>
          <w:szCs w:val="24"/>
        </w:rPr>
        <w:t xml:space="preserve"> in the </w:t>
      </w:r>
      <w:r w:rsidR="00E468DA">
        <w:rPr>
          <w:rFonts w:ascii="Times New Roman" w:hAnsi="Times New Roman"/>
          <w:sz w:val="24"/>
          <w:szCs w:val="24"/>
        </w:rPr>
        <w:t xml:space="preserve">two in-person </w:t>
      </w:r>
      <w:r>
        <w:rPr>
          <w:rFonts w:ascii="Times New Roman" w:hAnsi="Times New Roman"/>
          <w:sz w:val="24"/>
          <w:szCs w:val="24"/>
        </w:rPr>
        <w:t>focus groups</w:t>
      </w:r>
      <w:r w:rsidR="00E468DA">
        <w:rPr>
          <w:rFonts w:ascii="Times New Roman" w:hAnsi="Times New Roman"/>
          <w:sz w:val="24"/>
          <w:szCs w:val="24"/>
        </w:rPr>
        <w:t>, four online focus groups and the 24</w:t>
      </w:r>
      <w:r>
        <w:rPr>
          <w:rFonts w:ascii="Times New Roman" w:hAnsi="Times New Roman"/>
          <w:sz w:val="24"/>
          <w:szCs w:val="24"/>
        </w:rPr>
        <w:t xml:space="preserve"> </w:t>
      </w:r>
      <w:r w:rsidR="009F4B26">
        <w:rPr>
          <w:rFonts w:ascii="Times New Roman" w:hAnsi="Times New Roman"/>
          <w:sz w:val="24"/>
          <w:szCs w:val="24"/>
        </w:rPr>
        <w:t>tele</w:t>
      </w:r>
      <w:r>
        <w:rPr>
          <w:rFonts w:ascii="Times New Roman" w:hAnsi="Times New Roman"/>
          <w:sz w:val="24"/>
          <w:szCs w:val="24"/>
        </w:rPr>
        <w:t xml:space="preserve">phone interviews. </w:t>
      </w:r>
    </w:p>
    <w:p w:rsidR="008F207B" w:rsidRDefault="008F207B">
      <w:pPr>
        <w:tabs>
          <w:tab w:val="left" w:pos="720"/>
          <w:tab w:val="right" w:pos="8677"/>
        </w:tabs>
        <w:rPr>
          <w:rFonts w:ascii="Times New Roman" w:hAnsi="Times New Roman"/>
          <w:sz w:val="24"/>
          <w:szCs w:val="24"/>
        </w:rPr>
      </w:pPr>
    </w:p>
    <w:p w:rsidR="007228C0" w:rsidRDefault="008F207B">
      <w:pPr>
        <w:tabs>
          <w:tab w:val="left" w:pos="720"/>
          <w:tab w:val="right" w:pos="8677"/>
        </w:tabs>
        <w:rPr>
          <w:rFonts w:ascii="Times New Roman" w:hAnsi="Times New Roman"/>
          <w:sz w:val="24"/>
          <w:szCs w:val="24"/>
        </w:rPr>
      </w:pPr>
      <w:r>
        <w:rPr>
          <w:rFonts w:ascii="Times New Roman" w:hAnsi="Times New Roman"/>
          <w:sz w:val="24"/>
          <w:szCs w:val="24"/>
        </w:rPr>
        <w:t xml:space="preserve">The level of honorarium per respondent is slightly higher than general population groups or simple recruitment for just nurses.  The criteria for participation in these groups are quite stringent, and these are independent individuals, with complex schedules who are not necessarily committed to participate.  Our experience and that of the research suppliers indicates this level of honorarium is necessary to secure agreement and strongly encourage participation among the recruited individuals.  </w:t>
      </w:r>
      <w:r w:rsidR="00807E72">
        <w:rPr>
          <w:rFonts w:ascii="Times New Roman" w:hAnsi="Times New Roman"/>
          <w:sz w:val="24"/>
          <w:szCs w:val="24"/>
        </w:rPr>
        <w:t>Incentives allotted for this work are</w:t>
      </w:r>
      <w:r w:rsidR="007228C0">
        <w:rPr>
          <w:rFonts w:ascii="Times New Roman" w:hAnsi="Times New Roman"/>
          <w:sz w:val="24"/>
          <w:szCs w:val="24"/>
        </w:rPr>
        <w:t>:</w:t>
      </w:r>
    </w:p>
    <w:p w:rsidR="00CD6245" w:rsidRDefault="00CD6245">
      <w:pPr>
        <w:tabs>
          <w:tab w:val="left" w:pos="720"/>
          <w:tab w:val="right" w:pos="8677"/>
        </w:tabs>
        <w:rPr>
          <w:rFonts w:ascii="Times New Roman" w:hAnsi="Times New Roman"/>
          <w:sz w:val="24"/>
          <w:szCs w:val="24"/>
        </w:rPr>
      </w:pPr>
    </w:p>
    <w:p w:rsidR="00651F1D" w:rsidRDefault="00C0408C">
      <w:pPr>
        <w:pStyle w:val="ListParagraph"/>
        <w:numPr>
          <w:ilvl w:val="0"/>
          <w:numId w:val="6"/>
        </w:numPr>
        <w:tabs>
          <w:tab w:val="left" w:pos="720"/>
          <w:tab w:val="right" w:pos="8677"/>
        </w:tabs>
        <w:rPr>
          <w:rFonts w:ascii="Times New Roman" w:hAnsi="Times New Roman"/>
          <w:sz w:val="24"/>
          <w:szCs w:val="24"/>
        </w:rPr>
      </w:pPr>
      <w:r w:rsidRPr="00C0408C">
        <w:rPr>
          <w:rFonts w:ascii="Times New Roman" w:hAnsi="Times New Roman"/>
          <w:sz w:val="24"/>
          <w:szCs w:val="24"/>
        </w:rPr>
        <w:t xml:space="preserve">In-person focus groups – $250 </w:t>
      </w:r>
      <w:r w:rsidR="00050BAE">
        <w:rPr>
          <w:rFonts w:ascii="Times New Roman" w:hAnsi="Times New Roman"/>
          <w:sz w:val="24"/>
          <w:szCs w:val="24"/>
        </w:rPr>
        <w:t>nurses and nurse faculty</w:t>
      </w:r>
      <w:r w:rsidRPr="00C0408C">
        <w:rPr>
          <w:rFonts w:ascii="Times New Roman" w:hAnsi="Times New Roman"/>
          <w:sz w:val="24"/>
          <w:szCs w:val="24"/>
        </w:rPr>
        <w:t>, $150 students</w:t>
      </w:r>
    </w:p>
    <w:p w:rsidR="00651F1D" w:rsidRDefault="00C0408C">
      <w:pPr>
        <w:pStyle w:val="ListParagraph"/>
        <w:numPr>
          <w:ilvl w:val="0"/>
          <w:numId w:val="6"/>
        </w:numPr>
        <w:tabs>
          <w:tab w:val="left" w:pos="720"/>
          <w:tab w:val="right" w:pos="8677"/>
        </w:tabs>
        <w:rPr>
          <w:rFonts w:ascii="Times New Roman" w:hAnsi="Times New Roman"/>
          <w:sz w:val="24"/>
          <w:szCs w:val="24"/>
        </w:rPr>
      </w:pPr>
      <w:r w:rsidRPr="00C0408C">
        <w:rPr>
          <w:rFonts w:ascii="Times New Roman" w:hAnsi="Times New Roman"/>
          <w:sz w:val="24"/>
          <w:szCs w:val="24"/>
        </w:rPr>
        <w:t>In-depth interviews – $100</w:t>
      </w:r>
    </w:p>
    <w:p w:rsidR="00CD6245" w:rsidRDefault="00C0408C" w:rsidP="00CD6245">
      <w:pPr>
        <w:pStyle w:val="ListParagraph"/>
        <w:numPr>
          <w:ilvl w:val="0"/>
          <w:numId w:val="6"/>
        </w:numPr>
        <w:tabs>
          <w:tab w:val="left" w:pos="720"/>
          <w:tab w:val="right" w:pos="8677"/>
        </w:tabs>
        <w:rPr>
          <w:rFonts w:ascii="Times New Roman" w:hAnsi="Times New Roman"/>
          <w:sz w:val="24"/>
          <w:szCs w:val="24"/>
        </w:rPr>
      </w:pPr>
      <w:r w:rsidRPr="00C0408C">
        <w:rPr>
          <w:rFonts w:ascii="Times New Roman" w:hAnsi="Times New Roman"/>
          <w:sz w:val="24"/>
          <w:szCs w:val="24"/>
        </w:rPr>
        <w:t>Online focus groups – $75 for program participants, $100 for program prospects</w:t>
      </w:r>
    </w:p>
    <w:p w:rsidR="00CD6245" w:rsidRPr="00CD6245" w:rsidRDefault="00CD6245" w:rsidP="00CD6245">
      <w:pPr>
        <w:tabs>
          <w:tab w:val="left" w:pos="720"/>
          <w:tab w:val="right" w:pos="8677"/>
        </w:tabs>
        <w:ind w:left="360"/>
        <w:rPr>
          <w:rFonts w:ascii="Times New Roman" w:hAnsi="Times New Roman"/>
          <w:sz w:val="24"/>
          <w:szCs w:val="24"/>
        </w:rPr>
      </w:pPr>
    </w:p>
    <w:p w:rsidR="00DB70CB" w:rsidRDefault="00DB70CB">
      <w:pPr>
        <w:tabs>
          <w:tab w:val="left" w:pos="720"/>
          <w:tab w:val="right" w:pos="8677"/>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pPr>
        <w:tabs>
          <w:tab w:val="left" w:pos="-720"/>
          <w:tab w:val="left" w:pos="720"/>
          <w:tab w:val="right" w:pos="8677"/>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 xml:space="preserve">formation from respondents.  </w:t>
      </w:r>
    </w:p>
    <w:p w:rsidR="00DB70CB" w:rsidRPr="00DB70CB" w:rsidRDefault="00DB70CB" w:rsidP="00DB70CB">
      <w:pPr>
        <w:tabs>
          <w:tab w:val="left" w:pos="-720"/>
        </w:tabs>
        <w:rPr>
          <w:rFonts w:ascii="Times New Roman" w:hAnsi="Times New Roman"/>
          <w:sz w:val="24"/>
          <w:szCs w:val="24"/>
        </w:rPr>
      </w:pPr>
    </w:p>
    <w:p w:rsidR="00DB70CB" w:rsidRPr="004A1F8D" w:rsidRDefault="00DB70CB" w:rsidP="00DB70CB">
      <w:pPr>
        <w:tabs>
          <w:tab w:val="left" w:pos="-720"/>
        </w:tabs>
        <w:rPr>
          <w:rFonts w:ascii="Times New Roman" w:hAnsi="Times New Roman"/>
          <w:sz w:val="24"/>
          <w:szCs w:val="24"/>
        </w:rPr>
      </w:pPr>
      <w:r w:rsidRPr="004A1F8D">
        <w:rPr>
          <w:rFonts w:ascii="Times New Roman" w:hAnsi="Times New Roman"/>
          <w:sz w:val="24"/>
          <w:szCs w:val="24"/>
        </w:rPr>
        <w:t xml:space="preserve">Ogilvy will work with </w:t>
      </w:r>
      <w:r w:rsidR="00E468DA" w:rsidRPr="004A1F8D">
        <w:rPr>
          <w:rFonts w:ascii="Times New Roman" w:hAnsi="Times New Roman"/>
          <w:sz w:val="24"/>
          <w:szCs w:val="24"/>
        </w:rPr>
        <w:t xml:space="preserve">Russell Research </w:t>
      </w:r>
      <w:r w:rsidRPr="004A1F8D">
        <w:rPr>
          <w:rFonts w:ascii="Times New Roman" w:hAnsi="Times New Roman"/>
          <w:sz w:val="24"/>
          <w:szCs w:val="24"/>
        </w:rPr>
        <w:t>in the executio</w:t>
      </w:r>
      <w:r w:rsidR="00E468DA" w:rsidRPr="004A1F8D">
        <w:rPr>
          <w:rFonts w:ascii="Times New Roman" w:hAnsi="Times New Roman"/>
          <w:sz w:val="24"/>
          <w:szCs w:val="24"/>
        </w:rPr>
        <w:t xml:space="preserve">n of the two in-person focus groups and 24 </w:t>
      </w:r>
      <w:r w:rsidR="00807E72">
        <w:rPr>
          <w:rFonts w:ascii="Times New Roman" w:hAnsi="Times New Roman"/>
          <w:sz w:val="24"/>
          <w:szCs w:val="24"/>
        </w:rPr>
        <w:t>tele</w:t>
      </w:r>
      <w:r w:rsidR="00E468DA" w:rsidRPr="004A1F8D">
        <w:rPr>
          <w:rFonts w:ascii="Times New Roman" w:hAnsi="Times New Roman"/>
          <w:sz w:val="24"/>
          <w:szCs w:val="24"/>
        </w:rPr>
        <w:t xml:space="preserve">phone interviews, and with Stratalys </w:t>
      </w:r>
      <w:r w:rsidR="00F0703F">
        <w:rPr>
          <w:rFonts w:ascii="Times New Roman" w:hAnsi="Times New Roman"/>
          <w:sz w:val="24"/>
          <w:szCs w:val="24"/>
        </w:rPr>
        <w:t xml:space="preserve">Research </w:t>
      </w:r>
      <w:r w:rsidR="00E468DA" w:rsidRPr="004A1F8D">
        <w:rPr>
          <w:rFonts w:ascii="Times New Roman" w:hAnsi="Times New Roman"/>
          <w:sz w:val="24"/>
          <w:szCs w:val="24"/>
        </w:rPr>
        <w:t xml:space="preserve">for the four online </w:t>
      </w:r>
      <w:r w:rsidR="00807E72">
        <w:rPr>
          <w:rFonts w:ascii="Times New Roman" w:hAnsi="Times New Roman"/>
          <w:sz w:val="24"/>
          <w:szCs w:val="24"/>
        </w:rPr>
        <w:t>focus groups</w:t>
      </w:r>
      <w:r w:rsidR="00E067EE">
        <w:rPr>
          <w:rFonts w:ascii="Times New Roman" w:hAnsi="Times New Roman"/>
          <w:sz w:val="24"/>
          <w:szCs w:val="24"/>
        </w:rPr>
        <w:t>.</w:t>
      </w:r>
      <w:r w:rsidR="00E468DA" w:rsidRPr="004A1F8D">
        <w:rPr>
          <w:rFonts w:ascii="Times New Roman" w:hAnsi="Times New Roman"/>
          <w:sz w:val="24"/>
          <w:szCs w:val="24"/>
        </w:rPr>
        <w:t xml:space="preserve"> Russell Research and Stratalys </w:t>
      </w:r>
      <w:r w:rsidR="00F0703F">
        <w:rPr>
          <w:rFonts w:ascii="Times New Roman" w:hAnsi="Times New Roman"/>
          <w:sz w:val="24"/>
          <w:szCs w:val="24"/>
        </w:rPr>
        <w:t xml:space="preserve">Research </w:t>
      </w:r>
      <w:r w:rsidR="00E468DA" w:rsidRPr="004A1F8D">
        <w:rPr>
          <w:rFonts w:ascii="Times New Roman" w:hAnsi="Times New Roman"/>
          <w:sz w:val="24"/>
          <w:szCs w:val="24"/>
        </w:rPr>
        <w:t>follow</w:t>
      </w:r>
      <w:r w:rsidRPr="004A1F8D">
        <w:rPr>
          <w:rFonts w:ascii="Times New Roman" w:hAnsi="Times New Roman"/>
          <w:sz w:val="24"/>
          <w:szCs w:val="24"/>
        </w:rPr>
        <w:t xml:space="preserve"> the Casro Code of Standards and Ethics for Survey Research and ICC/ESOMAR International Code on Market and Social Research guidelines. </w:t>
      </w:r>
      <w:r w:rsidR="004A1F8D" w:rsidRPr="004A1F8D">
        <w:rPr>
          <w:rFonts w:ascii="Times New Roman" w:hAnsi="Times New Roman"/>
          <w:sz w:val="24"/>
          <w:szCs w:val="24"/>
        </w:rPr>
        <w:t>Russell Research and Stratalys</w:t>
      </w:r>
      <w:r w:rsidR="00F0703F">
        <w:rPr>
          <w:rFonts w:ascii="Times New Roman" w:hAnsi="Times New Roman"/>
          <w:sz w:val="24"/>
          <w:szCs w:val="24"/>
        </w:rPr>
        <w:t xml:space="preserve"> Research</w:t>
      </w:r>
      <w:r w:rsidR="004A1F8D" w:rsidRPr="004A1F8D">
        <w:rPr>
          <w:rFonts w:ascii="Times New Roman" w:hAnsi="Times New Roman"/>
          <w:sz w:val="24"/>
          <w:szCs w:val="24"/>
        </w:rPr>
        <w:t xml:space="preserve"> </w:t>
      </w:r>
      <w:r w:rsidRPr="004A1F8D">
        <w:rPr>
          <w:rFonts w:ascii="Times New Roman" w:hAnsi="Times New Roman"/>
          <w:sz w:val="24"/>
          <w:szCs w:val="24"/>
        </w:rPr>
        <w:t>will maintain the respondent lists, including email addresses, through the course of this assessment and will then destroy/delete the lists upon comp</w:t>
      </w:r>
      <w:r w:rsidR="004A1F8D" w:rsidRPr="004A1F8D">
        <w:rPr>
          <w:rFonts w:ascii="Times New Roman" w:hAnsi="Times New Roman"/>
          <w:sz w:val="24"/>
          <w:szCs w:val="24"/>
        </w:rPr>
        <w:t xml:space="preserve">letion of the study. Ogilvy, Russell Research and Stratalys </w:t>
      </w:r>
      <w:r w:rsidR="00F0703F">
        <w:rPr>
          <w:rFonts w:ascii="Times New Roman" w:hAnsi="Times New Roman"/>
          <w:sz w:val="24"/>
          <w:szCs w:val="24"/>
        </w:rPr>
        <w:t xml:space="preserve">Research </w:t>
      </w:r>
      <w:r w:rsidR="00D877E1" w:rsidRPr="004A1F8D">
        <w:rPr>
          <w:rFonts w:ascii="Times New Roman" w:hAnsi="Times New Roman"/>
          <w:sz w:val="24"/>
          <w:szCs w:val="24"/>
        </w:rPr>
        <w:t xml:space="preserve">will </w:t>
      </w:r>
      <w:r w:rsidRPr="004A1F8D">
        <w:rPr>
          <w:rFonts w:ascii="Times New Roman" w:hAnsi="Times New Roman"/>
          <w:sz w:val="24"/>
          <w:szCs w:val="24"/>
        </w:rPr>
        <w:t>ensure respondent confidentiality, consistent with the Privacy Act.</w:t>
      </w:r>
    </w:p>
    <w:p w:rsidR="00DB70CB" w:rsidRPr="00DB70CB" w:rsidRDefault="00DB70CB" w:rsidP="00DB70CB">
      <w:pPr>
        <w:tabs>
          <w:tab w:val="left" w:pos="-720"/>
        </w:tabs>
        <w:rPr>
          <w:rFonts w:ascii="Times New Roman" w:hAnsi="Times New Roman"/>
          <w:sz w:val="24"/>
          <w:szCs w:val="24"/>
          <w:highlight w:val="yellow"/>
        </w:rPr>
      </w:pPr>
    </w:p>
    <w:p w:rsidR="00DB70CB" w:rsidRPr="004A1F8D" w:rsidRDefault="00DB70CB" w:rsidP="00DB70CB">
      <w:pPr>
        <w:tabs>
          <w:tab w:val="left" w:pos="-720"/>
        </w:tabs>
        <w:rPr>
          <w:rFonts w:ascii="Times New Roman" w:hAnsi="Times New Roman"/>
          <w:sz w:val="24"/>
          <w:szCs w:val="24"/>
        </w:rPr>
      </w:pPr>
      <w:r w:rsidRPr="004A1F8D">
        <w:rPr>
          <w:rFonts w:ascii="Times New Roman" w:hAnsi="Times New Roman"/>
          <w:sz w:val="24"/>
          <w:szCs w:val="24"/>
        </w:rPr>
        <w:t xml:space="preserve">The </w:t>
      </w:r>
      <w:r w:rsidR="004A1F8D" w:rsidRPr="004A1F8D">
        <w:rPr>
          <w:rFonts w:ascii="Times New Roman" w:hAnsi="Times New Roman"/>
          <w:sz w:val="24"/>
          <w:szCs w:val="24"/>
        </w:rPr>
        <w:t xml:space="preserve">in-person and online </w:t>
      </w:r>
      <w:r w:rsidRPr="004A1F8D">
        <w:rPr>
          <w:rFonts w:ascii="Times New Roman" w:hAnsi="Times New Roman"/>
          <w:sz w:val="24"/>
          <w:szCs w:val="24"/>
        </w:rPr>
        <w:t xml:space="preserve">focus groups and </w:t>
      </w:r>
      <w:r w:rsidR="009F4B26">
        <w:rPr>
          <w:rFonts w:ascii="Times New Roman" w:hAnsi="Times New Roman"/>
          <w:sz w:val="24"/>
          <w:szCs w:val="24"/>
        </w:rPr>
        <w:t>tele</w:t>
      </w:r>
      <w:r w:rsidRPr="004A1F8D">
        <w:rPr>
          <w:rFonts w:ascii="Times New Roman" w:hAnsi="Times New Roman"/>
          <w:sz w:val="24"/>
          <w:szCs w:val="24"/>
        </w:rPr>
        <w:t xml:space="preserve">phone interviews will be anonymous. Some demographic information (e.g., discipline, gender, and number of years in profession) will be collected, but the information is insufficient to identify an individual. The final report to </w:t>
      </w:r>
      <w:r w:rsidR="00F965A2" w:rsidRPr="004A1F8D">
        <w:rPr>
          <w:rFonts w:ascii="Times New Roman" w:hAnsi="Times New Roman"/>
          <w:sz w:val="24"/>
          <w:szCs w:val="24"/>
        </w:rPr>
        <w:t>BCRS</w:t>
      </w:r>
      <w:r w:rsidRPr="004A1F8D">
        <w:rPr>
          <w:rFonts w:ascii="Times New Roman" w:hAnsi="Times New Roman"/>
          <w:sz w:val="24"/>
          <w:szCs w:val="24"/>
        </w:rPr>
        <w:t xml:space="preserve"> will aggregate the respondents’ characteristics.  No data will be displayed on an individual basis.  </w:t>
      </w:r>
    </w:p>
    <w:p w:rsidR="00DB70CB" w:rsidRPr="004A1F8D" w:rsidRDefault="00DB70CB" w:rsidP="00DB70CB">
      <w:pPr>
        <w:tabs>
          <w:tab w:val="left" w:pos="-720"/>
        </w:tabs>
        <w:rPr>
          <w:rFonts w:ascii="Times New Roman" w:hAnsi="Times New Roman"/>
          <w:sz w:val="24"/>
          <w:szCs w:val="24"/>
        </w:rPr>
      </w:pPr>
    </w:p>
    <w:p w:rsidR="00DB70CB" w:rsidRPr="00DB70CB" w:rsidRDefault="00DB70CB" w:rsidP="00DB70CB">
      <w:pPr>
        <w:tabs>
          <w:tab w:val="left" w:pos="-720"/>
        </w:tabs>
        <w:rPr>
          <w:rFonts w:ascii="Times New Roman" w:hAnsi="Times New Roman"/>
          <w:sz w:val="24"/>
          <w:szCs w:val="24"/>
        </w:rPr>
      </w:pPr>
      <w:r w:rsidRPr="004A1F8D">
        <w:rPr>
          <w:rFonts w:ascii="Times New Roman" w:hAnsi="Times New Roman"/>
          <w:sz w:val="24"/>
          <w:szCs w:val="24"/>
        </w:rPr>
        <w:t xml:space="preserve">Similar to language provided by the OMB, </w:t>
      </w:r>
      <w:r w:rsidR="00F965A2" w:rsidRPr="004A1F8D">
        <w:rPr>
          <w:rFonts w:ascii="Times New Roman" w:hAnsi="Times New Roman"/>
          <w:sz w:val="24"/>
          <w:szCs w:val="24"/>
        </w:rPr>
        <w:t>BCRS</w:t>
      </w:r>
      <w:r w:rsidRPr="004A1F8D">
        <w:rPr>
          <w:rFonts w:ascii="Times New Roman" w:hAnsi="Times New Roman"/>
          <w:sz w:val="24"/>
          <w:szCs w:val="24"/>
        </w:rPr>
        <w:t xml:space="preserve"> intends to use the following language in the information collection survey instrument: “Your answers will not be disclosed to anyone but the researchers conducting this study.”</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pPr>
        <w:tabs>
          <w:tab w:val="left" w:pos="-720"/>
          <w:tab w:val="left" w:pos="720"/>
          <w:tab w:val="right" w:pos="10080"/>
        </w:tabs>
        <w:rPr>
          <w:rFonts w:ascii="Times New Roman" w:hAnsi="Times New Roman"/>
          <w:sz w:val="24"/>
          <w:szCs w:val="24"/>
        </w:rPr>
      </w:pPr>
    </w:p>
    <w:p w:rsidR="00DB70CB" w:rsidRPr="00DB70CB" w:rsidRDefault="00DB70CB" w:rsidP="00DB70CB">
      <w:pPr>
        <w:tabs>
          <w:tab w:val="left" w:pos="-720"/>
        </w:tabs>
        <w:rPr>
          <w:rFonts w:ascii="Times New Roman" w:hAnsi="Times New Roman"/>
          <w:sz w:val="24"/>
          <w:szCs w:val="24"/>
        </w:rPr>
      </w:pPr>
      <w:r w:rsidRPr="00DB70CB">
        <w:rPr>
          <w:rFonts w:ascii="Times New Roman" w:hAnsi="Times New Roman"/>
          <w:sz w:val="24"/>
          <w:szCs w:val="24"/>
        </w:rPr>
        <w:t xml:space="preserve">The nature of this information collection is such that it does not require the respondent to </w:t>
      </w:r>
      <w:r w:rsidRPr="00DB70CB">
        <w:rPr>
          <w:rFonts w:ascii="Times New Roman" w:hAnsi="Times New Roman"/>
          <w:sz w:val="24"/>
          <w:szCs w:val="24"/>
        </w:rPr>
        <w:lastRenderedPageBreak/>
        <w:t xml:space="preserve">disclose sensitive or personal information.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pPr>
        <w:tabs>
          <w:tab w:val="left" w:pos="-720"/>
          <w:tab w:val="left" w:pos="720"/>
          <w:tab w:val="right" w:pos="10080"/>
        </w:tabs>
        <w:rPr>
          <w:rFonts w:ascii="Times New Roman" w:hAnsi="Times New Roman"/>
          <w:sz w:val="24"/>
          <w:szCs w:val="24"/>
          <w:u w:val="single"/>
        </w:rPr>
      </w:pPr>
    </w:p>
    <w:p w:rsidR="00F965A2" w:rsidRPr="00B10A26" w:rsidRDefault="00ED7EF8" w:rsidP="00176576">
      <w:pPr>
        <w:pStyle w:val="NormalSS"/>
        <w:ind w:firstLine="0"/>
        <w:jc w:val="left"/>
        <w:rPr>
          <w:iCs/>
          <w:szCs w:val="24"/>
        </w:rPr>
      </w:pPr>
      <w:r w:rsidRPr="004A1F8D">
        <w:rPr>
          <w:iCs/>
          <w:szCs w:val="24"/>
        </w:rPr>
        <w:t xml:space="preserve">Respondents will participate in one of </w:t>
      </w:r>
      <w:r w:rsidR="004A1F8D" w:rsidRPr="004A1F8D">
        <w:rPr>
          <w:iCs/>
          <w:szCs w:val="24"/>
        </w:rPr>
        <w:t>the six</w:t>
      </w:r>
      <w:r w:rsidRPr="004A1F8D">
        <w:rPr>
          <w:iCs/>
          <w:szCs w:val="24"/>
        </w:rPr>
        <w:t xml:space="preserve"> focus groups or one of </w:t>
      </w:r>
      <w:r w:rsidR="004A1F8D" w:rsidRPr="004A1F8D">
        <w:rPr>
          <w:iCs/>
          <w:szCs w:val="24"/>
        </w:rPr>
        <w:t xml:space="preserve">24 </w:t>
      </w:r>
      <w:r w:rsidR="00807E72">
        <w:rPr>
          <w:iCs/>
          <w:szCs w:val="24"/>
        </w:rPr>
        <w:t>tele</w:t>
      </w:r>
      <w:r w:rsidRPr="004A1F8D">
        <w:rPr>
          <w:iCs/>
          <w:szCs w:val="24"/>
        </w:rPr>
        <w:t xml:space="preserve">phone interviews over the course of one month.  Each </w:t>
      </w:r>
      <w:r w:rsidR="004A1F8D" w:rsidRPr="004A1F8D">
        <w:rPr>
          <w:iCs/>
          <w:szCs w:val="24"/>
        </w:rPr>
        <w:t xml:space="preserve">in-person </w:t>
      </w:r>
      <w:r w:rsidR="004A1F8D">
        <w:rPr>
          <w:iCs/>
          <w:szCs w:val="24"/>
        </w:rPr>
        <w:t>focus group will last 12</w:t>
      </w:r>
      <w:r w:rsidR="004A1F8D" w:rsidRPr="004A1F8D">
        <w:rPr>
          <w:iCs/>
          <w:szCs w:val="24"/>
        </w:rPr>
        <w:t>0 minutes, each online focus group will last 90 minutes</w:t>
      </w:r>
      <w:r w:rsidRPr="004A1F8D">
        <w:rPr>
          <w:iCs/>
          <w:szCs w:val="24"/>
        </w:rPr>
        <w:t xml:space="preserve"> and e</w:t>
      </w:r>
      <w:r w:rsidR="004A1F8D" w:rsidRPr="004A1F8D">
        <w:rPr>
          <w:iCs/>
          <w:szCs w:val="24"/>
        </w:rPr>
        <w:t>ach phone interview will last 45 minutes</w:t>
      </w:r>
      <w:r w:rsidRPr="004A1F8D">
        <w:rPr>
          <w:iCs/>
          <w:szCs w:val="24"/>
        </w:rPr>
        <w:t>.</w:t>
      </w:r>
      <w:r w:rsidR="00B50EE1">
        <w:rPr>
          <w:iCs/>
          <w:szCs w:val="24"/>
        </w:rPr>
        <w:t xml:space="preserve"> Included below in the hours per respondent is some time needed for recruitment/screening in addition to the actual participation in the group or interview.  </w:t>
      </w:r>
      <w:r w:rsidRPr="004A1F8D">
        <w:rPr>
          <w:iCs/>
          <w:szCs w:val="24"/>
        </w:rPr>
        <w:t xml:space="preserve"> Estimates of response hour burden to re</w:t>
      </w:r>
      <w:r w:rsidR="004A1F8D" w:rsidRPr="004A1F8D">
        <w:rPr>
          <w:iCs/>
          <w:szCs w:val="24"/>
        </w:rPr>
        <w:t xml:space="preserve">spondents are cited in Table 1 </w:t>
      </w:r>
      <w:r w:rsidRPr="004A1F8D">
        <w:rPr>
          <w:iCs/>
          <w:szCs w:val="24"/>
        </w:rPr>
        <w:t xml:space="preserve">below. </w:t>
      </w:r>
      <w:r w:rsidRPr="004A1F8D">
        <w:rPr>
          <w:rFonts w:eastAsia="MS Mincho"/>
          <w:szCs w:val="24"/>
          <w:lang w:eastAsia="ja-JP"/>
        </w:rPr>
        <w:t xml:space="preserve">For each </w:t>
      </w:r>
      <w:r w:rsidR="00B10A26">
        <w:rPr>
          <w:rFonts w:eastAsia="MS Mincho"/>
          <w:szCs w:val="24"/>
          <w:lang w:eastAsia="ja-JP"/>
        </w:rPr>
        <w:t>respondent</w:t>
      </w:r>
      <w:r w:rsidRPr="004A1F8D">
        <w:rPr>
          <w:rFonts w:eastAsia="MS Mincho"/>
          <w:szCs w:val="24"/>
          <w:lang w:eastAsia="ja-JP"/>
        </w:rPr>
        <w:t xml:space="preserve"> included in the sample, estimated wage rates from the U.S. Department of Labor, Bureau of Labor Statistics (Available at http:/stats.bls.gov/oes. Accessed </w:t>
      </w:r>
      <w:r w:rsidR="0025283A">
        <w:rPr>
          <w:rFonts w:eastAsia="MS Mincho"/>
          <w:szCs w:val="24"/>
          <w:lang w:eastAsia="ja-JP"/>
        </w:rPr>
        <w:t>2/29/12</w:t>
      </w:r>
      <w:r w:rsidRPr="004A1F8D">
        <w:rPr>
          <w:rFonts w:eastAsia="MS Mincho"/>
          <w:szCs w:val="24"/>
          <w:lang w:eastAsia="ja-JP"/>
        </w:rPr>
        <w:t>) were used</w:t>
      </w:r>
      <w:r w:rsidR="00F965A2" w:rsidRPr="004A1F8D">
        <w:rPr>
          <w:rFonts w:eastAsia="MS Mincho"/>
          <w:szCs w:val="24"/>
          <w:lang w:eastAsia="ja-JP"/>
        </w:rPr>
        <w:t>.</w:t>
      </w:r>
      <w:r w:rsidR="00B50EE1">
        <w:rPr>
          <w:rFonts w:eastAsia="MS Mincho"/>
          <w:szCs w:val="24"/>
          <w:lang w:eastAsia="ja-JP"/>
        </w:rPr>
        <w:t xml:space="preserve">  As our respondent pool will includes RNs, Nurse Practitioners and administrative personnel we have use</w:t>
      </w:r>
      <w:r w:rsidR="0025319D">
        <w:rPr>
          <w:rFonts w:eastAsia="MS Mincho"/>
          <w:szCs w:val="24"/>
          <w:lang w:eastAsia="ja-JP"/>
        </w:rPr>
        <w:t>d</w:t>
      </w:r>
      <w:r w:rsidR="00B50EE1">
        <w:rPr>
          <w:rFonts w:eastAsia="MS Mincho"/>
          <w:szCs w:val="24"/>
          <w:lang w:eastAsia="ja-JP"/>
        </w:rPr>
        <w:t xml:space="preserve"> an average wage rate in consideration of the vari</w:t>
      </w:r>
      <w:r w:rsidR="0025319D">
        <w:rPr>
          <w:rFonts w:eastAsia="MS Mincho"/>
          <w:szCs w:val="24"/>
          <w:lang w:eastAsia="ja-JP"/>
        </w:rPr>
        <w:t xml:space="preserve">ance in seen between job titles </w:t>
      </w:r>
      <w:r w:rsidR="009B1FB9">
        <w:rPr>
          <w:rFonts w:eastAsia="MS Mincho"/>
          <w:szCs w:val="24"/>
          <w:lang w:eastAsia="ja-JP"/>
        </w:rPr>
        <w:t>and facilities</w:t>
      </w:r>
      <w:r w:rsidR="00B50EE1">
        <w:rPr>
          <w:rFonts w:eastAsia="MS Mincho"/>
          <w:szCs w:val="24"/>
          <w:lang w:eastAsia="ja-JP"/>
        </w:rPr>
        <w:t xml:space="preserve"> in different geographic regions. </w:t>
      </w:r>
    </w:p>
    <w:p w:rsidR="00F965A2" w:rsidRPr="00D877E1" w:rsidRDefault="00F965A2" w:rsidP="00176576">
      <w:pPr>
        <w:pStyle w:val="NormalSS"/>
        <w:ind w:firstLine="0"/>
        <w:jc w:val="left"/>
        <w:rPr>
          <w:szCs w:val="24"/>
          <w:highlight w:val="yellow"/>
        </w:rPr>
      </w:pPr>
    </w:p>
    <w:p w:rsidR="00176576" w:rsidRPr="00F32B91" w:rsidRDefault="004A1F8D" w:rsidP="00176576">
      <w:pPr>
        <w:pStyle w:val="NormalSS"/>
        <w:ind w:firstLine="0"/>
        <w:jc w:val="left"/>
        <w:rPr>
          <w:szCs w:val="24"/>
        </w:rPr>
      </w:pPr>
      <w:r w:rsidRPr="00F32B91">
        <w:rPr>
          <w:szCs w:val="24"/>
        </w:rPr>
        <w:t>TABLE 1</w:t>
      </w:r>
      <w:r w:rsidR="00F965A2" w:rsidRPr="00F32B91">
        <w:rPr>
          <w:szCs w:val="24"/>
        </w:rPr>
        <w:t>: ESTIMATED DATA COLLECTION BURDEN HOURS</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10"/>
        <w:gridCol w:w="1350"/>
        <w:gridCol w:w="1260"/>
        <w:gridCol w:w="1170"/>
        <w:gridCol w:w="1260"/>
        <w:gridCol w:w="900"/>
        <w:gridCol w:w="990"/>
        <w:gridCol w:w="1170"/>
      </w:tblGrid>
      <w:tr w:rsidR="00287AA5" w:rsidRPr="00F32B91" w:rsidTr="009102FC">
        <w:tc>
          <w:tcPr>
            <w:tcW w:w="2610" w:type="dxa"/>
          </w:tcPr>
          <w:p w:rsidR="00287AA5" w:rsidRPr="00F32B91" w:rsidRDefault="00287AA5" w:rsidP="00176576">
            <w:pPr>
              <w:rPr>
                <w:rFonts w:ascii="Times New Roman" w:hAnsi="Times New Roman"/>
                <w:sz w:val="22"/>
                <w:szCs w:val="22"/>
              </w:rPr>
            </w:pPr>
            <w:r w:rsidRPr="00F32B91">
              <w:rPr>
                <w:rFonts w:ascii="Times New Roman" w:hAnsi="Times New Roman"/>
                <w:sz w:val="22"/>
                <w:szCs w:val="22"/>
              </w:rPr>
              <w:t>Type of Collection</w:t>
            </w:r>
          </w:p>
        </w:tc>
        <w:tc>
          <w:tcPr>
            <w:tcW w:w="1350" w:type="dxa"/>
          </w:tcPr>
          <w:p w:rsidR="00287AA5" w:rsidRPr="00F32B91" w:rsidRDefault="00287AA5" w:rsidP="00176576">
            <w:pPr>
              <w:rPr>
                <w:rFonts w:ascii="Times New Roman" w:hAnsi="Times New Roman"/>
                <w:sz w:val="22"/>
                <w:szCs w:val="22"/>
              </w:rPr>
            </w:pPr>
            <w:r w:rsidRPr="00F32B91">
              <w:rPr>
                <w:rFonts w:ascii="Times New Roman" w:hAnsi="Times New Roman"/>
                <w:sz w:val="22"/>
                <w:szCs w:val="22"/>
              </w:rPr>
              <w:t>Total Number of Respondents</w:t>
            </w:r>
          </w:p>
        </w:tc>
        <w:tc>
          <w:tcPr>
            <w:tcW w:w="1260" w:type="dxa"/>
          </w:tcPr>
          <w:p w:rsidR="00287AA5" w:rsidRPr="00F32B91" w:rsidRDefault="00287AA5" w:rsidP="00176576">
            <w:pPr>
              <w:pStyle w:val="Center"/>
              <w:spacing w:line="240" w:lineRule="auto"/>
              <w:jc w:val="left"/>
              <w:rPr>
                <w:sz w:val="22"/>
                <w:szCs w:val="22"/>
              </w:rPr>
            </w:pPr>
            <w:r w:rsidRPr="00F32B91">
              <w:rPr>
                <w:sz w:val="22"/>
                <w:szCs w:val="22"/>
              </w:rPr>
              <w:t>Responses per Respondent</w:t>
            </w:r>
          </w:p>
        </w:tc>
        <w:tc>
          <w:tcPr>
            <w:tcW w:w="1170" w:type="dxa"/>
          </w:tcPr>
          <w:p w:rsidR="00287AA5" w:rsidRPr="00F32B91" w:rsidRDefault="00287AA5" w:rsidP="00176576">
            <w:pPr>
              <w:rPr>
                <w:rFonts w:ascii="Times New Roman" w:hAnsi="Times New Roman"/>
                <w:sz w:val="22"/>
                <w:szCs w:val="22"/>
              </w:rPr>
            </w:pPr>
            <w:r w:rsidRPr="00F32B91">
              <w:rPr>
                <w:rFonts w:ascii="Times New Roman" w:hAnsi="Times New Roman"/>
                <w:sz w:val="22"/>
                <w:szCs w:val="22"/>
              </w:rPr>
              <w:t>Total Responses</w:t>
            </w:r>
          </w:p>
        </w:tc>
        <w:tc>
          <w:tcPr>
            <w:tcW w:w="1260" w:type="dxa"/>
          </w:tcPr>
          <w:p w:rsidR="00287AA5" w:rsidRPr="00F32B91" w:rsidRDefault="00287AA5" w:rsidP="00176576">
            <w:pPr>
              <w:rPr>
                <w:rFonts w:ascii="Times New Roman" w:hAnsi="Times New Roman"/>
                <w:sz w:val="22"/>
                <w:szCs w:val="22"/>
              </w:rPr>
            </w:pPr>
            <w:r w:rsidRPr="00F32B91">
              <w:rPr>
                <w:rFonts w:ascii="Times New Roman" w:hAnsi="Times New Roman"/>
                <w:sz w:val="22"/>
                <w:szCs w:val="22"/>
              </w:rPr>
              <w:t>Hours per Respondent</w:t>
            </w:r>
          </w:p>
        </w:tc>
        <w:tc>
          <w:tcPr>
            <w:tcW w:w="900" w:type="dxa"/>
          </w:tcPr>
          <w:p w:rsidR="00287AA5" w:rsidRPr="00F32B91" w:rsidRDefault="00287AA5" w:rsidP="00176576">
            <w:pPr>
              <w:rPr>
                <w:rFonts w:ascii="Times New Roman" w:hAnsi="Times New Roman"/>
                <w:sz w:val="22"/>
                <w:szCs w:val="22"/>
              </w:rPr>
            </w:pPr>
            <w:r w:rsidRPr="00F32B91">
              <w:rPr>
                <w:rFonts w:ascii="Times New Roman" w:hAnsi="Times New Roman"/>
                <w:sz w:val="22"/>
                <w:szCs w:val="22"/>
              </w:rPr>
              <w:t>Total Burden Hours</w:t>
            </w:r>
          </w:p>
        </w:tc>
        <w:tc>
          <w:tcPr>
            <w:tcW w:w="990" w:type="dxa"/>
          </w:tcPr>
          <w:p w:rsidR="00287AA5" w:rsidRPr="00F32B91" w:rsidRDefault="00287AA5" w:rsidP="00176576">
            <w:pPr>
              <w:rPr>
                <w:rFonts w:ascii="Times New Roman" w:hAnsi="Times New Roman"/>
                <w:sz w:val="22"/>
                <w:szCs w:val="22"/>
              </w:rPr>
            </w:pPr>
            <w:r w:rsidRPr="00F32B91">
              <w:rPr>
                <w:rFonts w:ascii="Times New Roman" w:hAnsi="Times New Roman"/>
                <w:sz w:val="22"/>
                <w:szCs w:val="22"/>
              </w:rPr>
              <w:t>Wage Rate (Hourly)</w:t>
            </w:r>
          </w:p>
        </w:tc>
        <w:tc>
          <w:tcPr>
            <w:tcW w:w="1170" w:type="dxa"/>
          </w:tcPr>
          <w:p w:rsidR="00287AA5" w:rsidRPr="00F32B91" w:rsidRDefault="00287AA5" w:rsidP="00A71904">
            <w:pPr>
              <w:rPr>
                <w:rFonts w:ascii="Times New Roman" w:hAnsi="Times New Roman"/>
                <w:sz w:val="22"/>
                <w:szCs w:val="22"/>
              </w:rPr>
            </w:pPr>
            <w:r w:rsidRPr="00F32B91">
              <w:rPr>
                <w:rFonts w:ascii="Times New Roman" w:hAnsi="Times New Roman"/>
                <w:sz w:val="22"/>
                <w:szCs w:val="22"/>
              </w:rPr>
              <w:t>Total Cost</w:t>
            </w:r>
          </w:p>
        </w:tc>
      </w:tr>
      <w:tr w:rsidR="00287AA5" w:rsidRPr="00F32B91" w:rsidTr="009102FC">
        <w:trPr>
          <w:trHeight w:val="552"/>
        </w:trPr>
        <w:tc>
          <w:tcPr>
            <w:tcW w:w="2610" w:type="dxa"/>
            <w:vAlign w:val="center"/>
          </w:tcPr>
          <w:p w:rsidR="00287AA5" w:rsidRPr="00F32B91" w:rsidRDefault="00287AA5" w:rsidP="009102FC">
            <w:pPr>
              <w:pStyle w:val="TOC1"/>
            </w:pPr>
            <w:r w:rsidRPr="00F32B91">
              <w:t>In-Person Focus Groups</w:t>
            </w:r>
          </w:p>
        </w:tc>
        <w:tc>
          <w:tcPr>
            <w:tcW w:w="1350" w:type="dxa"/>
            <w:vAlign w:val="center"/>
          </w:tcPr>
          <w:p w:rsidR="00287AA5" w:rsidRPr="00F32B91" w:rsidRDefault="00287AA5" w:rsidP="009102FC">
            <w:pPr>
              <w:jc w:val="center"/>
              <w:rPr>
                <w:rFonts w:ascii="Times New Roman" w:hAnsi="Times New Roman"/>
                <w:sz w:val="22"/>
                <w:szCs w:val="22"/>
              </w:rPr>
            </w:pPr>
            <w:r w:rsidRPr="00F32B91">
              <w:rPr>
                <w:rFonts w:ascii="Times New Roman" w:hAnsi="Times New Roman"/>
                <w:sz w:val="22"/>
                <w:szCs w:val="22"/>
              </w:rPr>
              <w:t>20</w:t>
            </w:r>
          </w:p>
        </w:tc>
        <w:tc>
          <w:tcPr>
            <w:tcW w:w="1260" w:type="dxa"/>
            <w:vAlign w:val="center"/>
          </w:tcPr>
          <w:p w:rsidR="00287AA5" w:rsidRPr="00F32B91" w:rsidRDefault="00287AA5" w:rsidP="009102FC">
            <w:pPr>
              <w:pStyle w:val="Center"/>
              <w:spacing w:line="240" w:lineRule="auto"/>
              <w:rPr>
                <w:sz w:val="22"/>
                <w:szCs w:val="22"/>
              </w:rPr>
            </w:pPr>
            <w:r w:rsidRPr="00F32B91">
              <w:rPr>
                <w:sz w:val="22"/>
                <w:szCs w:val="22"/>
              </w:rPr>
              <w:t>1</w:t>
            </w:r>
          </w:p>
        </w:tc>
        <w:tc>
          <w:tcPr>
            <w:tcW w:w="1170" w:type="dxa"/>
            <w:vAlign w:val="center"/>
          </w:tcPr>
          <w:p w:rsidR="00287AA5" w:rsidRPr="00F32B91" w:rsidRDefault="00287AA5" w:rsidP="009102FC">
            <w:pPr>
              <w:jc w:val="center"/>
              <w:rPr>
                <w:rFonts w:ascii="Times New Roman" w:hAnsi="Times New Roman"/>
                <w:sz w:val="22"/>
                <w:szCs w:val="22"/>
              </w:rPr>
            </w:pPr>
            <w:r w:rsidRPr="00F32B91">
              <w:rPr>
                <w:rFonts w:ascii="Times New Roman" w:hAnsi="Times New Roman"/>
                <w:sz w:val="22"/>
                <w:szCs w:val="22"/>
              </w:rPr>
              <w:t>20</w:t>
            </w:r>
          </w:p>
        </w:tc>
        <w:tc>
          <w:tcPr>
            <w:tcW w:w="1260" w:type="dxa"/>
            <w:vAlign w:val="center"/>
          </w:tcPr>
          <w:p w:rsidR="00287AA5" w:rsidRPr="00F32B91" w:rsidRDefault="00287AA5" w:rsidP="009102FC">
            <w:pPr>
              <w:jc w:val="center"/>
              <w:rPr>
                <w:rFonts w:ascii="Times New Roman" w:hAnsi="Times New Roman"/>
                <w:sz w:val="22"/>
                <w:szCs w:val="22"/>
              </w:rPr>
            </w:pPr>
            <w:r w:rsidRPr="00F32B91">
              <w:rPr>
                <w:rFonts w:ascii="Times New Roman" w:hAnsi="Times New Roman"/>
                <w:sz w:val="22"/>
                <w:szCs w:val="22"/>
              </w:rPr>
              <w:t>2</w:t>
            </w:r>
            <w:r w:rsidR="00AD7CB3">
              <w:rPr>
                <w:rFonts w:ascii="Times New Roman" w:hAnsi="Times New Roman"/>
                <w:sz w:val="22"/>
                <w:szCs w:val="22"/>
              </w:rPr>
              <w:t>.25</w:t>
            </w:r>
          </w:p>
        </w:tc>
        <w:tc>
          <w:tcPr>
            <w:tcW w:w="900" w:type="dxa"/>
            <w:vAlign w:val="center"/>
          </w:tcPr>
          <w:p w:rsidR="00287AA5" w:rsidRPr="00F32B91" w:rsidRDefault="00AD7CB3" w:rsidP="009102FC">
            <w:pPr>
              <w:jc w:val="center"/>
              <w:rPr>
                <w:rFonts w:ascii="Times New Roman" w:hAnsi="Times New Roman"/>
                <w:sz w:val="22"/>
                <w:szCs w:val="22"/>
              </w:rPr>
            </w:pPr>
            <w:r>
              <w:rPr>
                <w:rFonts w:ascii="Times New Roman" w:hAnsi="Times New Roman"/>
                <w:sz w:val="22"/>
                <w:szCs w:val="22"/>
              </w:rPr>
              <w:t>45</w:t>
            </w:r>
          </w:p>
        </w:tc>
        <w:tc>
          <w:tcPr>
            <w:tcW w:w="990" w:type="dxa"/>
            <w:vAlign w:val="center"/>
          </w:tcPr>
          <w:p w:rsidR="00287AA5" w:rsidRPr="00F32B91" w:rsidRDefault="00287AA5" w:rsidP="009102FC">
            <w:pPr>
              <w:jc w:val="center"/>
              <w:rPr>
                <w:rFonts w:ascii="Times New Roman" w:hAnsi="Times New Roman"/>
                <w:sz w:val="22"/>
                <w:szCs w:val="22"/>
              </w:rPr>
            </w:pPr>
            <w:r w:rsidRPr="00F32B91">
              <w:rPr>
                <w:rFonts w:ascii="Times New Roman" w:hAnsi="Times New Roman"/>
                <w:sz w:val="22"/>
                <w:szCs w:val="22"/>
              </w:rPr>
              <w:t>$32.56</w:t>
            </w:r>
          </w:p>
        </w:tc>
        <w:tc>
          <w:tcPr>
            <w:tcW w:w="1170" w:type="dxa"/>
            <w:vAlign w:val="center"/>
          </w:tcPr>
          <w:p w:rsidR="00287AA5" w:rsidRPr="00F32B91" w:rsidRDefault="00AD7CB3" w:rsidP="009102FC">
            <w:pPr>
              <w:jc w:val="center"/>
              <w:rPr>
                <w:rFonts w:ascii="Times New Roman" w:hAnsi="Times New Roman"/>
                <w:sz w:val="22"/>
                <w:szCs w:val="22"/>
              </w:rPr>
            </w:pPr>
            <w:r>
              <w:rPr>
                <w:rFonts w:ascii="Times New Roman" w:hAnsi="Times New Roman"/>
                <w:sz w:val="22"/>
                <w:szCs w:val="22"/>
              </w:rPr>
              <w:t>$1,465.20</w:t>
            </w:r>
          </w:p>
        </w:tc>
      </w:tr>
      <w:tr w:rsidR="00287AA5" w:rsidRPr="00F32B91" w:rsidTr="009102FC">
        <w:trPr>
          <w:trHeight w:val="552"/>
        </w:trPr>
        <w:tc>
          <w:tcPr>
            <w:tcW w:w="2610" w:type="dxa"/>
            <w:vAlign w:val="center"/>
          </w:tcPr>
          <w:p w:rsidR="009102FC" w:rsidRPr="009102FC" w:rsidRDefault="00287AA5" w:rsidP="009102FC">
            <w:pPr>
              <w:pStyle w:val="TOC1"/>
            </w:pPr>
            <w:r w:rsidRPr="00F32B91">
              <w:t>Online Focus Group</w:t>
            </w:r>
            <w:r w:rsidR="009102FC">
              <w:t>, Current Participants</w:t>
            </w:r>
          </w:p>
        </w:tc>
        <w:tc>
          <w:tcPr>
            <w:tcW w:w="1350" w:type="dxa"/>
            <w:vAlign w:val="center"/>
          </w:tcPr>
          <w:p w:rsidR="00287AA5" w:rsidRPr="00F32B91" w:rsidRDefault="009102FC" w:rsidP="009102FC">
            <w:pPr>
              <w:jc w:val="center"/>
              <w:rPr>
                <w:rFonts w:ascii="Times New Roman" w:hAnsi="Times New Roman"/>
                <w:sz w:val="22"/>
                <w:szCs w:val="22"/>
              </w:rPr>
            </w:pPr>
            <w:r>
              <w:rPr>
                <w:rFonts w:ascii="Times New Roman" w:hAnsi="Times New Roman"/>
                <w:sz w:val="22"/>
                <w:szCs w:val="22"/>
              </w:rPr>
              <w:t>3</w:t>
            </w:r>
            <w:r w:rsidR="00287AA5" w:rsidRPr="00F32B91">
              <w:rPr>
                <w:rFonts w:ascii="Times New Roman" w:hAnsi="Times New Roman"/>
                <w:sz w:val="22"/>
                <w:szCs w:val="22"/>
              </w:rPr>
              <w:t>0</w:t>
            </w:r>
          </w:p>
        </w:tc>
        <w:tc>
          <w:tcPr>
            <w:tcW w:w="1260" w:type="dxa"/>
            <w:vAlign w:val="center"/>
          </w:tcPr>
          <w:p w:rsidR="00287AA5" w:rsidRPr="00F32B91" w:rsidRDefault="00287AA5" w:rsidP="009102FC">
            <w:pPr>
              <w:pStyle w:val="Center"/>
              <w:spacing w:line="240" w:lineRule="auto"/>
              <w:rPr>
                <w:sz w:val="22"/>
                <w:szCs w:val="22"/>
              </w:rPr>
            </w:pPr>
            <w:r w:rsidRPr="00F32B91">
              <w:rPr>
                <w:sz w:val="22"/>
                <w:szCs w:val="22"/>
              </w:rPr>
              <w:t>1</w:t>
            </w:r>
          </w:p>
        </w:tc>
        <w:tc>
          <w:tcPr>
            <w:tcW w:w="1170" w:type="dxa"/>
            <w:vAlign w:val="center"/>
          </w:tcPr>
          <w:p w:rsidR="00287AA5" w:rsidRPr="00F32B91" w:rsidRDefault="009102FC" w:rsidP="009102FC">
            <w:pPr>
              <w:jc w:val="center"/>
              <w:rPr>
                <w:rFonts w:ascii="Times New Roman" w:hAnsi="Times New Roman"/>
                <w:sz w:val="22"/>
                <w:szCs w:val="22"/>
              </w:rPr>
            </w:pPr>
            <w:r>
              <w:rPr>
                <w:rFonts w:ascii="Times New Roman" w:hAnsi="Times New Roman"/>
                <w:sz w:val="22"/>
                <w:szCs w:val="22"/>
              </w:rPr>
              <w:t>3</w:t>
            </w:r>
            <w:r w:rsidR="00287AA5" w:rsidRPr="00F32B91">
              <w:rPr>
                <w:rFonts w:ascii="Times New Roman" w:hAnsi="Times New Roman"/>
                <w:sz w:val="22"/>
                <w:szCs w:val="22"/>
              </w:rPr>
              <w:t>0</w:t>
            </w:r>
          </w:p>
        </w:tc>
        <w:tc>
          <w:tcPr>
            <w:tcW w:w="1260" w:type="dxa"/>
            <w:vAlign w:val="center"/>
          </w:tcPr>
          <w:p w:rsidR="00287AA5" w:rsidRPr="00F32B91" w:rsidRDefault="00AD7CB3" w:rsidP="009102FC">
            <w:pPr>
              <w:jc w:val="center"/>
              <w:rPr>
                <w:rFonts w:ascii="Times New Roman" w:hAnsi="Times New Roman"/>
                <w:sz w:val="22"/>
                <w:szCs w:val="22"/>
              </w:rPr>
            </w:pPr>
            <w:r>
              <w:rPr>
                <w:rFonts w:ascii="Times New Roman" w:hAnsi="Times New Roman"/>
                <w:sz w:val="22"/>
                <w:szCs w:val="22"/>
              </w:rPr>
              <w:t>1.75</w:t>
            </w:r>
          </w:p>
        </w:tc>
        <w:tc>
          <w:tcPr>
            <w:tcW w:w="900" w:type="dxa"/>
            <w:vAlign w:val="center"/>
          </w:tcPr>
          <w:p w:rsidR="00AD7CB3" w:rsidRDefault="00AD7CB3" w:rsidP="009102FC">
            <w:pPr>
              <w:jc w:val="center"/>
              <w:rPr>
                <w:rFonts w:ascii="Times New Roman" w:hAnsi="Times New Roman"/>
                <w:sz w:val="22"/>
                <w:szCs w:val="22"/>
              </w:rPr>
            </w:pPr>
          </w:p>
          <w:p w:rsidR="00287AA5" w:rsidRDefault="009102FC" w:rsidP="009102FC">
            <w:pPr>
              <w:jc w:val="center"/>
              <w:rPr>
                <w:rFonts w:ascii="Times New Roman" w:hAnsi="Times New Roman"/>
                <w:sz w:val="22"/>
                <w:szCs w:val="22"/>
              </w:rPr>
            </w:pPr>
            <w:r>
              <w:rPr>
                <w:rFonts w:ascii="Times New Roman" w:hAnsi="Times New Roman"/>
                <w:sz w:val="22"/>
                <w:szCs w:val="22"/>
              </w:rPr>
              <w:t>52.5</w:t>
            </w:r>
          </w:p>
          <w:p w:rsidR="00AD7CB3" w:rsidRPr="00F32B91" w:rsidRDefault="00AD7CB3" w:rsidP="009102FC">
            <w:pPr>
              <w:jc w:val="center"/>
              <w:rPr>
                <w:rFonts w:ascii="Times New Roman" w:hAnsi="Times New Roman"/>
                <w:sz w:val="22"/>
                <w:szCs w:val="22"/>
              </w:rPr>
            </w:pPr>
          </w:p>
        </w:tc>
        <w:tc>
          <w:tcPr>
            <w:tcW w:w="990" w:type="dxa"/>
            <w:vAlign w:val="center"/>
          </w:tcPr>
          <w:p w:rsidR="00287AA5" w:rsidRPr="00F32B91" w:rsidRDefault="00287AA5" w:rsidP="009102FC">
            <w:pPr>
              <w:jc w:val="center"/>
              <w:rPr>
                <w:rFonts w:ascii="Times New Roman" w:hAnsi="Times New Roman"/>
                <w:sz w:val="22"/>
                <w:szCs w:val="22"/>
              </w:rPr>
            </w:pPr>
            <w:r w:rsidRPr="00F32B91">
              <w:rPr>
                <w:rFonts w:ascii="Times New Roman" w:hAnsi="Times New Roman"/>
                <w:sz w:val="22"/>
                <w:szCs w:val="22"/>
              </w:rPr>
              <w:t>$32.56</w:t>
            </w:r>
          </w:p>
        </w:tc>
        <w:tc>
          <w:tcPr>
            <w:tcW w:w="1170" w:type="dxa"/>
            <w:vAlign w:val="center"/>
          </w:tcPr>
          <w:p w:rsidR="00287AA5" w:rsidRPr="00F32B91" w:rsidRDefault="009102FC" w:rsidP="009102FC">
            <w:pPr>
              <w:jc w:val="center"/>
              <w:rPr>
                <w:rFonts w:ascii="Times New Roman" w:hAnsi="Times New Roman"/>
                <w:sz w:val="22"/>
                <w:szCs w:val="22"/>
              </w:rPr>
            </w:pPr>
            <w:r>
              <w:rPr>
                <w:rFonts w:ascii="Times New Roman" w:hAnsi="Times New Roman"/>
                <w:sz w:val="22"/>
                <w:szCs w:val="22"/>
              </w:rPr>
              <w:t>$1,709.4</w:t>
            </w:r>
            <w:r w:rsidR="00AD7CB3">
              <w:rPr>
                <w:rFonts w:ascii="Times New Roman" w:hAnsi="Times New Roman"/>
                <w:sz w:val="22"/>
                <w:szCs w:val="22"/>
              </w:rPr>
              <w:t>0</w:t>
            </w:r>
          </w:p>
        </w:tc>
      </w:tr>
      <w:tr w:rsidR="00237500" w:rsidRPr="00F32B91" w:rsidTr="009102FC">
        <w:trPr>
          <w:trHeight w:val="863"/>
        </w:trPr>
        <w:tc>
          <w:tcPr>
            <w:tcW w:w="2610" w:type="dxa"/>
            <w:vAlign w:val="center"/>
          </w:tcPr>
          <w:p w:rsidR="009102FC" w:rsidRPr="009102FC" w:rsidRDefault="009102FC" w:rsidP="009102FC">
            <w:pPr>
              <w:pStyle w:val="TOC1"/>
            </w:pPr>
            <w:r w:rsidRPr="00F32B91">
              <w:t>Online Focus Group</w:t>
            </w:r>
            <w:r>
              <w:t xml:space="preserve">, Prospective  Participants </w:t>
            </w:r>
          </w:p>
        </w:tc>
        <w:tc>
          <w:tcPr>
            <w:tcW w:w="1350" w:type="dxa"/>
            <w:vAlign w:val="center"/>
          </w:tcPr>
          <w:p w:rsidR="00237500" w:rsidRPr="00F32B91" w:rsidRDefault="009102FC" w:rsidP="009102FC">
            <w:pPr>
              <w:jc w:val="center"/>
              <w:rPr>
                <w:rFonts w:ascii="Times New Roman" w:hAnsi="Times New Roman"/>
                <w:sz w:val="22"/>
                <w:szCs w:val="22"/>
              </w:rPr>
            </w:pPr>
            <w:r>
              <w:rPr>
                <w:rFonts w:ascii="Times New Roman" w:hAnsi="Times New Roman"/>
                <w:sz w:val="22"/>
                <w:szCs w:val="22"/>
              </w:rPr>
              <w:t>30</w:t>
            </w:r>
          </w:p>
        </w:tc>
        <w:tc>
          <w:tcPr>
            <w:tcW w:w="1260" w:type="dxa"/>
            <w:vAlign w:val="center"/>
          </w:tcPr>
          <w:p w:rsidR="00237500" w:rsidRPr="00F32B91" w:rsidRDefault="009102FC" w:rsidP="009102FC">
            <w:pPr>
              <w:pStyle w:val="Center"/>
              <w:spacing w:line="240" w:lineRule="auto"/>
              <w:rPr>
                <w:sz w:val="22"/>
                <w:szCs w:val="22"/>
              </w:rPr>
            </w:pPr>
            <w:r>
              <w:rPr>
                <w:sz w:val="22"/>
                <w:szCs w:val="22"/>
              </w:rPr>
              <w:t>1</w:t>
            </w:r>
          </w:p>
        </w:tc>
        <w:tc>
          <w:tcPr>
            <w:tcW w:w="1170" w:type="dxa"/>
            <w:vAlign w:val="center"/>
          </w:tcPr>
          <w:p w:rsidR="00237500" w:rsidRPr="00F32B91" w:rsidRDefault="009102FC" w:rsidP="009102FC">
            <w:pPr>
              <w:jc w:val="center"/>
              <w:rPr>
                <w:rFonts w:ascii="Times New Roman" w:hAnsi="Times New Roman"/>
                <w:sz w:val="22"/>
                <w:szCs w:val="22"/>
              </w:rPr>
            </w:pPr>
            <w:r>
              <w:rPr>
                <w:rFonts w:ascii="Times New Roman" w:hAnsi="Times New Roman"/>
                <w:sz w:val="22"/>
                <w:szCs w:val="22"/>
              </w:rPr>
              <w:t>30</w:t>
            </w:r>
          </w:p>
        </w:tc>
        <w:tc>
          <w:tcPr>
            <w:tcW w:w="1260" w:type="dxa"/>
            <w:vAlign w:val="center"/>
          </w:tcPr>
          <w:p w:rsidR="00237500" w:rsidRDefault="009102FC" w:rsidP="009102FC">
            <w:pPr>
              <w:jc w:val="center"/>
              <w:rPr>
                <w:rFonts w:ascii="Times New Roman" w:hAnsi="Times New Roman"/>
                <w:sz w:val="22"/>
                <w:szCs w:val="22"/>
              </w:rPr>
            </w:pPr>
            <w:r>
              <w:rPr>
                <w:rFonts w:ascii="Times New Roman" w:hAnsi="Times New Roman"/>
                <w:sz w:val="22"/>
                <w:szCs w:val="22"/>
              </w:rPr>
              <w:t>1.75</w:t>
            </w:r>
          </w:p>
        </w:tc>
        <w:tc>
          <w:tcPr>
            <w:tcW w:w="900" w:type="dxa"/>
            <w:vAlign w:val="center"/>
          </w:tcPr>
          <w:p w:rsidR="009102FC" w:rsidRDefault="009102FC" w:rsidP="009102FC">
            <w:pPr>
              <w:jc w:val="center"/>
              <w:rPr>
                <w:rFonts w:ascii="Times New Roman" w:hAnsi="Times New Roman"/>
                <w:sz w:val="22"/>
                <w:szCs w:val="22"/>
              </w:rPr>
            </w:pPr>
          </w:p>
          <w:p w:rsidR="00237500" w:rsidRDefault="009102FC" w:rsidP="009102FC">
            <w:pPr>
              <w:jc w:val="center"/>
              <w:rPr>
                <w:rFonts w:ascii="Times New Roman" w:hAnsi="Times New Roman"/>
                <w:sz w:val="22"/>
                <w:szCs w:val="22"/>
              </w:rPr>
            </w:pPr>
            <w:r>
              <w:rPr>
                <w:rFonts w:ascii="Times New Roman" w:hAnsi="Times New Roman"/>
                <w:sz w:val="22"/>
                <w:szCs w:val="22"/>
              </w:rPr>
              <w:t>52.5</w:t>
            </w:r>
          </w:p>
          <w:p w:rsidR="009102FC" w:rsidRDefault="009102FC" w:rsidP="009102FC">
            <w:pPr>
              <w:jc w:val="center"/>
              <w:rPr>
                <w:rFonts w:ascii="Times New Roman" w:hAnsi="Times New Roman"/>
                <w:sz w:val="22"/>
                <w:szCs w:val="22"/>
              </w:rPr>
            </w:pPr>
          </w:p>
        </w:tc>
        <w:tc>
          <w:tcPr>
            <w:tcW w:w="990" w:type="dxa"/>
            <w:vAlign w:val="center"/>
          </w:tcPr>
          <w:p w:rsidR="00237500" w:rsidRPr="00F32B91" w:rsidRDefault="009102FC" w:rsidP="009102FC">
            <w:pPr>
              <w:jc w:val="center"/>
              <w:rPr>
                <w:rFonts w:ascii="Times New Roman" w:hAnsi="Times New Roman"/>
                <w:sz w:val="22"/>
                <w:szCs w:val="22"/>
              </w:rPr>
            </w:pPr>
            <w:r w:rsidRPr="00F32B91">
              <w:rPr>
                <w:rFonts w:ascii="Times New Roman" w:hAnsi="Times New Roman"/>
                <w:sz w:val="22"/>
                <w:szCs w:val="22"/>
              </w:rPr>
              <w:t>$32.56</w:t>
            </w:r>
          </w:p>
        </w:tc>
        <w:tc>
          <w:tcPr>
            <w:tcW w:w="1170" w:type="dxa"/>
            <w:vAlign w:val="center"/>
          </w:tcPr>
          <w:p w:rsidR="00237500" w:rsidRDefault="009102FC" w:rsidP="009102FC">
            <w:pPr>
              <w:jc w:val="center"/>
              <w:rPr>
                <w:rFonts w:ascii="Times New Roman" w:hAnsi="Times New Roman"/>
                <w:sz w:val="22"/>
                <w:szCs w:val="22"/>
              </w:rPr>
            </w:pPr>
            <w:r>
              <w:rPr>
                <w:rFonts w:ascii="Times New Roman" w:hAnsi="Times New Roman"/>
                <w:sz w:val="22"/>
                <w:szCs w:val="22"/>
              </w:rPr>
              <w:t>$1,709.40</w:t>
            </w:r>
          </w:p>
        </w:tc>
      </w:tr>
      <w:tr w:rsidR="00287AA5" w:rsidRPr="00F32B91" w:rsidTr="009102FC">
        <w:trPr>
          <w:trHeight w:val="552"/>
        </w:trPr>
        <w:tc>
          <w:tcPr>
            <w:tcW w:w="2610" w:type="dxa"/>
            <w:vAlign w:val="center"/>
          </w:tcPr>
          <w:p w:rsidR="00287AA5" w:rsidRPr="00F32B91" w:rsidRDefault="009F4B26" w:rsidP="009102FC">
            <w:pPr>
              <w:pStyle w:val="TOC1"/>
            </w:pPr>
            <w:r w:rsidRPr="00F32B91">
              <w:t>Telep</w:t>
            </w:r>
            <w:r w:rsidR="00287AA5" w:rsidRPr="00F32B91">
              <w:t>hone Interview</w:t>
            </w:r>
          </w:p>
        </w:tc>
        <w:tc>
          <w:tcPr>
            <w:tcW w:w="1350" w:type="dxa"/>
            <w:vAlign w:val="center"/>
          </w:tcPr>
          <w:p w:rsidR="00287AA5" w:rsidRPr="00F32B91" w:rsidRDefault="00287AA5" w:rsidP="009102FC">
            <w:pPr>
              <w:jc w:val="center"/>
              <w:rPr>
                <w:rFonts w:ascii="Times New Roman" w:hAnsi="Times New Roman"/>
                <w:sz w:val="22"/>
                <w:szCs w:val="22"/>
              </w:rPr>
            </w:pPr>
            <w:r w:rsidRPr="00F32B91">
              <w:rPr>
                <w:rFonts w:ascii="Times New Roman" w:hAnsi="Times New Roman"/>
                <w:sz w:val="22"/>
                <w:szCs w:val="22"/>
              </w:rPr>
              <w:t>24</w:t>
            </w:r>
          </w:p>
        </w:tc>
        <w:tc>
          <w:tcPr>
            <w:tcW w:w="1260" w:type="dxa"/>
            <w:vAlign w:val="center"/>
          </w:tcPr>
          <w:p w:rsidR="00287AA5" w:rsidRPr="00F32B91" w:rsidRDefault="00287AA5" w:rsidP="009102FC">
            <w:pPr>
              <w:pStyle w:val="Center"/>
              <w:spacing w:line="240" w:lineRule="auto"/>
              <w:rPr>
                <w:sz w:val="22"/>
                <w:szCs w:val="22"/>
              </w:rPr>
            </w:pPr>
            <w:r w:rsidRPr="00F32B91">
              <w:rPr>
                <w:sz w:val="22"/>
                <w:szCs w:val="22"/>
              </w:rPr>
              <w:t>1</w:t>
            </w:r>
          </w:p>
        </w:tc>
        <w:tc>
          <w:tcPr>
            <w:tcW w:w="1170" w:type="dxa"/>
            <w:vAlign w:val="center"/>
          </w:tcPr>
          <w:p w:rsidR="00287AA5" w:rsidRPr="00F32B91" w:rsidRDefault="00287AA5" w:rsidP="009102FC">
            <w:pPr>
              <w:jc w:val="center"/>
              <w:rPr>
                <w:rFonts w:ascii="Times New Roman" w:hAnsi="Times New Roman"/>
                <w:sz w:val="22"/>
                <w:szCs w:val="22"/>
              </w:rPr>
            </w:pPr>
            <w:r w:rsidRPr="00F32B91">
              <w:rPr>
                <w:rFonts w:ascii="Times New Roman" w:hAnsi="Times New Roman"/>
                <w:sz w:val="22"/>
                <w:szCs w:val="22"/>
              </w:rPr>
              <w:t>24</w:t>
            </w:r>
          </w:p>
        </w:tc>
        <w:tc>
          <w:tcPr>
            <w:tcW w:w="1260" w:type="dxa"/>
            <w:vAlign w:val="center"/>
          </w:tcPr>
          <w:p w:rsidR="00287AA5" w:rsidRPr="00F32B91" w:rsidRDefault="00AD7CB3" w:rsidP="009102FC">
            <w:pPr>
              <w:jc w:val="center"/>
              <w:rPr>
                <w:rFonts w:ascii="Times New Roman" w:hAnsi="Times New Roman"/>
                <w:sz w:val="22"/>
                <w:szCs w:val="22"/>
              </w:rPr>
            </w:pPr>
            <w:r>
              <w:rPr>
                <w:rFonts w:ascii="Times New Roman" w:hAnsi="Times New Roman"/>
                <w:sz w:val="22"/>
                <w:szCs w:val="22"/>
              </w:rPr>
              <w:t>1.50</w:t>
            </w:r>
          </w:p>
        </w:tc>
        <w:tc>
          <w:tcPr>
            <w:tcW w:w="900" w:type="dxa"/>
            <w:vAlign w:val="center"/>
          </w:tcPr>
          <w:p w:rsidR="00287AA5" w:rsidRPr="00F32B91" w:rsidRDefault="00AD7CB3" w:rsidP="009102FC">
            <w:pPr>
              <w:jc w:val="center"/>
              <w:rPr>
                <w:rFonts w:ascii="Times New Roman" w:hAnsi="Times New Roman"/>
                <w:sz w:val="22"/>
                <w:szCs w:val="22"/>
              </w:rPr>
            </w:pPr>
            <w:r>
              <w:rPr>
                <w:rFonts w:ascii="Times New Roman" w:hAnsi="Times New Roman"/>
                <w:sz w:val="22"/>
                <w:szCs w:val="22"/>
              </w:rPr>
              <w:t>36</w:t>
            </w:r>
          </w:p>
        </w:tc>
        <w:tc>
          <w:tcPr>
            <w:tcW w:w="990" w:type="dxa"/>
            <w:vAlign w:val="center"/>
          </w:tcPr>
          <w:p w:rsidR="00287AA5" w:rsidRPr="00F32B91" w:rsidRDefault="00287AA5" w:rsidP="009102FC">
            <w:pPr>
              <w:jc w:val="center"/>
              <w:rPr>
                <w:rFonts w:ascii="Times New Roman" w:hAnsi="Times New Roman"/>
                <w:sz w:val="22"/>
                <w:szCs w:val="22"/>
              </w:rPr>
            </w:pPr>
            <w:r w:rsidRPr="00F32B91">
              <w:rPr>
                <w:rFonts w:ascii="Times New Roman" w:hAnsi="Times New Roman"/>
                <w:sz w:val="22"/>
                <w:szCs w:val="22"/>
              </w:rPr>
              <w:t>$32.56</w:t>
            </w:r>
          </w:p>
        </w:tc>
        <w:tc>
          <w:tcPr>
            <w:tcW w:w="1170" w:type="dxa"/>
            <w:vAlign w:val="center"/>
          </w:tcPr>
          <w:p w:rsidR="00287AA5" w:rsidRPr="00F32B91" w:rsidRDefault="00AD7CB3" w:rsidP="009102FC">
            <w:pPr>
              <w:jc w:val="center"/>
              <w:rPr>
                <w:rFonts w:ascii="Times New Roman" w:hAnsi="Times New Roman"/>
                <w:sz w:val="22"/>
                <w:szCs w:val="22"/>
              </w:rPr>
            </w:pPr>
            <w:r>
              <w:rPr>
                <w:rFonts w:ascii="Times New Roman" w:hAnsi="Times New Roman"/>
                <w:sz w:val="22"/>
                <w:szCs w:val="22"/>
              </w:rPr>
              <w:t>$1.172.16</w:t>
            </w:r>
          </w:p>
        </w:tc>
      </w:tr>
      <w:tr w:rsidR="00287AA5" w:rsidRPr="00531A2A" w:rsidTr="009102FC">
        <w:trPr>
          <w:trHeight w:val="552"/>
        </w:trPr>
        <w:tc>
          <w:tcPr>
            <w:tcW w:w="2610" w:type="dxa"/>
            <w:vAlign w:val="center"/>
          </w:tcPr>
          <w:p w:rsidR="00287AA5" w:rsidRPr="00F32B91" w:rsidRDefault="00287AA5" w:rsidP="00176576">
            <w:pPr>
              <w:rPr>
                <w:rFonts w:ascii="Times New Roman" w:hAnsi="Times New Roman"/>
                <w:b/>
                <w:sz w:val="22"/>
                <w:szCs w:val="22"/>
              </w:rPr>
            </w:pPr>
            <w:r w:rsidRPr="00F32B91">
              <w:rPr>
                <w:rFonts w:ascii="Times New Roman" w:hAnsi="Times New Roman"/>
                <w:b/>
                <w:sz w:val="22"/>
                <w:szCs w:val="22"/>
              </w:rPr>
              <w:t>Total</w:t>
            </w:r>
          </w:p>
        </w:tc>
        <w:tc>
          <w:tcPr>
            <w:tcW w:w="1350" w:type="dxa"/>
            <w:vAlign w:val="center"/>
          </w:tcPr>
          <w:p w:rsidR="00287AA5" w:rsidRPr="00F32B91" w:rsidRDefault="00287AA5" w:rsidP="009102FC">
            <w:pPr>
              <w:jc w:val="center"/>
              <w:rPr>
                <w:rFonts w:ascii="Times New Roman" w:hAnsi="Times New Roman"/>
                <w:b/>
                <w:sz w:val="22"/>
                <w:szCs w:val="22"/>
              </w:rPr>
            </w:pPr>
            <w:r w:rsidRPr="00F32B91">
              <w:rPr>
                <w:rFonts w:ascii="Times New Roman" w:hAnsi="Times New Roman"/>
                <w:b/>
                <w:sz w:val="22"/>
                <w:szCs w:val="22"/>
              </w:rPr>
              <w:t>104</w:t>
            </w:r>
          </w:p>
        </w:tc>
        <w:tc>
          <w:tcPr>
            <w:tcW w:w="1260" w:type="dxa"/>
            <w:vAlign w:val="center"/>
          </w:tcPr>
          <w:p w:rsidR="00287AA5" w:rsidRPr="00F32B91" w:rsidRDefault="00AD7CB3" w:rsidP="009102FC">
            <w:pPr>
              <w:jc w:val="center"/>
              <w:rPr>
                <w:rFonts w:ascii="Times New Roman" w:hAnsi="Times New Roman"/>
                <w:b/>
                <w:sz w:val="22"/>
                <w:szCs w:val="22"/>
              </w:rPr>
            </w:pPr>
            <w:r>
              <w:rPr>
                <w:rFonts w:ascii="Times New Roman" w:hAnsi="Times New Roman"/>
                <w:b/>
                <w:sz w:val="22"/>
                <w:szCs w:val="22"/>
              </w:rPr>
              <w:t>1</w:t>
            </w:r>
          </w:p>
        </w:tc>
        <w:tc>
          <w:tcPr>
            <w:tcW w:w="1170" w:type="dxa"/>
            <w:vAlign w:val="center"/>
          </w:tcPr>
          <w:p w:rsidR="00287AA5" w:rsidRPr="00F32B91" w:rsidRDefault="00AD7CB3" w:rsidP="009102FC">
            <w:pPr>
              <w:jc w:val="center"/>
              <w:rPr>
                <w:rFonts w:ascii="Times New Roman" w:hAnsi="Times New Roman"/>
                <w:b/>
                <w:sz w:val="22"/>
                <w:szCs w:val="22"/>
              </w:rPr>
            </w:pPr>
            <w:r>
              <w:rPr>
                <w:rFonts w:ascii="Times New Roman" w:hAnsi="Times New Roman"/>
                <w:b/>
                <w:sz w:val="22"/>
                <w:szCs w:val="22"/>
              </w:rPr>
              <w:t>104</w:t>
            </w:r>
          </w:p>
        </w:tc>
        <w:tc>
          <w:tcPr>
            <w:tcW w:w="1260" w:type="dxa"/>
            <w:vAlign w:val="center"/>
          </w:tcPr>
          <w:p w:rsidR="00287AA5" w:rsidRPr="00F32B91" w:rsidRDefault="00287AA5" w:rsidP="009102FC">
            <w:pPr>
              <w:jc w:val="center"/>
              <w:rPr>
                <w:rFonts w:ascii="Times New Roman" w:hAnsi="Times New Roman"/>
                <w:b/>
                <w:sz w:val="22"/>
                <w:szCs w:val="22"/>
              </w:rPr>
            </w:pPr>
          </w:p>
        </w:tc>
        <w:tc>
          <w:tcPr>
            <w:tcW w:w="900" w:type="dxa"/>
            <w:vAlign w:val="center"/>
          </w:tcPr>
          <w:p w:rsidR="00287AA5" w:rsidRPr="00F32B91" w:rsidRDefault="00AD7CB3" w:rsidP="009102FC">
            <w:pPr>
              <w:jc w:val="center"/>
              <w:rPr>
                <w:rFonts w:ascii="Times New Roman" w:hAnsi="Times New Roman"/>
                <w:b/>
                <w:sz w:val="22"/>
                <w:szCs w:val="22"/>
              </w:rPr>
            </w:pPr>
            <w:r>
              <w:rPr>
                <w:rFonts w:ascii="Times New Roman" w:hAnsi="Times New Roman"/>
                <w:b/>
                <w:sz w:val="22"/>
                <w:szCs w:val="22"/>
              </w:rPr>
              <w:t>186</w:t>
            </w:r>
          </w:p>
        </w:tc>
        <w:tc>
          <w:tcPr>
            <w:tcW w:w="990" w:type="dxa"/>
            <w:vAlign w:val="center"/>
          </w:tcPr>
          <w:p w:rsidR="009C57D5" w:rsidRDefault="009C57D5" w:rsidP="009102FC">
            <w:pPr>
              <w:jc w:val="center"/>
              <w:rPr>
                <w:rFonts w:ascii="Times New Roman" w:hAnsi="Times New Roman"/>
                <w:b/>
                <w:sz w:val="22"/>
                <w:szCs w:val="22"/>
              </w:rPr>
            </w:pPr>
          </w:p>
          <w:p w:rsidR="00287AA5" w:rsidRPr="00F32B91" w:rsidRDefault="004B14D4" w:rsidP="009102FC">
            <w:pPr>
              <w:jc w:val="center"/>
              <w:rPr>
                <w:rFonts w:ascii="Times New Roman" w:hAnsi="Times New Roman"/>
                <w:b/>
                <w:sz w:val="22"/>
                <w:szCs w:val="22"/>
              </w:rPr>
            </w:pPr>
            <w:r>
              <w:rPr>
                <w:rFonts w:ascii="Times New Roman" w:hAnsi="Times New Roman"/>
                <w:b/>
                <w:sz w:val="22"/>
                <w:szCs w:val="22"/>
              </w:rPr>
              <w:t>$</w:t>
            </w:r>
            <w:r w:rsidR="00AD7CB3">
              <w:rPr>
                <w:rFonts w:ascii="Times New Roman" w:hAnsi="Times New Roman"/>
                <w:b/>
                <w:sz w:val="22"/>
                <w:szCs w:val="22"/>
              </w:rPr>
              <w:t xml:space="preserve">32.56 </w:t>
            </w:r>
            <w:r w:rsidR="00AD7CB3" w:rsidRPr="004B14D4">
              <w:rPr>
                <w:rFonts w:ascii="Times New Roman" w:hAnsi="Times New Roman"/>
                <w:sz w:val="22"/>
                <w:szCs w:val="22"/>
              </w:rPr>
              <w:t>(avg</w:t>
            </w:r>
            <w:r w:rsidRPr="004B14D4">
              <w:rPr>
                <w:rFonts w:ascii="Times New Roman" w:hAnsi="Times New Roman"/>
                <w:sz w:val="22"/>
                <w:szCs w:val="22"/>
              </w:rPr>
              <w:t>.</w:t>
            </w:r>
            <w:r w:rsidR="00AD7CB3" w:rsidRPr="004B14D4">
              <w:rPr>
                <w:rFonts w:ascii="Times New Roman" w:hAnsi="Times New Roman"/>
                <w:sz w:val="22"/>
                <w:szCs w:val="22"/>
              </w:rPr>
              <w:t>)</w:t>
            </w:r>
          </w:p>
        </w:tc>
        <w:tc>
          <w:tcPr>
            <w:tcW w:w="1170" w:type="dxa"/>
            <w:vAlign w:val="center"/>
          </w:tcPr>
          <w:p w:rsidR="00287AA5" w:rsidRPr="00F32B91" w:rsidRDefault="00287AA5" w:rsidP="009102FC">
            <w:pPr>
              <w:jc w:val="center"/>
              <w:rPr>
                <w:rFonts w:ascii="Times New Roman" w:hAnsi="Times New Roman"/>
                <w:b/>
                <w:sz w:val="22"/>
                <w:szCs w:val="22"/>
              </w:rPr>
            </w:pPr>
            <w:r w:rsidRPr="00F32B91">
              <w:rPr>
                <w:rFonts w:ascii="Times New Roman" w:hAnsi="Times New Roman"/>
                <w:b/>
                <w:sz w:val="22"/>
                <w:szCs w:val="22"/>
              </w:rPr>
              <w:t>$</w:t>
            </w:r>
            <w:r w:rsidR="00402B18">
              <w:rPr>
                <w:rFonts w:ascii="Times New Roman" w:hAnsi="Times New Roman"/>
                <w:b/>
                <w:sz w:val="22"/>
                <w:szCs w:val="22"/>
              </w:rPr>
              <w:t>6</w:t>
            </w:r>
            <w:r w:rsidR="00AF1F93">
              <w:rPr>
                <w:rFonts w:ascii="Times New Roman" w:hAnsi="Times New Roman"/>
                <w:b/>
                <w:sz w:val="22"/>
                <w:szCs w:val="22"/>
              </w:rPr>
              <w:t>,</w:t>
            </w:r>
            <w:r w:rsidR="00402B18">
              <w:rPr>
                <w:rFonts w:ascii="Times New Roman" w:hAnsi="Times New Roman"/>
                <w:b/>
                <w:sz w:val="22"/>
                <w:szCs w:val="22"/>
              </w:rPr>
              <w:t>056</w:t>
            </w:r>
            <w:r w:rsidR="00115FD8" w:rsidRPr="00F32B91">
              <w:rPr>
                <w:rFonts w:ascii="Times New Roman" w:hAnsi="Times New Roman"/>
                <w:b/>
                <w:sz w:val="22"/>
                <w:szCs w:val="22"/>
              </w:rPr>
              <w:t>.</w:t>
            </w:r>
            <w:r w:rsidR="00402B18">
              <w:rPr>
                <w:rFonts w:ascii="Times New Roman" w:hAnsi="Times New Roman"/>
                <w:b/>
                <w:sz w:val="22"/>
                <w:szCs w:val="22"/>
              </w:rPr>
              <w:t>16</w:t>
            </w:r>
          </w:p>
        </w:tc>
      </w:tr>
    </w:tbl>
    <w:p w:rsidR="00FA4FEE" w:rsidRDefault="00FA4FEE" w:rsidP="00176576">
      <w:pPr>
        <w:pStyle w:val="NormalSS"/>
        <w:ind w:firstLine="0"/>
        <w:jc w:val="left"/>
        <w:rPr>
          <w:i/>
          <w:szCs w:val="24"/>
        </w:rPr>
      </w:pPr>
    </w:p>
    <w:p w:rsidR="00176576" w:rsidRP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rsidR="00B50EE1" w:rsidRDefault="00B50EE1" w:rsidP="00176576">
      <w:pPr>
        <w:pStyle w:val="NormalSS"/>
        <w:ind w:firstLine="0"/>
        <w:jc w:val="left"/>
        <w:rPr>
          <w:b/>
          <w:bCs/>
          <w:color w:val="FF0000"/>
          <w:szCs w:val="24"/>
        </w:rPr>
      </w:pPr>
    </w:p>
    <w:p w:rsidR="00F965A2" w:rsidRPr="004239BD" w:rsidRDefault="00F965A2" w:rsidP="00176576">
      <w:pPr>
        <w:pStyle w:val="NormalSS"/>
        <w:ind w:firstLine="0"/>
        <w:jc w:val="left"/>
        <w:rPr>
          <w:bCs/>
          <w:szCs w:val="24"/>
        </w:rPr>
      </w:pPr>
      <w:r>
        <w:rPr>
          <w:bCs/>
          <w:szCs w:val="24"/>
        </w:rPr>
        <w:t xml:space="preserve">The focus groups and </w:t>
      </w:r>
      <w:r w:rsidR="00115FD8">
        <w:rPr>
          <w:bCs/>
          <w:szCs w:val="24"/>
        </w:rPr>
        <w:t>tele</w:t>
      </w:r>
      <w:r>
        <w:rPr>
          <w:bCs/>
          <w:szCs w:val="24"/>
        </w:rPr>
        <w:t xml:space="preserve">phone interviews </w:t>
      </w:r>
      <w:r w:rsidR="00B537F1">
        <w:rPr>
          <w:bCs/>
          <w:szCs w:val="24"/>
        </w:rPr>
        <w:t>are</w:t>
      </w:r>
      <w:r w:rsidR="009920FA">
        <w:rPr>
          <w:bCs/>
          <w:szCs w:val="24"/>
        </w:rPr>
        <w:t xml:space="preserve"> a one-time project</w:t>
      </w:r>
      <w:r w:rsidR="00B537F1">
        <w:rPr>
          <w:bCs/>
          <w:szCs w:val="24"/>
        </w:rPr>
        <w:t xml:space="preserve"> which, including analyses and reporting will extend over a six week period</w:t>
      </w:r>
      <w:r w:rsidR="00E43462">
        <w:rPr>
          <w:bCs/>
          <w:szCs w:val="24"/>
        </w:rPr>
        <w:t>.</w:t>
      </w:r>
      <w:r w:rsidR="009920FA">
        <w:rPr>
          <w:bCs/>
          <w:szCs w:val="24"/>
        </w:rPr>
        <w:t xml:space="preserve"> </w:t>
      </w:r>
    </w:p>
    <w:p w:rsidR="007A25D0" w:rsidRDefault="007A25D0">
      <w:pPr>
        <w:tabs>
          <w:tab w:val="left" w:pos="-720"/>
          <w:tab w:val="left" w:pos="720"/>
          <w:tab w:val="right" w:pos="1008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1879E5" w:rsidRDefault="001879E5">
      <w:pPr>
        <w:tabs>
          <w:tab w:val="left" w:pos="720"/>
          <w:tab w:val="right" w:pos="8732"/>
        </w:tabs>
        <w:rPr>
          <w:rFonts w:ascii="Times New Roman" w:hAnsi="Times New Roman"/>
          <w:sz w:val="24"/>
          <w:szCs w:val="24"/>
        </w:rPr>
      </w:pPr>
    </w:p>
    <w:p w:rsidR="00DB70CB" w:rsidRPr="00DB70CB" w:rsidRDefault="00DB70CB" w:rsidP="00DB70CB">
      <w:pPr>
        <w:tabs>
          <w:tab w:val="left" w:pos="-720"/>
        </w:tabs>
        <w:rPr>
          <w:rFonts w:ascii="Times New Roman" w:hAnsi="Times New Roman"/>
          <w:sz w:val="24"/>
          <w:szCs w:val="24"/>
        </w:rPr>
      </w:pPr>
      <w:r w:rsidRPr="00DB70CB">
        <w:rPr>
          <w:rFonts w:ascii="Times New Roman" w:hAnsi="Times New Roman"/>
          <w:sz w:val="24"/>
          <w:szCs w:val="24"/>
        </w:rPr>
        <w:t xml:space="preserve">Respondents will not incur capital, start-up, operational, or maintenance costs as a result of participation in this information collection. Respondents </w:t>
      </w:r>
      <w:r>
        <w:rPr>
          <w:rFonts w:ascii="Times New Roman" w:hAnsi="Times New Roman"/>
          <w:sz w:val="24"/>
          <w:szCs w:val="24"/>
        </w:rPr>
        <w:t>will be</w:t>
      </w:r>
      <w:r w:rsidRPr="00DB70CB">
        <w:rPr>
          <w:rFonts w:ascii="Times New Roman" w:hAnsi="Times New Roman"/>
          <w:sz w:val="24"/>
          <w:szCs w:val="24"/>
        </w:rPr>
        <w:t xml:space="preserve"> able to answer all questions without referring to their records and do not need any type of special equipment or processes to complete this information collection.  </w:t>
      </w:r>
      <w:r w:rsidR="00BC2C39">
        <w:rPr>
          <w:rFonts w:ascii="Times New Roman" w:hAnsi="Times New Roman"/>
          <w:sz w:val="24"/>
          <w:szCs w:val="24"/>
        </w:rPr>
        <w:t>The only cost to respondents is their time to participate in the project.</w:t>
      </w:r>
    </w:p>
    <w:p w:rsidR="001879E5" w:rsidRDefault="001879E5">
      <w:pPr>
        <w:tabs>
          <w:tab w:val="left" w:pos="-72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pPr>
        <w:tabs>
          <w:tab w:val="left" w:pos="720"/>
          <w:tab w:val="right" w:pos="8732"/>
        </w:tabs>
        <w:rPr>
          <w:rFonts w:ascii="Times New Roman" w:hAnsi="Times New Roman"/>
          <w:sz w:val="24"/>
          <w:szCs w:val="24"/>
        </w:rPr>
      </w:pPr>
    </w:p>
    <w:p w:rsidR="00DB70CB" w:rsidRPr="00DB70CB" w:rsidRDefault="00DB70CB" w:rsidP="00DB70CB">
      <w:pPr>
        <w:tabs>
          <w:tab w:val="left" w:pos="-720"/>
        </w:tabs>
        <w:rPr>
          <w:rFonts w:ascii="Times New Roman" w:hAnsi="Times New Roman"/>
          <w:sz w:val="24"/>
          <w:szCs w:val="24"/>
        </w:rPr>
      </w:pPr>
      <w:r w:rsidRPr="00DB70CB">
        <w:rPr>
          <w:rFonts w:ascii="Times New Roman" w:hAnsi="Times New Roman"/>
          <w:sz w:val="24"/>
          <w:szCs w:val="24"/>
        </w:rPr>
        <w:t xml:space="preserve">The annualized cost to the government for conducting the evaluation amounts to </w:t>
      </w:r>
      <w:r w:rsidRPr="00DF2FC3">
        <w:rPr>
          <w:rFonts w:ascii="Times New Roman" w:hAnsi="Times New Roman"/>
          <w:sz w:val="24"/>
          <w:szCs w:val="24"/>
        </w:rPr>
        <w:t>$</w:t>
      </w:r>
      <w:r w:rsidR="001F7FA7">
        <w:rPr>
          <w:rFonts w:ascii="Times New Roman" w:hAnsi="Times New Roman"/>
          <w:sz w:val="24"/>
          <w:szCs w:val="24"/>
        </w:rPr>
        <w:t>150</w:t>
      </w:r>
      <w:r w:rsidR="00DF2FC3" w:rsidRPr="00DF2FC3">
        <w:rPr>
          <w:rFonts w:ascii="Times New Roman" w:hAnsi="Times New Roman"/>
          <w:sz w:val="24"/>
          <w:szCs w:val="24"/>
        </w:rPr>
        <w:t>,000</w:t>
      </w:r>
      <w:r w:rsidRPr="001F7FA7">
        <w:rPr>
          <w:rFonts w:ascii="Times New Roman" w:hAnsi="Times New Roman"/>
          <w:sz w:val="24"/>
          <w:szCs w:val="24"/>
        </w:rPr>
        <w:t>.</w:t>
      </w:r>
      <w:r w:rsidRPr="00DB70CB">
        <w:rPr>
          <w:rFonts w:ascii="Times New Roman" w:hAnsi="Times New Roman"/>
          <w:sz w:val="24"/>
          <w:szCs w:val="24"/>
        </w:rPr>
        <w:t xml:space="preserve"> Cost estimates cover the development, deployment, data collection, and analysis of the </w:t>
      </w:r>
      <w:r>
        <w:rPr>
          <w:rFonts w:ascii="Times New Roman" w:hAnsi="Times New Roman"/>
          <w:sz w:val="24"/>
          <w:szCs w:val="24"/>
        </w:rPr>
        <w:t>data</w:t>
      </w:r>
      <w:r w:rsidRPr="00DB70CB">
        <w:rPr>
          <w:rFonts w:ascii="Times New Roman" w:hAnsi="Times New Roman"/>
          <w:sz w:val="24"/>
          <w:szCs w:val="24"/>
        </w:rPr>
        <w:t>, including:</w:t>
      </w:r>
    </w:p>
    <w:p w:rsidR="00DB70CB" w:rsidRPr="00DB70CB" w:rsidRDefault="00DB70CB" w:rsidP="00DB70CB">
      <w:pPr>
        <w:tabs>
          <w:tab w:val="left" w:pos="-720"/>
        </w:tabs>
        <w:rPr>
          <w:rFonts w:ascii="Times New Roman" w:hAnsi="Times New Roman"/>
          <w:sz w:val="24"/>
          <w:szCs w:val="24"/>
        </w:rPr>
      </w:pPr>
    </w:p>
    <w:p w:rsidR="00DB70CB" w:rsidRPr="00DB70CB" w:rsidRDefault="00DB70CB" w:rsidP="00DB70CB">
      <w:pPr>
        <w:numPr>
          <w:ilvl w:val="0"/>
          <w:numId w:val="4"/>
        </w:numPr>
        <w:tabs>
          <w:tab w:val="left" w:pos="-720"/>
        </w:tabs>
        <w:rPr>
          <w:rFonts w:ascii="Times New Roman" w:hAnsi="Times New Roman"/>
          <w:sz w:val="24"/>
          <w:szCs w:val="24"/>
        </w:rPr>
      </w:pPr>
      <w:r w:rsidRPr="00DB70CB">
        <w:rPr>
          <w:rFonts w:ascii="Times New Roman" w:hAnsi="Times New Roman"/>
          <w:sz w:val="24"/>
          <w:szCs w:val="24"/>
        </w:rPr>
        <w:t>Developmen</w:t>
      </w:r>
      <w:r w:rsidR="004C144A">
        <w:rPr>
          <w:rFonts w:ascii="Times New Roman" w:hAnsi="Times New Roman"/>
          <w:sz w:val="24"/>
          <w:szCs w:val="24"/>
        </w:rPr>
        <w:t xml:space="preserve">t of screener </w:t>
      </w:r>
      <w:r w:rsidR="00115FD8">
        <w:rPr>
          <w:rFonts w:ascii="Times New Roman" w:hAnsi="Times New Roman"/>
          <w:sz w:val="24"/>
          <w:szCs w:val="24"/>
        </w:rPr>
        <w:t xml:space="preserve">and guideline </w:t>
      </w:r>
      <w:r w:rsidR="004C144A">
        <w:rPr>
          <w:rFonts w:ascii="Times New Roman" w:hAnsi="Times New Roman"/>
          <w:sz w:val="24"/>
          <w:szCs w:val="24"/>
        </w:rPr>
        <w:t>requirements for focus groups and interviews;</w:t>
      </w:r>
    </w:p>
    <w:p w:rsidR="00DB70CB" w:rsidRPr="00DB70CB" w:rsidRDefault="00DB70CB" w:rsidP="00DB70CB">
      <w:pPr>
        <w:numPr>
          <w:ilvl w:val="0"/>
          <w:numId w:val="4"/>
        </w:numPr>
        <w:tabs>
          <w:tab w:val="left" w:pos="-720"/>
        </w:tabs>
        <w:rPr>
          <w:rFonts w:ascii="Times New Roman" w:hAnsi="Times New Roman"/>
          <w:sz w:val="24"/>
          <w:szCs w:val="24"/>
        </w:rPr>
      </w:pPr>
      <w:r>
        <w:rPr>
          <w:rFonts w:ascii="Times New Roman" w:hAnsi="Times New Roman"/>
          <w:sz w:val="24"/>
          <w:szCs w:val="24"/>
        </w:rPr>
        <w:t>Depl</w:t>
      </w:r>
      <w:r w:rsidR="004C144A">
        <w:rPr>
          <w:rFonts w:ascii="Times New Roman" w:hAnsi="Times New Roman"/>
          <w:sz w:val="24"/>
          <w:szCs w:val="24"/>
        </w:rPr>
        <w:t xml:space="preserve">oyment of the focus groups and </w:t>
      </w:r>
      <w:r>
        <w:rPr>
          <w:rFonts w:ascii="Times New Roman" w:hAnsi="Times New Roman"/>
          <w:sz w:val="24"/>
          <w:szCs w:val="24"/>
        </w:rPr>
        <w:t>interviews</w:t>
      </w:r>
      <w:r w:rsidRPr="00DB70CB">
        <w:rPr>
          <w:rFonts w:ascii="Times New Roman" w:hAnsi="Times New Roman"/>
          <w:sz w:val="24"/>
          <w:szCs w:val="24"/>
        </w:rPr>
        <w:t xml:space="preserve">, and management of </w:t>
      </w:r>
      <w:r>
        <w:rPr>
          <w:rFonts w:ascii="Times New Roman" w:hAnsi="Times New Roman"/>
          <w:sz w:val="24"/>
          <w:szCs w:val="24"/>
        </w:rPr>
        <w:t>implementation</w:t>
      </w:r>
      <w:r w:rsidR="004C144A">
        <w:rPr>
          <w:rFonts w:ascii="Times New Roman" w:hAnsi="Times New Roman"/>
          <w:sz w:val="24"/>
          <w:szCs w:val="24"/>
        </w:rPr>
        <w:t>;</w:t>
      </w:r>
    </w:p>
    <w:p w:rsidR="00DB70CB" w:rsidRPr="00DB70CB" w:rsidRDefault="00DB70CB" w:rsidP="00DB70CB">
      <w:pPr>
        <w:numPr>
          <w:ilvl w:val="0"/>
          <w:numId w:val="4"/>
        </w:numPr>
        <w:tabs>
          <w:tab w:val="left" w:pos="-720"/>
        </w:tabs>
        <w:rPr>
          <w:rFonts w:ascii="Times New Roman" w:hAnsi="Times New Roman"/>
          <w:sz w:val="24"/>
          <w:szCs w:val="24"/>
        </w:rPr>
      </w:pPr>
      <w:r w:rsidRPr="00DB70CB">
        <w:rPr>
          <w:rFonts w:ascii="Times New Roman" w:hAnsi="Times New Roman"/>
          <w:sz w:val="24"/>
          <w:szCs w:val="24"/>
        </w:rPr>
        <w:t>Data analysis and reporting</w:t>
      </w:r>
      <w:r w:rsidR="004C144A">
        <w:rPr>
          <w:rFonts w:ascii="Times New Roman" w:hAnsi="Times New Roman"/>
          <w:sz w:val="24"/>
          <w:szCs w:val="24"/>
        </w:rPr>
        <w:t>; and</w:t>
      </w:r>
    </w:p>
    <w:p w:rsidR="001879E5" w:rsidRDefault="00DB70CB" w:rsidP="00DB70CB">
      <w:pPr>
        <w:numPr>
          <w:ilvl w:val="0"/>
          <w:numId w:val="4"/>
        </w:numPr>
        <w:tabs>
          <w:tab w:val="left" w:pos="-720"/>
        </w:tabs>
        <w:rPr>
          <w:rFonts w:ascii="Times New Roman" w:hAnsi="Times New Roman"/>
          <w:sz w:val="24"/>
          <w:szCs w:val="24"/>
        </w:rPr>
      </w:pPr>
      <w:r w:rsidRPr="00DB70CB">
        <w:rPr>
          <w:rFonts w:ascii="Times New Roman" w:hAnsi="Times New Roman"/>
          <w:sz w:val="24"/>
          <w:szCs w:val="24"/>
        </w:rPr>
        <w:t>Creation of a final written summary report</w:t>
      </w:r>
      <w:r w:rsidR="00AF05ED">
        <w:rPr>
          <w:rFonts w:ascii="Times New Roman" w:hAnsi="Times New Roman"/>
          <w:sz w:val="24"/>
          <w:szCs w:val="24"/>
        </w:rPr>
        <w:t>s</w:t>
      </w:r>
      <w:r w:rsidRPr="00DB70CB">
        <w:rPr>
          <w:rFonts w:ascii="Times New Roman" w:hAnsi="Times New Roman"/>
          <w:sz w:val="24"/>
          <w:szCs w:val="24"/>
        </w:rPr>
        <w:t xml:space="preserve"> for </w:t>
      </w:r>
      <w:r w:rsidR="00F965A2">
        <w:rPr>
          <w:rFonts w:ascii="Times New Roman" w:hAnsi="Times New Roman"/>
          <w:sz w:val="24"/>
          <w:szCs w:val="24"/>
        </w:rPr>
        <w:t>BCRS</w:t>
      </w:r>
      <w:r w:rsidR="004C144A">
        <w:rPr>
          <w:rFonts w:ascii="Times New Roman" w:hAnsi="Times New Roman"/>
          <w:sz w:val="24"/>
          <w:szCs w:val="24"/>
        </w:rPr>
        <w:t>.</w:t>
      </w:r>
    </w:p>
    <w:p w:rsidR="00CF65C3" w:rsidRDefault="00CF65C3" w:rsidP="00CF65C3">
      <w:pPr>
        <w:tabs>
          <w:tab w:val="left" w:pos="-720"/>
        </w:tabs>
        <w:rPr>
          <w:rFonts w:ascii="Times New Roman" w:hAnsi="Times New Roman"/>
          <w:sz w:val="24"/>
          <w:szCs w:val="24"/>
        </w:rPr>
      </w:pPr>
    </w:p>
    <w:tbl>
      <w:tblPr>
        <w:tblStyle w:val="TableGrid"/>
        <w:tblW w:w="0" w:type="auto"/>
        <w:tblLook w:val="04A0"/>
      </w:tblPr>
      <w:tblGrid>
        <w:gridCol w:w="3192"/>
        <w:gridCol w:w="3192"/>
      </w:tblGrid>
      <w:tr w:rsidR="00DF2FC3" w:rsidTr="00CF65C3">
        <w:tc>
          <w:tcPr>
            <w:tcW w:w="3192" w:type="dxa"/>
          </w:tcPr>
          <w:p w:rsidR="00DF2FC3" w:rsidRDefault="00DF2FC3" w:rsidP="00CF65C3">
            <w:pPr>
              <w:tabs>
                <w:tab w:val="left" w:pos="-720"/>
              </w:tabs>
              <w:jc w:val="center"/>
              <w:rPr>
                <w:rFonts w:ascii="Times New Roman" w:hAnsi="Times New Roman"/>
                <w:sz w:val="24"/>
                <w:szCs w:val="24"/>
              </w:rPr>
            </w:pPr>
          </w:p>
        </w:tc>
        <w:tc>
          <w:tcPr>
            <w:tcW w:w="3192" w:type="dxa"/>
          </w:tcPr>
          <w:p w:rsidR="00DF2FC3" w:rsidRDefault="00DF2FC3" w:rsidP="00CF65C3">
            <w:pPr>
              <w:tabs>
                <w:tab w:val="left" w:pos="-720"/>
              </w:tabs>
              <w:jc w:val="center"/>
              <w:rPr>
                <w:rFonts w:ascii="Times New Roman" w:hAnsi="Times New Roman"/>
                <w:sz w:val="24"/>
                <w:szCs w:val="24"/>
              </w:rPr>
            </w:pPr>
            <w:r>
              <w:rPr>
                <w:rFonts w:ascii="Times New Roman" w:hAnsi="Times New Roman"/>
                <w:sz w:val="24"/>
                <w:szCs w:val="24"/>
              </w:rPr>
              <w:t>Costs</w:t>
            </w:r>
          </w:p>
        </w:tc>
      </w:tr>
      <w:tr w:rsidR="00DF2FC3" w:rsidTr="00CF65C3">
        <w:tc>
          <w:tcPr>
            <w:tcW w:w="3192" w:type="dxa"/>
          </w:tcPr>
          <w:p w:rsidR="00DF2FC3" w:rsidRDefault="00DF2FC3" w:rsidP="004163D9">
            <w:pPr>
              <w:tabs>
                <w:tab w:val="left" w:pos="-720"/>
              </w:tabs>
              <w:rPr>
                <w:rFonts w:ascii="Times New Roman" w:hAnsi="Times New Roman"/>
                <w:sz w:val="24"/>
                <w:szCs w:val="24"/>
              </w:rPr>
            </w:pPr>
            <w:r>
              <w:rPr>
                <w:rFonts w:ascii="Times New Roman" w:hAnsi="Times New Roman"/>
                <w:sz w:val="24"/>
                <w:szCs w:val="24"/>
              </w:rPr>
              <w:t>Ogilvy Washington</w:t>
            </w:r>
          </w:p>
        </w:tc>
        <w:tc>
          <w:tcPr>
            <w:tcW w:w="3192" w:type="dxa"/>
          </w:tcPr>
          <w:p w:rsidR="00DF2FC3" w:rsidRDefault="00DF2FC3" w:rsidP="004F65C3">
            <w:pPr>
              <w:tabs>
                <w:tab w:val="left" w:pos="-720"/>
              </w:tabs>
              <w:jc w:val="center"/>
              <w:rPr>
                <w:rFonts w:ascii="Times New Roman" w:hAnsi="Times New Roman"/>
                <w:sz w:val="24"/>
                <w:szCs w:val="24"/>
              </w:rPr>
            </w:pPr>
            <w:r>
              <w:rPr>
                <w:rFonts w:ascii="Times New Roman" w:hAnsi="Times New Roman"/>
                <w:sz w:val="24"/>
                <w:szCs w:val="24"/>
              </w:rPr>
              <w:t>$45,563.05</w:t>
            </w:r>
          </w:p>
        </w:tc>
      </w:tr>
      <w:tr w:rsidR="00DF2FC3" w:rsidTr="00CF65C3">
        <w:tc>
          <w:tcPr>
            <w:tcW w:w="3192" w:type="dxa"/>
          </w:tcPr>
          <w:p w:rsidR="00DF2FC3" w:rsidRPr="00DF2FC3" w:rsidRDefault="00DF2FC3" w:rsidP="00CF65C3">
            <w:pPr>
              <w:tabs>
                <w:tab w:val="left" w:pos="-720"/>
              </w:tabs>
              <w:rPr>
                <w:rFonts w:ascii="Times New Roman" w:hAnsi="Times New Roman"/>
                <w:sz w:val="24"/>
                <w:szCs w:val="24"/>
              </w:rPr>
            </w:pPr>
            <w:r w:rsidRPr="00DF2FC3">
              <w:rPr>
                <w:rFonts w:ascii="Times New Roman" w:hAnsi="Times New Roman"/>
                <w:sz w:val="24"/>
                <w:szCs w:val="24"/>
              </w:rPr>
              <w:t>HRSA/BCRS</w:t>
            </w:r>
          </w:p>
        </w:tc>
        <w:tc>
          <w:tcPr>
            <w:tcW w:w="3192" w:type="dxa"/>
          </w:tcPr>
          <w:p w:rsidR="00DF2FC3" w:rsidRPr="00DF2FC3" w:rsidRDefault="000C3DD0" w:rsidP="000C3DD0">
            <w:pPr>
              <w:tabs>
                <w:tab w:val="left" w:pos="-720"/>
              </w:tabs>
              <w:rPr>
                <w:rFonts w:ascii="Times New Roman" w:hAnsi="Times New Roman"/>
                <w:sz w:val="24"/>
                <w:szCs w:val="24"/>
              </w:rPr>
            </w:pPr>
            <w:r>
              <w:rPr>
                <w:rFonts w:ascii="Times New Roman" w:hAnsi="Times New Roman"/>
                <w:sz w:val="24"/>
                <w:szCs w:val="24"/>
              </w:rPr>
              <w:t xml:space="preserve">                $  </w:t>
            </w:r>
            <w:r w:rsidR="00DF2FC3">
              <w:rPr>
                <w:rFonts w:ascii="Times New Roman" w:hAnsi="Times New Roman"/>
                <w:sz w:val="24"/>
                <w:szCs w:val="24"/>
              </w:rPr>
              <w:t>6</w:t>
            </w:r>
            <w:r w:rsidR="00DF2FC3" w:rsidRPr="00DF2FC3">
              <w:rPr>
                <w:rFonts w:ascii="Times New Roman" w:hAnsi="Times New Roman"/>
                <w:sz w:val="24"/>
                <w:szCs w:val="24"/>
              </w:rPr>
              <w:t>,000</w:t>
            </w:r>
            <w:r>
              <w:rPr>
                <w:rFonts w:ascii="Times New Roman" w:hAnsi="Times New Roman"/>
                <w:sz w:val="24"/>
                <w:szCs w:val="24"/>
              </w:rPr>
              <w:t>.00</w:t>
            </w:r>
          </w:p>
        </w:tc>
      </w:tr>
      <w:tr w:rsidR="00DF2FC3" w:rsidTr="00CF65C3">
        <w:tc>
          <w:tcPr>
            <w:tcW w:w="3192" w:type="dxa"/>
          </w:tcPr>
          <w:p w:rsidR="00DF2FC3" w:rsidRDefault="00DF2FC3" w:rsidP="00CF65C3">
            <w:pPr>
              <w:tabs>
                <w:tab w:val="left" w:pos="-720"/>
              </w:tabs>
              <w:rPr>
                <w:rFonts w:ascii="Times New Roman" w:hAnsi="Times New Roman"/>
                <w:sz w:val="24"/>
                <w:szCs w:val="24"/>
              </w:rPr>
            </w:pPr>
            <w:r>
              <w:rPr>
                <w:rFonts w:ascii="Times New Roman" w:hAnsi="Times New Roman"/>
                <w:sz w:val="24"/>
                <w:szCs w:val="24"/>
              </w:rPr>
              <w:t>Russell Research</w:t>
            </w:r>
          </w:p>
        </w:tc>
        <w:tc>
          <w:tcPr>
            <w:tcW w:w="3192" w:type="dxa"/>
          </w:tcPr>
          <w:p w:rsidR="00DF2FC3" w:rsidRDefault="00DF2FC3" w:rsidP="004F65C3">
            <w:pPr>
              <w:tabs>
                <w:tab w:val="left" w:pos="-720"/>
              </w:tabs>
              <w:jc w:val="center"/>
              <w:rPr>
                <w:rFonts w:ascii="Times New Roman" w:hAnsi="Times New Roman"/>
                <w:sz w:val="24"/>
                <w:szCs w:val="24"/>
              </w:rPr>
            </w:pPr>
            <w:bookmarkStart w:id="0" w:name="OLE_LINK1"/>
            <w:r>
              <w:rPr>
                <w:rFonts w:ascii="Times New Roman" w:hAnsi="Times New Roman"/>
                <w:sz w:val="24"/>
                <w:szCs w:val="24"/>
              </w:rPr>
              <w:t xml:space="preserve">$47,800.00 </w:t>
            </w:r>
            <w:r w:rsidRPr="00AF05ED">
              <w:rPr>
                <w:rFonts w:ascii="Times New Roman" w:hAnsi="Times New Roman"/>
                <w:sz w:val="22"/>
                <w:szCs w:val="22"/>
              </w:rPr>
              <w:t>+/-10%</w:t>
            </w:r>
            <w:bookmarkEnd w:id="0"/>
          </w:p>
        </w:tc>
      </w:tr>
      <w:tr w:rsidR="00DF2FC3" w:rsidTr="00CF65C3">
        <w:tc>
          <w:tcPr>
            <w:tcW w:w="3192" w:type="dxa"/>
          </w:tcPr>
          <w:p w:rsidR="00DF2FC3" w:rsidRDefault="00DF2FC3" w:rsidP="00CF65C3">
            <w:pPr>
              <w:tabs>
                <w:tab w:val="left" w:pos="-720"/>
              </w:tabs>
              <w:rPr>
                <w:rFonts w:ascii="Times New Roman" w:hAnsi="Times New Roman"/>
                <w:sz w:val="24"/>
                <w:szCs w:val="24"/>
              </w:rPr>
            </w:pPr>
            <w:proofErr w:type="spellStart"/>
            <w:r w:rsidRPr="004A1F8D">
              <w:rPr>
                <w:rFonts w:ascii="Times New Roman" w:hAnsi="Times New Roman"/>
                <w:sz w:val="24"/>
                <w:szCs w:val="24"/>
              </w:rPr>
              <w:t>Stratalys</w:t>
            </w:r>
            <w:proofErr w:type="spellEnd"/>
            <w:r w:rsidRPr="004A1F8D">
              <w:rPr>
                <w:rFonts w:ascii="Times New Roman" w:hAnsi="Times New Roman"/>
                <w:sz w:val="24"/>
                <w:szCs w:val="24"/>
              </w:rPr>
              <w:t xml:space="preserve"> </w:t>
            </w:r>
            <w:r>
              <w:rPr>
                <w:rFonts w:ascii="Times New Roman" w:hAnsi="Times New Roman"/>
                <w:sz w:val="24"/>
                <w:szCs w:val="24"/>
              </w:rPr>
              <w:t>Research</w:t>
            </w:r>
          </w:p>
        </w:tc>
        <w:tc>
          <w:tcPr>
            <w:tcW w:w="3192" w:type="dxa"/>
          </w:tcPr>
          <w:p w:rsidR="00DF2FC3" w:rsidRDefault="00DF2FC3" w:rsidP="00AF05ED">
            <w:pPr>
              <w:tabs>
                <w:tab w:val="left" w:pos="-720"/>
              </w:tabs>
              <w:jc w:val="center"/>
              <w:rPr>
                <w:rFonts w:ascii="Times New Roman" w:hAnsi="Times New Roman"/>
                <w:sz w:val="24"/>
                <w:szCs w:val="24"/>
              </w:rPr>
            </w:pPr>
            <w:r>
              <w:rPr>
                <w:rFonts w:ascii="Times New Roman" w:hAnsi="Times New Roman"/>
                <w:sz w:val="24"/>
                <w:szCs w:val="24"/>
              </w:rPr>
              <w:t xml:space="preserve">$51,500.00 </w:t>
            </w:r>
            <w:r w:rsidRPr="00AF05ED">
              <w:rPr>
                <w:rFonts w:ascii="Times New Roman" w:hAnsi="Times New Roman"/>
                <w:sz w:val="22"/>
                <w:szCs w:val="22"/>
              </w:rPr>
              <w:t>+/-10%</w:t>
            </w:r>
          </w:p>
        </w:tc>
      </w:tr>
    </w:tbl>
    <w:p w:rsidR="00CF65C3" w:rsidRDefault="00CF65C3" w:rsidP="00CF65C3">
      <w:pPr>
        <w:tabs>
          <w:tab w:val="left" w:pos="-720"/>
        </w:tabs>
        <w:rPr>
          <w:rFonts w:ascii="Times New Roman" w:hAnsi="Times New Roman"/>
          <w:sz w:val="24"/>
          <w:szCs w:val="24"/>
        </w:rPr>
      </w:pPr>
    </w:p>
    <w:p w:rsidR="00DB70CB" w:rsidRDefault="00DB70CB" w:rsidP="00DB70CB">
      <w:pPr>
        <w:tabs>
          <w:tab w:val="left" w:pos="-720"/>
        </w:tabs>
        <w:rPr>
          <w:rFonts w:ascii="Times New Roman" w:hAnsi="Times New Roman"/>
          <w:sz w:val="24"/>
          <w:szCs w:val="24"/>
        </w:rPr>
      </w:pPr>
    </w:p>
    <w:p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pPr>
        <w:tabs>
          <w:tab w:val="left" w:pos="-720"/>
          <w:tab w:val="left" w:pos="44"/>
          <w:tab w:val="left" w:pos="720"/>
          <w:tab w:val="right" w:pos="8732"/>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945DFA" w:rsidRDefault="00945DFA">
      <w:pPr>
        <w:tabs>
          <w:tab w:val="left" w:pos="-720"/>
          <w:tab w:val="right" w:pos="8692"/>
        </w:tabs>
        <w:rPr>
          <w:rFonts w:ascii="Times New Roman" w:hAnsi="Times New Roman"/>
          <w:sz w:val="24"/>
          <w:szCs w:val="24"/>
        </w:rPr>
      </w:pPr>
    </w:p>
    <w:p w:rsidR="00945DFA" w:rsidRPr="00945DFA" w:rsidRDefault="00BC2C39">
      <w:pPr>
        <w:tabs>
          <w:tab w:val="left" w:pos="-720"/>
          <w:tab w:val="right" w:pos="8692"/>
        </w:tabs>
        <w:rPr>
          <w:rFonts w:ascii="Times New Roman" w:hAnsi="Times New Roman"/>
          <w:sz w:val="24"/>
          <w:szCs w:val="24"/>
        </w:rPr>
      </w:pPr>
      <w:r>
        <w:rPr>
          <w:rFonts w:ascii="Times New Roman" w:hAnsi="Times New Roman"/>
          <w:sz w:val="24"/>
          <w:szCs w:val="24"/>
        </w:rPr>
        <w:t xml:space="preserve">The project will take place over </w:t>
      </w:r>
      <w:r w:rsidR="00B537F1">
        <w:rPr>
          <w:rFonts w:ascii="Times New Roman" w:hAnsi="Times New Roman"/>
          <w:sz w:val="24"/>
          <w:szCs w:val="24"/>
        </w:rPr>
        <w:t xml:space="preserve">approximately two </w:t>
      </w:r>
      <w:r w:rsidRPr="009920FA">
        <w:rPr>
          <w:rFonts w:ascii="Times New Roman" w:hAnsi="Times New Roman"/>
          <w:sz w:val="24"/>
          <w:szCs w:val="24"/>
        </w:rPr>
        <w:t>months</w:t>
      </w:r>
      <w:r w:rsidR="00B537F1">
        <w:rPr>
          <w:rFonts w:ascii="Times New Roman" w:hAnsi="Times New Roman"/>
          <w:sz w:val="24"/>
          <w:szCs w:val="24"/>
        </w:rPr>
        <w:t>—we estimate six weeks after OMB approval</w:t>
      </w:r>
      <w:r>
        <w:rPr>
          <w:rFonts w:ascii="Times New Roman" w:hAnsi="Times New Roman"/>
          <w:sz w:val="24"/>
          <w:szCs w:val="24"/>
        </w:rPr>
        <w:t xml:space="preserve">.  </w:t>
      </w:r>
      <w:r w:rsidR="00D877E1">
        <w:rPr>
          <w:rFonts w:ascii="Times New Roman" w:hAnsi="Times New Roman"/>
          <w:sz w:val="24"/>
          <w:szCs w:val="24"/>
        </w:rPr>
        <w:t>The information gathered</w:t>
      </w:r>
      <w:r w:rsidR="00945DFA" w:rsidRPr="00945DFA">
        <w:rPr>
          <w:rFonts w:ascii="Times New Roman" w:hAnsi="Times New Roman"/>
          <w:sz w:val="24"/>
          <w:szCs w:val="24"/>
        </w:rPr>
        <w:t xml:space="preserve"> will be limited for program, messaging, </w:t>
      </w:r>
      <w:r w:rsidR="00D877E1">
        <w:rPr>
          <w:rFonts w:ascii="Times New Roman" w:hAnsi="Times New Roman"/>
          <w:sz w:val="24"/>
          <w:szCs w:val="24"/>
        </w:rPr>
        <w:t xml:space="preserve">identity </w:t>
      </w:r>
      <w:r w:rsidR="00F965A2">
        <w:rPr>
          <w:rFonts w:ascii="Times New Roman" w:hAnsi="Times New Roman"/>
          <w:sz w:val="24"/>
          <w:szCs w:val="24"/>
        </w:rPr>
        <w:t>and material improvement. BCRS</w:t>
      </w:r>
      <w:r w:rsidR="00945DFA" w:rsidRPr="00945DFA">
        <w:rPr>
          <w:rFonts w:ascii="Times New Roman" w:hAnsi="Times New Roman"/>
          <w:sz w:val="24"/>
          <w:szCs w:val="24"/>
        </w:rPr>
        <w:t xml:space="preserve"> intends to report the information collection results exclusively for internal use</w:t>
      </w:r>
      <w:r w:rsidR="00945DFA">
        <w:rPr>
          <w:rFonts w:ascii="Times New Roman" w:hAnsi="Times New Roman"/>
          <w:sz w:val="24"/>
          <w:szCs w:val="24"/>
        </w:rPr>
        <w:t xml:space="preserve"> or to inform communications activities</w:t>
      </w:r>
      <w:r w:rsidR="00945DFA" w:rsidRPr="00945DFA">
        <w:rPr>
          <w:rFonts w:ascii="Times New Roman" w:hAnsi="Times New Roman"/>
          <w:sz w:val="24"/>
          <w:szCs w:val="24"/>
        </w:rPr>
        <w:t>.</w:t>
      </w:r>
    </w:p>
    <w:p w:rsidR="00DB70CB" w:rsidRDefault="00DB70CB">
      <w:pPr>
        <w:tabs>
          <w:tab w:val="left" w:pos="-720"/>
          <w:tab w:val="right" w:pos="8692"/>
        </w:tabs>
        <w:rPr>
          <w:rFonts w:ascii="Times New Roman" w:hAnsi="Times New Roman"/>
          <w:sz w:val="24"/>
          <w:szCs w:val="24"/>
        </w:rPr>
      </w:pPr>
    </w:p>
    <w:p w:rsidR="00945DFA" w:rsidRDefault="0025283A">
      <w:pPr>
        <w:tabs>
          <w:tab w:val="left" w:pos="-720"/>
          <w:tab w:val="right" w:pos="8692"/>
        </w:tabs>
        <w:rPr>
          <w:rFonts w:ascii="Times New Roman" w:hAnsi="Times New Roman"/>
          <w:sz w:val="24"/>
          <w:szCs w:val="24"/>
        </w:rPr>
      </w:pPr>
      <w:r>
        <w:rPr>
          <w:rFonts w:ascii="Times New Roman" w:hAnsi="Times New Roman"/>
          <w:sz w:val="24"/>
          <w:szCs w:val="24"/>
        </w:rPr>
        <w:t>TABLE2</w:t>
      </w:r>
      <w:r w:rsidR="00945DFA">
        <w:rPr>
          <w:rFonts w:ascii="Times New Roman" w:hAnsi="Times New Roman"/>
          <w:sz w:val="24"/>
          <w:szCs w:val="24"/>
        </w:rPr>
        <w:t>: PROJECT TIME SCHEDULE</w:t>
      </w:r>
    </w:p>
    <w:tbl>
      <w:tblPr>
        <w:tblW w:w="0" w:type="auto"/>
        <w:jc w:val="center"/>
        <w:tblInd w:w="-1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4411"/>
        <w:gridCol w:w="4177"/>
      </w:tblGrid>
      <w:tr w:rsidR="00DB70CB" w:rsidRPr="00DB70CB">
        <w:trPr>
          <w:cantSplit/>
          <w:trHeight w:val="403"/>
          <w:jc w:val="center"/>
        </w:trPr>
        <w:tc>
          <w:tcPr>
            <w:tcW w:w="4411" w:type="dxa"/>
            <w:shd w:val="clear" w:color="auto" w:fill="auto"/>
          </w:tcPr>
          <w:p w:rsidR="00DB70CB" w:rsidRPr="00DB70CB" w:rsidRDefault="00DB70CB" w:rsidP="00DB70CB">
            <w:pPr>
              <w:tabs>
                <w:tab w:val="left" w:pos="-720"/>
                <w:tab w:val="right" w:pos="8692"/>
              </w:tabs>
              <w:rPr>
                <w:rFonts w:ascii="Times New Roman" w:hAnsi="Times New Roman"/>
                <w:sz w:val="24"/>
                <w:szCs w:val="24"/>
              </w:rPr>
            </w:pPr>
            <w:r w:rsidRPr="00DB70CB">
              <w:rPr>
                <w:rFonts w:ascii="Times New Roman" w:hAnsi="Times New Roman"/>
                <w:b/>
                <w:sz w:val="24"/>
                <w:szCs w:val="24"/>
              </w:rPr>
              <w:tab/>
              <w:t>Activity</w:t>
            </w:r>
          </w:p>
        </w:tc>
        <w:tc>
          <w:tcPr>
            <w:tcW w:w="4177" w:type="dxa"/>
            <w:shd w:val="clear" w:color="auto" w:fill="auto"/>
          </w:tcPr>
          <w:p w:rsidR="00DB70CB" w:rsidRPr="00DB70CB" w:rsidRDefault="00DB70CB" w:rsidP="00DB70CB">
            <w:pPr>
              <w:tabs>
                <w:tab w:val="left" w:pos="-720"/>
                <w:tab w:val="right" w:pos="8692"/>
              </w:tabs>
              <w:rPr>
                <w:rFonts w:ascii="Times New Roman" w:hAnsi="Times New Roman"/>
                <w:b/>
                <w:sz w:val="24"/>
                <w:szCs w:val="24"/>
              </w:rPr>
            </w:pPr>
            <w:r w:rsidRPr="00DB70CB">
              <w:rPr>
                <w:rFonts w:ascii="Times New Roman" w:hAnsi="Times New Roman"/>
                <w:b/>
                <w:sz w:val="24"/>
                <w:szCs w:val="24"/>
              </w:rPr>
              <w:tab/>
              <w:t>Time Schedule</w:t>
            </w:r>
          </w:p>
        </w:tc>
      </w:tr>
      <w:tr w:rsidR="00DB70CB" w:rsidRPr="00DB70CB">
        <w:trPr>
          <w:cantSplit/>
          <w:trHeight w:val="403"/>
          <w:jc w:val="center"/>
        </w:trPr>
        <w:tc>
          <w:tcPr>
            <w:tcW w:w="4411" w:type="dxa"/>
            <w:shd w:val="clear" w:color="auto" w:fill="FFFFFF"/>
          </w:tcPr>
          <w:p w:rsidR="00DB70CB" w:rsidRPr="00DB70CB" w:rsidRDefault="00DB70CB" w:rsidP="00DB70CB">
            <w:pPr>
              <w:tabs>
                <w:tab w:val="left" w:pos="-720"/>
                <w:tab w:val="right" w:pos="8692"/>
              </w:tabs>
              <w:rPr>
                <w:rFonts w:ascii="Times New Roman" w:hAnsi="Times New Roman"/>
                <w:sz w:val="24"/>
                <w:szCs w:val="24"/>
              </w:rPr>
            </w:pPr>
            <w:r w:rsidRPr="00DB70CB">
              <w:rPr>
                <w:rFonts w:ascii="Times New Roman" w:hAnsi="Times New Roman"/>
                <w:sz w:val="24"/>
                <w:szCs w:val="24"/>
              </w:rPr>
              <w:t>Begin data collection.</w:t>
            </w:r>
          </w:p>
        </w:tc>
        <w:tc>
          <w:tcPr>
            <w:tcW w:w="4177" w:type="dxa"/>
            <w:shd w:val="clear" w:color="auto" w:fill="FFFFFF"/>
          </w:tcPr>
          <w:p w:rsidR="00DB70CB" w:rsidRPr="00DB70CB" w:rsidRDefault="00DB70CB" w:rsidP="00DB70CB">
            <w:pPr>
              <w:tabs>
                <w:tab w:val="left" w:pos="-720"/>
                <w:tab w:val="right" w:pos="8692"/>
              </w:tabs>
              <w:rPr>
                <w:rFonts w:ascii="Times New Roman" w:hAnsi="Times New Roman"/>
                <w:sz w:val="24"/>
                <w:szCs w:val="24"/>
              </w:rPr>
            </w:pPr>
            <w:r w:rsidRPr="00DB70CB">
              <w:rPr>
                <w:rFonts w:ascii="Times New Roman" w:hAnsi="Times New Roman"/>
                <w:sz w:val="24"/>
                <w:szCs w:val="24"/>
              </w:rPr>
              <w:t>1 week after OMB approval</w:t>
            </w:r>
          </w:p>
        </w:tc>
      </w:tr>
      <w:tr w:rsidR="00DB70CB" w:rsidRPr="00DB70CB">
        <w:trPr>
          <w:cantSplit/>
          <w:trHeight w:val="403"/>
          <w:jc w:val="center"/>
        </w:trPr>
        <w:tc>
          <w:tcPr>
            <w:tcW w:w="4411" w:type="dxa"/>
            <w:shd w:val="clear" w:color="auto" w:fill="FFFFFF"/>
          </w:tcPr>
          <w:p w:rsidR="00DB70CB" w:rsidRPr="00DB70CB" w:rsidRDefault="00DB70CB" w:rsidP="00DB70CB">
            <w:pPr>
              <w:tabs>
                <w:tab w:val="left" w:pos="-720"/>
                <w:tab w:val="right" w:pos="8692"/>
              </w:tabs>
              <w:rPr>
                <w:rFonts w:ascii="Times New Roman" w:hAnsi="Times New Roman"/>
                <w:sz w:val="24"/>
                <w:szCs w:val="24"/>
              </w:rPr>
            </w:pPr>
            <w:r w:rsidRPr="00DB70CB">
              <w:rPr>
                <w:rFonts w:ascii="Times New Roman" w:hAnsi="Times New Roman"/>
                <w:sz w:val="24"/>
                <w:szCs w:val="24"/>
              </w:rPr>
              <w:t xml:space="preserve">Finish data collection. </w:t>
            </w:r>
          </w:p>
        </w:tc>
        <w:tc>
          <w:tcPr>
            <w:tcW w:w="4177" w:type="dxa"/>
            <w:shd w:val="clear" w:color="auto" w:fill="FFFFFF"/>
          </w:tcPr>
          <w:p w:rsidR="00DB70CB" w:rsidRPr="00DB70CB" w:rsidRDefault="00945DFA" w:rsidP="00DB70CB">
            <w:pPr>
              <w:tabs>
                <w:tab w:val="left" w:pos="-720"/>
                <w:tab w:val="right" w:pos="8692"/>
              </w:tabs>
              <w:rPr>
                <w:rFonts w:ascii="Times New Roman" w:hAnsi="Times New Roman"/>
                <w:sz w:val="24"/>
                <w:szCs w:val="24"/>
              </w:rPr>
            </w:pPr>
            <w:r>
              <w:rPr>
                <w:rFonts w:ascii="Times New Roman" w:hAnsi="Times New Roman"/>
                <w:sz w:val="24"/>
                <w:szCs w:val="24"/>
              </w:rPr>
              <w:t>4 weeks</w:t>
            </w:r>
            <w:r w:rsidR="00DB70CB" w:rsidRPr="00DB70CB">
              <w:rPr>
                <w:rFonts w:ascii="Times New Roman" w:hAnsi="Times New Roman"/>
                <w:sz w:val="24"/>
                <w:szCs w:val="24"/>
              </w:rPr>
              <w:t xml:space="preserve"> after OMB approval</w:t>
            </w:r>
          </w:p>
        </w:tc>
      </w:tr>
      <w:tr w:rsidR="00DB70CB" w:rsidRPr="00DB70CB">
        <w:trPr>
          <w:cantSplit/>
          <w:trHeight w:val="403"/>
          <w:jc w:val="center"/>
        </w:trPr>
        <w:tc>
          <w:tcPr>
            <w:tcW w:w="4411" w:type="dxa"/>
            <w:shd w:val="clear" w:color="auto" w:fill="FFFFFF"/>
          </w:tcPr>
          <w:p w:rsidR="00DB70CB" w:rsidRPr="00DB70CB" w:rsidRDefault="00DB70CB" w:rsidP="00DB70CB">
            <w:pPr>
              <w:tabs>
                <w:tab w:val="left" w:pos="-720"/>
                <w:tab w:val="right" w:pos="8692"/>
              </w:tabs>
              <w:rPr>
                <w:rFonts w:ascii="Times New Roman" w:hAnsi="Times New Roman"/>
                <w:sz w:val="24"/>
                <w:szCs w:val="24"/>
              </w:rPr>
            </w:pPr>
            <w:r w:rsidRPr="00DB70CB">
              <w:rPr>
                <w:rFonts w:ascii="Times New Roman" w:hAnsi="Times New Roman"/>
                <w:sz w:val="24"/>
                <w:szCs w:val="24"/>
              </w:rPr>
              <w:t>Data analysis &amp; reporting</w:t>
            </w:r>
          </w:p>
        </w:tc>
        <w:tc>
          <w:tcPr>
            <w:tcW w:w="4177" w:type="dxa"/>
            <w:shd w:val="clear" w:color="auto" w:fill="FFFFFF"/>
          </w:tcPr>
          <w:p w:rsidR="00DB70CB" w:rsidRPr="00DB70CB" w:rsidRDefault="00945DFA" w:rsidP="00DB70CB">
            <w:pPr>
              <w:tabs>
                <w:tab w:val="left" w:pos="-720"/>
                <w:tab w:val="right" w:pos="8692"/>
              </w:tabs>
              <w:rPr>
                <w:rFonts w:ascii="Times New Roman" w:hAnsi="Times New Roman"/>
                <w:sz w:val="24"/>
                <w:szCs w:val="24"/>
              </w:rPr>
            </w:pPr>
            <w:r>
              <w:rPr>
                <w:rFonts w:ascii="Times New Roman" w:hAnsi="Times New Roman"/>
                <w:sz w:val="24"/>
                <w:szCs w:val="24"/>
              </w:rPr>
              <w:t>5-6 weeks</w:t>
            </w:r>
            <w:r w:rsidR="00DB70CB" w:rsidRPr="00DB70CB">
              <w:rPr>
                <w:rFonts w:ascii="Times New Roman" w:hAnsi="Times New Roman"/>
                <w:sz w:val="24"/>
                <w:szCs w:val="24"/>
              </w:rPr>
              <w:t xml:space="preserve"> after OMB approval</w:t>
            </w:r>
          </w:p>
        </w:tc>
      </w:tr>
      <w:tr w:rsidR="00DB70CB" w:rsidRPr="00DB70CB">
        <w:trPr>
          <w:cantSplit/>
          <w:trHeight w:val="403"/>
          <w:jc w:val="center"/>
        </w:trPr>
        <w:tc>
          <w:tcPr>
            <w:tcW w:w="4411" w:type="dxa"/>
            <w:shd w:val="clear" w:color="auto" w:fill="FFFFFF"/>
          </w:tcPr>
          <w:p w:rsidR="00DB70CB" w:rsidRPr="00DB70CB" w:rsidRDefault="00DB70CB" w:rsidP="00945DFA">
            <w:pPr>
              <w:tabs>
                <w:tab w:val="left" w:pos="-720"/>
                <w:tab w:val="right" w:pos="8692"/>
              </w:tabs>
              <w:rPr>
                <w:rFonts w:ascii="Times New Roman" w:hAnsi="Times New Roman"/>
                <w:sz w:val="24"/>
                <w:szCs w:val="24"/>
              </w:rPr>
            </w:pPr>
            <w:r w:rsidRPr="00DB70CB">
              <w:rPr>
                <w:rFonts w:ascii="Times New Roman" w:hAnsi="Times New Roman"/>
                <w:sz w:val="24"/>
                <w:szCs w:val="24"/>
              </w:rPr>
              <w:t xml:space="preserve">Begin using results for </w:t>
            </w:r>
            <w:r w:rsidR="00945DFA">
              <w:rPr>
                <w:rFonts w:ascii="Times New Roman" w:hAnsi="Times New Roman"/>
                <w:sz w:val="24"/>
                <w:szCs w:val="24"/>
              </w:rPr>
              <w:t>communication</w:t>
            </w:r>
            <w:r w:rsidR="00D877E1">
              <w:rPr>
                <w:rFonts w:ascii="Times New Roman" w:hAnsi="Times New Roman"/>
                <w:sz w:val="24"/>
                <w:szCs w:val="24"/>
              </w:rPr>
              <w:t>s materials, messaging and</w:t>
            </w:r>
            <w:r w:rsidR="00945DFA">
              <w:rPr>
                <w:rFonts w:ascii="Times New Roman" w:hAnsi="Times New Roman"/>
                <w:sz w:val="24"/>
                <w:szCs w:val="24"/>
              </w:rPr>
              <w:t xml:space="preserve"> identity</w:t>
            </w:r>
          </w:p>
        </w:tc>
        <w:tc>
          <w:tcPr>
            <w:tcW w:w="4177" w:type="dxa"/>
            <w:shd w:val="clear" w:color="auto" w:fill="FFFFFF"/>
          </w:tcPr>
          <w:p w:rsidR="00DB70CB" w:rsidRPr="00DB70CB" w:rsidRDefault="00945DFA" w:rsidP="00DB70CB">
            <w:pPr>
              <w:tabs>
                <w:tab w:val="left" w:pos="-720"/>
                <w:tab w:val="right" w:pos="8692"/>
              </w:tabs>
              <w:rPr>
                <w:rFonts w:ascii="Times New Roman" w:hAnsi="Times New Roman"/>
                <w:sz w:val="24"/>
                <w:szCs w:val="24"/>
              </w:rPr>
            </w:pPr>
            <w:r>
              <w:rPr>
                <w:rFonts w:ascii="Times New Roman" w:hAnsi="Times New Roman"/>
                <w:sz w:val="24"/>
                <w:szCs w:val="24"/>
              </w:rPr>
              <w:t>6 weeks</w:t>
            </w:r>
            <w:r w:rsidR="00DB70CB" w:rsidRPr="00DB70CB">
              <w:rPr>
                <w:rFonts w:ascii="Times New Roman" w:hAnsi="Times New Roman"/>
                <w:sz w:val="24"/>
                <w:szCs w:val="24"/>
              </w:rPr>
              <w:t xml:space="preserve"> after OMB approval</w:t>
            </w:r>
          </w:p>
          <w:p w:rsidR="00DB70CB" w:rsidRPr="00DB70CB" w:rsidRDefault="00DB70CB" w:rsidP="00DB70CB">
            <w:pPr>
              <w:tabs>
                <w:tab w:val="left" w:pos="-720"/>
                <w:tab w:val="right" w:pos="8692"/>
              </w:tabs>
              <w:rPr>
                <w:rFonts w:ascii="Times New Roman" w:hAnsi="Times New Roman"/>
                <w:sz w:val="24"/>
                <w:szCs w:val="24"/>
              </w:rPr>
            </w:pPr>
          </w:p>
        </w:tc>
      </w:tr>
    </w:tbl>
    <w:p w:rsidR="00DB70CB" w:rsidRDefault="00DB70CB">
      <w:pPr>
        <w:tabs>
          <w:tab w:val="left" w:pos="-720"/>
          <w:tab w:val="right" w:pos="8692"/>
        </w:tabs>
        <w:rPr>
          <w:rFonts w:ascii="Times New Roman" w:hAnsi="Times New Roman"/>
          <w:sz w:val="24"/>
          <w:szCs w:val="24"/>
        </w:rPr>
      </w:pPr>
    </w:p>
    <w:p w:rsidR="00945DFA" w:rsidRDefault="00945DFA">
      <w:pPr>
        <w:tabs>
          <w:tab w:val="left" w:pos="-720"/>
          <w:tab w:val="right" w:pos="8692"/>
        </w:tabs>
        <w:rPr>
          <w:rFonts w:ascii="Times New Roman" w:hAnsi="Times New Roman"/>
          <w:sz w:val="24"/>
          <w:szCs w:val="24"/>
        </w:rPr>
      </w:pPr>
      <w:r>
        <w:rPr>
          <w:rFonts w:ascii="Times New Roman" w:hAnsi="Times New Roman"/>
          <w:sz w:val="24"/>
          <w:szCs w:val="24"/>
        </w:rPr>
        <w:t>ANALYSIS PLAN</w:t>
      </w:r>
    </w:p>
    <w:p w:rsidR="00945DFA" w:rsidRDefault="00945DFA">
      <w:pPr>
        <w:tabs>
          <w:tab w:val="left" w:pos="-720"/>
          <w:tab w:val="right" w:pos="8692"/>
        </w:tabs>
        <w:rPr>
          <w:rFonts w:ascii="Times New Roman" w:hAnsi="Times New Roman"/>
          <w:sz w:val="24"/>
          <w:szCs w:val="24"/>
        </w:rPr>
      </w:pPr>
      <w:r>
        <w:rPr>
          <w:rFonts w:ascii="Times New Roman" w:hAnsi="Times New Roman"/>
          <w:sz w:val="24"/>
          <w:szCs w:val="24"/>
        </w:rPr>
        <w:t xml:space="preserve">Under the guidance and direction of </w:t>
      </w:r>
      <w:r w:rsidR="00F965A2">
        <w:rPr>
          <w:rFonts w:ascii="Times New Roman" w:hAnsi="Times New Roman"/>
          <w:sz w:val="24"/>
          <w:szCs w:val="24"/>
        </w:rPr>
        <w:t>BCRS</w:t>
      </w:r>
      <w:r>
        <w:rPr>
          <w:rFonts w:ascii="Times New Roman" w:hAnsi="Times New Roman"/>
          <w:sz w:val="24"/>
          <w:szCs w:val="24"/>
        </w:rPr>
        <w:t xml:space="preserve">, Ogilvy will conduct qualitative analysis of the data collected. At the close of the </w:t>
      </w:r>
      <w:r w:rsidR="0025283A">
        <w:rPr>
          <w:rFonts w:ascii="Times New Roman" w:hAnsi="Times New Roman"/>
          <w:sz w:val="24"/>
          <w:szCs w:val="24"/>
        </w:rPr>
        <w:t>six focus groups and 24</w:t>
      </w:r>
      <w:r>
        <w:rPr>
          <w:rFonts w:ascii="Times New Roman" w:hAnsi="Times New Roman"/>
          <w:sz w:val="24"/>
          <w:szCs w:val="24"/>
        </w:rPr>
        <w:t xml:space="preserve"> </w:t>
      </w:r>
      <w:r w:rsidR="00115FD8">
        <w:rPr>
          <w:rFonts w:ascii="Times New Roman" w:hAnsi="Times New Roman"/>
          <w:sz w:val="24"/>
          <w:szCs w:val="24"/>
        </w:rPr>
        <w:t>tele</w:t>
      </w:r>
      <w:r>
        <w:rPr>
          <w:rFonts w:ascii="Times New Roman" w:hAnsi="Times New Roman"/>
          <w:sz w:val="24"/>
          <w:szCs w:val="24"/>
        </w:rPr>
        <w:t xml:space="preserve">phone interviews, key findings will be summarized </w:t>
      </w:r>
      <w:r w:rsidR="0025283A">
        <w:rPr>
          <w:rFonts w:ascii="Times New Roman" w:hAnsi="Times New Roman"/>
          <w:sz w:val="24"/>
          <w:szCs w:val="24"/>
        </w:rPr>
        <w:t>with</w:t>
      </w:r>
      <w:r>
        <w:rPr>
          <w:rFonts w:ascii="Times New Roman" w:hAnsi="Times New Roman"/>
          <w:sz w:val="24"/>
          <w:szCs w:val="24"/>
        </w:rPr>
        <w:t xml:space="preserve"> </w:t>
      </w:r>
      <w:r w:rsidRPr="00945DFA">
        <w:rPr>
          <w:rFonts w:ascii="Times New Roman" w:hAnsi="Times New Roman"/>
          <w:sz w:val="24"/>
          <w:szCs w:val="24"/>
        </w:rPr>
        <w:t>strategic implications and recommendations.</w:t>
      </w:r>
      <w:r>
        <w:rPr>
          <w:rFonts w:ascii="Times New Roman" w:hAnsi="Times New Roman"/>
          <w:sz w:val="24"/>
          <w:szCs w:val="24"/>
        </w:rPr>
        <w:t xml:space="preserve"> Results will be used to refine </w:t>
      </w:r>
      <w:r>
        <w:rPr>
          <w:rFonts w:ascii="Times New Roman" w:hAnsi="Times New Roman"/>
          <w:sz w:val="24"/>
          <w:szCs w:val="24"/>
        </w:rPr>
        <w:lastRenderedPageBreak/>
        <w:t>communications m</w:t>
      </w:r>
      <w:r w:rsidR="00731092">
        <w:rPr>
          <w:rFonts w:ascii="Times New Roman" w:hAnsi="Times New Roman"/>
          <w:sz w:val="24"/>
          <w:szCs w:val="24"/>
        </w:rPr>
        <w:t>aterials, messagi</w:t>
      </w:r>
      <w:r w:rsidR="00D877E1">
        <w:rPr>
          <w:rFonts w:ascii="Times New Roman" w:hAnsi="Times New Roman"/>
          <w:sz w:val="24"/>
          <w:szCs w:val="24"/>
        </w:rPr>
        <w:t>ng and</w:t>
      </w:r>
      <w:r w:rsidR="00731092">
        <w:rPr>
          <w:rFonts w:ascii="Times New Roman" w:hAnsi="Times New Roman"/>
          <w:sz w:val="24"/>
          <w:szCs w:val="24"/>
        </w:rPr>
        <w:t xml:space="preserve"> identity to best engage</w:t>
      </w:r>
      <w:r w:rsidR="009B73A2">
        <w:rPr>
          <w:rFonts w:ascii="Times New Roman" w:hAnsi="Times New Roman"/>
          <w:sz w:val="24"/>
          <w:szCs w:val="24"/>
        </w:rPr>
        <w:t xml:space="preserve"> stakeholders and</w:t>
      </w:r>
      <w:r w:rsidR="00731092">
        <w:rPr>
          <w:rFonts w:ascii="Times New Roman" w:hAnsi="Times New Roman"/>
          <w:sz w:val="24"/>
          <w:szCs w:val="24"/>
        </w:rPr>
        <w:t xml:space="preserve"> </w:t>
      </w:r>
      <w:r w:rsidR="00BA1DBD">
        <w:rPr>
          <w:rFonts w:ascii="Times New Roman" w:hAnsi="Times New Roman"/>
          <w:sz w:val="24"/>
          <w:szCs w:val="24"/>
        </w:rPr>
        <w:t>prospective</w:t>
      </w:r>
      <w:r>
        <w:rPr>
          <w:rFonts w:ascii="Times New Roman" w:hAnsi="Times New Roman"/>
          <w:sz w:val="24"/>
          <w:szCs w:val="24"/>
        </w:rPr>
        <w:t xml:space="preserve"> and cur</w:t>
      </w:r>
      <w:r w:rsidR="009B73A2">
        <w:rPr>
          <w:rFonts w:ascii="Times New Roman" w:hAnsi="Times New Roman"/>
          <w:sz w:val="24"/>
          <w:szCs w:val="24"/>
        </w:rPr>
        <w:t xml:space="preserve">rent NELRP and NSP participants </w:t>
      </w:r>
      <w:r>
        <w:rPr>
          <w:rFonts w:ascii="Times New Roman" w:hAnsi="Times New Roman"/>
          <w:sz w:val="24"/>
          <w:szCs w:val="24"/>
        </w:rPr>
        <w:t>in the future.</w:t>
      </w:r>
    </w:p>
    <w:p w:rsidR="00945DFA" w:rsidRDefault="00945DFA">
      <w:pPr>
        <w:tabs>
          <w:tab w:val="left" w:pos="-720"/>
          <w:tab w:val="right" w:pos="8692"/>
        </w:tabs>
        <w:rPr>
          <w:rFonts w:ascii="Times New Roman" w:hAnsi="Times New Roman"/>
          <w:sz w:val="24"/>
          <w:szCs w:val="24"/>
        </w:rPr>
      </w:pPr>
    </w:p>
    <w:p w:rsidR="00945DFA" w:rsidRDefault="0025283A">
      <w:pPr>
        <w:tabs>
          <w:tab w:val="left" w:pos="-720"/>
          <w:tab w:val="right" w:pos="8692"/>
        </w:tabs>
        <w:rPr>
          <w:rFonts w:ascii="Times New Roman" w:hAnsi="Times New Roman"/>
          <w:sz w:val="24"/>
          <w:szCs w:val="24"/>
        </w:rPr>
      </w:pPr>
      <w:r>
        <w:rPr>
          <w:rFonts w:ascii="Times New Roman" w:hAnsi="Times New Roman"/>
          <w:sz w:val="24"/>
          <w:szCs w:val="24"/>
        </w:rPr>
        <w:t xml:space="preserve">Ogilvy will work with </w:t>
      </w:r>
      <w:r w:rsidRPr="004A1F8D">
        <w:rPr>
          <w:rFonts w:ascii="Times New Roman" w:hAnsi="Times New Roman"/>
          <w:sz w:val="24"/>
          <w:szCs w:val="24"/>
        </w:rPr>
        <w:t>Russell Research and Stratalys</w:t>
      </w:r>
      <w:r w:rsidR="00F0703F">
        <w:rPr>
          <w:rFonts w:ascii="Times New Roman" w:hAnsi="Times New Roman"/>
          <w:sz w:val="24"/>
          <w:szCs w:val="24"/>
        </w:rPr>
        <w:t xml:space="preserve"> Research</w:t>
      </w:r>
      <w:r>
        <w:rPr>
          <w:rFonts w:ascii="Times New Roman" w:hAnsi="Times New Roman"/>
          <w:sz w:val="24"/>
          <w:szCs w:val="24"/>
        </w:rPr>
        <w:t xml:space="preserve"> </w:t>
      </w:r>
      <w:r w:rsidR="00945DFA">
        <w:rPr>
          <w:rFonts w:ascii="Times New Roman" w:hAnsi="Times New Roman"/>
          <w:sz w:val="24"/>
          <w:szCs w:val="24"/>
        </w:rPr>
        <w:t xml:space="preserve">in the execution of the </w:t>
      </w:r>
      <w:r>
        <w:rPr>
          <w:rFonts w:ascii="Times New Roman" w:hAnsi="Times New Roman"/>
          <w:sz w:val="24"/>
          <w:szCs w:val="24"/>
        </w:rPr>
        <w:t xml:space="preserve">focus groups and </w:t>
      </w:r>
      <w:r w:rsidR="00115FD8">
        <w:rPr>
          <w:rFonts w:ascii="Times New Roman" w:hAnsi="Times New Roman"/>
          <w:sz w:val="24"/>
          <w:szCs w:val="24"/>
        </w:rPr>
        <w:t>tele</w:t>
      </w:r>
      <w:r>
        <w:rPr>
          <w:rFonts w:ascii="Times New Roman" w:hAnsi="Times New Roman"/>
          <w:sz w:val="24"/>
          <w:szCs w:val="24"/>
        </w:rPr>
        <w:t xml:space="preserve">phone interviews. </w:t>
      </w:r>
      <w:r w:rsidR="00945DFA">
        <w:rPr>
          <w:rFonts w:ascii="Times New Roman" w:hAnsi="Times New Roman"/>
          <w:sz w:val="24"/>
          <w:szCs w:val="24"/>
        </w:rPr>
        <w:t xml:space="preserve">The analysis results will be </w:t>
      </w:r>
      <w:r w:rsidR="00F965A2">
        <w:rPr>
          <w:rFonts w:ascii="Times New Roman" w:hAnsi="Times New Roman"/>
          <w:sz w:val="24"/>
          <w:szCs w:val="24"/>
        </w:rPr>
        <w:t>presented in a final report to BCRS</w:t>
      </w:r>
      <w:r w:rsidR="00945DFA">
        <w:rPr>
          <w:rFonts w:ascii="Times New Roman" w:hAnsi="Times New Roman"/>
          <w:sz w:val="24"/>
          <w:szCs w:val="24"/>
        </w:rPr>
        <w:t>. The report will specifically address and contain findings on:</w:t>
      </w:r>
    </w:p>
    <w:p w:rsidR="00945DFA" w:rsidRDefault="00945DFA">
      <w:pPr>
        <w:tabs>
          <w:tab w:val="left" w:pos="-720"/>
          <w:tab w:val="right" w:pos="8692"/>
        </w:tabs>
        <w:rPr>
          <w:rFonts w:ascii="Times New Roman" w:hAnsi="Times New Roman"/>
          <w:sz w:val="24"/>
          <w:szCs w:val="24"/>
        </w:rPr>
      </w:pPr>
    </w:p>
    <w:p w:rsidR="00945DFA" w:rsidRDefault="00945DFA" w:rsidP="00945DFA">
      <w:pPr>
        <w:numPr>
          <w:ilvl w:val="0"/>
          <w:numId w:val="5"/>
        </w:numPr>
        <w:tabs>
          <w:tab w:val="left" w:pos="-720"/>
          <w:tab w:val="right" w:pos="720"/>
        </w:tabs>
        <w:rPr>
          <w:rFonts w:ascii="Times New Roman" w:hAnsi="Times New Roman"/>
          <w:sz w:val="24"/>
          <w:szCs w:val="24"/>
        </w:rPr>
      </w:pPr>
      <w:r>
        <w:rPr>
          <w:rFonts w:ascii="Times New Roman" w:hAnsi="Times New Roman"/>
          <w:sz w:val="24"/>
          <w:szCs w:val="24"/>
        </w:rPr>
        <w:t xml:space="preserve">Knowledge, attitudes and perspectives </w:t>
      </w:r>
      <w:r w:rsidR="00731092">
        <w:rPr>
          <w:rFonts w:ascii="Times New Roman" w:hAnsi="Times New Roman"/>
          <w:sz w:val="24"/>
          <w:szCs w:val="24"/>
        </w:rPr>
        <w:t>of respondents on NELRP and NSP.</w:t>
      </w:r>
    </w:p>
    <w:p w:rsidR="00945DFA" w:rsidRDefault="00731092" w:rsidP="00945DFA">
      <w:pPr>
        <w:numPr>
          <w:ilvl w:val="0"/>
          <w:numId w:val="5"/>
        </w:numPr>
        <w:tabs>
          <w:tab w:val="left" w:pos="-720"/>
          <w:tab w:val="right" w:pos="720"/>
        </w:tabs>
        <w:rPr>
          <w:rFonts w:ascii="Times New Roman" w:hAnsi="Times New Roman"/>
          <w:sz w:val="24"/>
          <w:szCs w:val="24"/>
        </w:rPr>
      </w:pPr>
      <w:r>
        <w:rPr>
          <w:rFonts w:ascii="Times New Roman" w:hAnsi="Times New Roman"/>
          <w:sz w:val="24"/>
          <w:szCs w:val="24"/>
        </w:rPr>
        <w:t>E</w:t>
      </w:r>
      <w:r w:rsidR="00945DFA">
        <w:rPr>
          <w:rFonts w:ascii="Times New Roman" w:hAnsi="Times New Roman"/>
          <w:sz w:val="24"/>
          <w:szCs w:val="24"/>
        </w:rPr>
        <w:t>ffectiveness of NELRP and NSP messagin</w:t>
      </w:r>
      <w:r w:rsidR="00D877E1">
        <w:rPr>
          <w:rFonts w:ascii="Times New Roman" w:hAnsi="Times New Roman"/>
          <w:sz w:val="24"/>
          <w:szCs w:val="24"/>
        </w:rPr>
        <w:t xml:space="preserve">g, materials </w:t>
      </w:r>
      <w:r w:rsidR="0025283A">
        <w:rPr>
          <w:rFonts w:ascii="Times New Roman" w:hAnsi="Times New Roman"/>
          <w:sz w:val="24"/>
          <w:szCs w:val="24"/>
        </w:rPr>
        <w:t>and identity</w:t>
      </w:r>
      <w:r>
        <w:rPr>
          <w:rFonts w:ascii="Times New Roman" w:hAnsi="Times New Roman"/>
          <w:sz w:val="24"/>
          <w:szCs w:val="24"/>
        </w:rPr>
        <w:t>.</w:t>
      </w:r>
    </w:p>
    <w:p w:rsidR="00945DFA" w:rsidRDefault="00731092" w:rsidP="00945DFA">
      <w:pPr>
        <w:numPr>
          <w:ilvl w:val="0"/>
          <w:numId w:val="5"/>
        </w:numPr>
        <w:tabs>
          <w:tab w:val="left" w:pos="-720"/>
          <w:tab w:val="right" w:pos="720"/>
        </w:tabs>
        <w:rPr>
          <w:rFonts w:ascii="Times New Roman" w:hAnsi="Times New Roman"/>
          <w:sz w:val="24"/>
          <w:szCs w:val="24"/>
        </w:rPr>
      </w:pPr>
      <w:r>
        <w:rPr>
          <w:rFonts w:ascii="Times New Roman" w:hAnsi="Times New Roman"/>
          <w:sz w:val="24"/>
          <w:szCs w:val="24"/>
        </w:rPr>
        <w:t>S</w:t>
      </w:r>
      <w:r w:rsidR="00945DFA">
        <w:rPr>
          <w:rFonts w:ascii="Times New Roman" w:hAnsi="Times New Roman"/>
          <w:sz w:val="24"/>
          <w:szCs w:val="24"/>
        </w:rPr>
        <w:t>atisfaction of respondents with materials and messaging.</w:t>
      </w:r>
    </w:p>
    <w:p w:rsidR="00945DFA" w:rsidRDefault="00945DFA" w:rsidP="00945DFA">
      <w:pPr>
        <w:tabs>
          <w:tab w:val="left" w:pos="-720"/>
          <w:tab w:val="right" w:pos="720"/>
        </w:tabs>
        <w:rPr>
          <w:rFonts w:ascii="Times New Roman" w:hAnsi="Times New Roman"/>
          <w:sz w:val="24"/>
          <w:szCs w:val="24"/>
        </w:rPr>
      </w:pPr>
    </w:p>
    <w:p w:rsidR="00BC2C39" w:rsidRDefault="00945DFA" w:rsidP="00945DFA">
      <w:pPr>
        <w:tabs>
          <w:tab w:val="left" w:pos="-720"/>
          <w:tab w:val="right" w:pos="720"/>
        </w:tabs>
        <w:rPr>
          <w:rFonts w:ascii="Times New Roman" w:hAnsi="Times New Roman"/>
          <w:sz w:val="24"/>
          <w:szCs w:val="24"/>
        </w:rPr>
      </w:pPr>
      <w:r>
        <w:rPr>
          <w:rFonts w:ascii="Times New Roman" w:hAnsi="Times New Roman"/>
          <w:sz w:val="24"/>
          <w:szCs w:val="24"/>
        </w:rPr>
        <w:t>Researchers will examine the data collected in response to the focus</w:t>
      </w:r>
      <w:r w:rsidR="00DC26D4">
        <w:rPr>
          <w:rFonts w:ascii="Times New Roman" w:hAnsi="Times New Roman"/>
          <w:sz w:val="24"/>
          <w:szCs w:val="24"/>
        </w:rPr>
        <w:t xml:space="preserve"> groups and interviews, and will </w:t>
      </w:r>
      <w:r w:rsidR="00DC26D4" w:rsidRPr="00DC26D4">
        <w:rPr>
          <w:rFonts w:ascii="Times New Roman" w:hAnsi="Times New Roman"/>
          <w:sz w:val="24"/>
          <w:szCs w:val="24"/>
        </w:rPr>
        <w:t>examine findings and explore differences across segments of the target audience.</w:t>
      </w:r>
      <w:r w:rsidR="00DC26D4">
        <w:rPr>
          <w:rFonts w:ascii="Times New Roman" w:hAnsi="Times New Roman"/>
          <w:sz w:val="24"/>
          <w:szCs w:val="24"/>
        </w:rPr>
        <w:t xml:space="preserve"> </w:t>
      </w:r>
      <w:r w:rsidR="00DC26D4" w:rsidRPr="00DC26D4">
        <w:rPr>
          <w:rFonts w:ascii="Times New Roman" w:hAnsi="Times New Roman"/>
          <w:sz w:val="24"/>
          <w:szCs w:val="24"/>
        </w:rPr>
        <w:t xml:space="preserve">While the majority of data collected </w:t>
      </w:r>
      <w:r w:rsidR="00BC2C39">
        <w:rPr>
          <w:rFonts w:ascii="Times New Roman" w:hAnsi="Times New Roman"/>
          <w:sz w:val="24"/>
          <w:szCs w:val="24"/>
        </w:rPr>
        <w:t>through</w:t>
      </w:r>
      <w:r w:rsidR="00DC26D4" w:rsidRPr="00DC26D4">
        <w:rPr>
          <w:rFonts w:ascii="Times New Roman" w:hAnsi="Times New Roman"/>
          <w:sz w:val="24"/>
          <w:szCs w:val="24"/>
        </w:rPr>
        <w:t xml:space="preserve"> </w:t>
      </w:r>
      <w:r w:rsidR="0025283A">
        <w:rPr>
          <w:rFonts w:ascii="Times New Roman" w:hAnsi="Times New Roman"/>
          <w:sz w:val="24"/>
          <w:szCs w:val="24"/>
        </w:rPr>
        <w:t xml:space="preserve">in-person and </w:t>
      </w:r>
      <w:r w:rsidR="00DC26D4" w:rsidRPr="00DC26D4">
        <w:rPr>
          <w:rFonts w:ascii="Times New Roman" w:hAnsi="Times New Roman"/>
          <w:sz w:val="24"/>
          <w:szCs w:val="24"/>
        </w:rPr>
        <w:t xml:space="preserve">online </w:t>
      </w:r>
      <w:r w:rsidR="00DC26D4">
        <w:rPr>
          <w:rFonts w:ascii="Times New Roman" w:hAnsi="Times New Roman"/>
          <w:sz w:val="24"/>
          <w:szCs w:val="24"/>
        </w:rPr>
        <w:t>focus groups</w:t>
      </w:r>
      <w:r w:rsidR="00115FD8">
        <w:rPr>
          <w:rFonts w:ascii="Times New Roman" w:hAnsi="Times New Roman"/>
          <w:sz w:val="24"/>
          <w:szCs w:val="24"/>
        </w:rPr>
        <w:t>, as well as the in-depth interviews</w:t>
      </w:r>
      <w:r w:rsidR="009920FA">
        <w:rPr>
          <w:rFonts w:ascii="Times New Roman" w:hAnsi="Times New Roman"/>
          <w:sz w:val="24"/>
          <w:szCs w:val="24"/>
        </w:rPr>
        <w:t>,</w:t>
      </w:r>
      <w:r w:rsidR="00115FD8">
        <w:rPr>
          <w:rFonts w:ascii="Times New Roman" w:hAnsi="Times New Roman"/>
          <w:sz w:val="24"/>
          <w:szCs w:val="24"/>
        </w:rPr>
        <w:t xml:space="preserve"> </w:t>
      </w:r>
      <w:r w:rsidR="00DC26D4" w:rsidRPr="00DC26D4">
        <w:rPr>
          <w:rFonts w:ascii="Times New Roman" w:hAnsi="Times New Roman"/>
          <w:sz w:val="24"/>
          <w:szCs w:val="24"/>
        </w:rPr>
        <w:t>will be qua</w:t>
      </w:r>
      <w:r w:rsidR="00115FD8">
        <w:rPr>
          <w:rFonts w:ascii="Times New Roman" w:hAnsi="Times New Roman"/>
          <w:sz w:val="24"/>
          <w:szCs w:val="24"/>
        </w:rPr>
        <w:t>litative</w:t>
      </w:r>
      <w:r w:rsidR="00DC26D4" w:rsidRPr="00DC26D4">
        <w:rPr>
          <w:rFonts w:ascii="Times New Roman" w:hAnsi="Times New Roman"/>
          <w:sz w:val="24"/>
          <w:szCs w:val="24"/>
        </w:rPr>
        <w:t xml:space="preserve">, some </w:t>
      </w:r>
      <w:r w:rsidR="00115FD8">
        <w:rPr>
          <w:rFonts w:ascii="Times New Roman" w:hAnsi="Times New Roman"/>
          <w:sz w:val="24"/>
          <w:szCs w:val="24"/>
        </w:rPr>
        <w:t>closed-</w:t>
      </w:r>
      <w:r w:rsidR="00DC26D4" w:rsidRPr="00DC26D4">
        <w:rPr>
          <w:rFonts w:ascii="Times New Roman" w:hAnsi="Times New Roman"/>
          <w:sz w:val="24"/>
          <w:szCs w:val="24"/>
        </w:rPr>
        <w:t>ended questions will be included to collect qua</w:t>
      </w:r>
      <w:r w:rsidR="00115FD8">
        <w:rPr>
          <w:rFonts w:ascii="Times New Roman" w:hAnsi="Times New Roman"/>
          <w:sz w:val="24"/>
          <w:szCs w:val="24"/>
        </w:rPr>
        <w:t xml:space="preserve">ntitative </w:t>
      </w:r>
      <w:r w:rsidR="00DC26D4" w:rsidRPr="00DC26D4">
        <w:rPr>
          <w:rFonts w:ascii="Times New Roman" w:hAnsi="Times New Roman"/>
          <w:sz w:val="24"/>
          <w:szCs w:val="24"/>
        </w:rPr>
        <w:t xml:space="preserve">data. </w:t>
      </w:r>
      <w:r w:rsidR="00BC2C39">
        <w:rPr>
          <w:rFonts w:ascii="Times New Roman" w:hAnsi="Times New Roman"/>
          <w:sz w:val="24"/>
          <w:szCs w:val="24"/>
        </w:rPr>
        <w:t xml:space="preserve"> Findings will be used for internal purposes only and will not be generalized to the public.  There are no plans to publish any results.</w:t>
      </w:r>
    </w:p>
    <w:p w:rsidR="006E3B33" w:rsidRDefault="006E3B33">
      <w:pPr>
        <w:tabs>
          <w:tab w:val="left" w:pos="-720"/>
          <w:tab w:val="right" w:pos="8692"/>
        </w:tabs>
        <w:rPr>
          <w:rFonts w:ascii="Times New Roman" w:hAnsi="Times New Roman"/>
          <w:sz w:val="24"/>
          <w:szCs w:val="24"/>
        </w:rPr>
      </w:pPr>
    </w:p>
    <w:p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pPr>
        <w:tabs>
          <w:tab w:val="left" w:pos="-720"/>
          <w:tab w:val="left" w:pos="720"/>
          <w:tab w:val="right" w:pos="8692"/>
        </w:tabs>
        <w:rPr>
          <w:rFonts w:ascii="Times New Roman" w:hAnsi="Times New Roman"/>
          <w:sz w:val="24"/>
          <w:szCs w:val="24"/>
        </w:rPr>
      </w:pPr>
    </w:p>
    <w:p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9A7B10">
      <w:footerReference w:type="default" r:id="rId8"/>
      <w:pgSz w:w="12240" w:h="15840"/>
      <w:pgMar w:top="1440" w:right="1440" w:bottom="108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7D5" w:rsidRDefault="009C57D5">
      <w:r>
        <w:separator/>
      </w:r>
    </w:p>
  </w:endnote>
  <w:endnote w:type="continuationSeparator" w:id="0">
    <w:p w:rsidR="009C57D5" w:rsidRDefault="009C57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7D5" w:rsidRDefault="00BC167B">
    <w:pPr>
      <w:framePr w:wrap="notBeside" w:hAnchor="text" w:xAlign="center"/>
      <w:rPr>
        <w:sz w:val="24"/>
        <w:szCs w:val="24"/>
      </w:rPr>
    </w:pPr>
    <w:r>
      <w:rPr>
        <w:rFonts w:ascii="Times New Roman" w:hAnsi="Times New Roman"/>
        <w:sz w:val="2"/>
        <w:szCs w:val="2"/>
      </w:rPr>
      <w:fldChar w:fldCharType="begin"/>
    </w:r>
    <w:r w:rsidR="009C57D5">
      <w:rPr>
        <w:rFonts w:ascii="Times New Roman" w:hAnsi="Times New Roman"/>
        <w:sz w:val="2"/>
        <w:szCs w:val="2"/>
      </w:rPr>
      <w:instrText xml:space="preserve"> PAGE  </w:instrText>
    </w:r>
    <w:r>
      <w:rPr>
        <w:rFonts w:ascii="Times New Roman" w:hAnsi="Times New Roman"/>
        <w:sz w:val="2"/>
        <w:szCs w:val="2"/>
      </w:rPr>
      <w:fldChar w:fldCharType="separate"/>
    </w:r>
    <w:r w:rsidR="00BA46B2">
      <w:rPr>
        <w:rFonts w:ascii="Times New Roman" w:hAnsi="Times New Roman"/>
        <w:noProof/>
        <w:sz w:val="2"/>
        <w:szCs w:val="2"/>
      </w:rPr>
      <w:t>6</w:t>
    </w:r>
    <w:r>
      <w:rPr>
        <w:rFonts w:ascii="Times New Roman" w:hAnsi="Times New Roman"/>
        <w:sz w:val="2"/>
        <w:szCs w:val="2"/>
      </w:rPr>
      <w:fldChar w:fldCharType="end"/>
    </w:r>
  </w:p>
  <w:p w:rsidR="009C57D5" w:rsidRDefault="009C57D5">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7D5" w:rsidRDefault="009C57D5">
      <w:r>
        <w:separator/>
      </w:r>
    </w:p>
  </w:footnote>
  <w:footnote w:type="continuationSeparator" w:id="0">
    <w:p w:rsidR="009C57D5" w:rsidRDefault="009C57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B1383"/>
    <w:multiLevelType w:val="hybridMultilevel"/>
    <w:tmpl w:val="6C6E3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22225E"/>
    <w:multiLevelType w:val="hybridMultilevel"/>
    <w:tmpl w:val="7460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B604A72"/>
    <w:multiLevelType w:val="hybridMultilevel"/>
    <w:tmpl w:val="E32C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230613"/>
    <w:multiLevelType w:val="hybridMultilevel"/>
    <w:tmpl w:val="55EE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E16439"/>
    <w:multiLevelType w:val="hybridMultilevel"/>
    <w:tmpl w:val="B1CA0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7F2138"/>
    <w:multiLevelType w:val="hybridMultilevel"/>
    <w:tmpl w:val="4E7C7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DA14F6"/>
    <w:multiLevelType w:val="hybridMultilevel"/>
    <w:tmpl w:val="BEF06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bordersDoNotSurroundHeader/>
  <w:bordersDoNotSurroundFooter/>
  <w:proofState w:spelling="clean" w:grammar="clean"/>
  <w:stylePaneFormatFilter w:val="3701"/>
  <w:doNotTrackMoves/>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3793"/>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13C9A"/>
    <w:rsid w:val="000038EB"/>
    <w:rsid w:val="0000591F"/>
    <w:rsid w:val="00050BAE"/>
    <w:rsid w:val="00052A49"/>
    <w:rsid w:val="00067F09"/>
    <w:rsid w:val="0007192E"/>
    <w:rsid w:val="00072B9E"/>
    <w:rsid w:val="00090909"/>
    <w:rsid w:val="000A2742"/>
    <w:rsid w:val="000B105F"/>
    <w:rsid w:val="000C1D2E"/>
    <w:rsid w:val="000C3DD0"/>
    <w:rsid w:val="000C43B2"/>
    <w:rsid w:val="000C5C3F"/>
    <w:rsid w:val="000D140A"/>
    <w:rsid w:val="000E26C2"/>
    <w:rsid w:val="000F2D27"/>
    <w:rsid w:val="000F4A39"/>
    <w:rsid w:val="001017B2"/>
    <w:rsid w:val="00115FD8"/>
    <w:rsid w:val="00116F07"/>
    <w:rsid w:val="00134988"/>
    <w:rsid w:val="00144B81"/>
    <w:rsid w:val="00176576"/>
    <w:rsid w:val="001879E5"/>
    <w:rsid w:val="0019133F"/>
    <w:rsid w:val="001E28D2"/>
    <w:rsid w:val="001E58D1"/>
    <w:rsid w:val="001F05FA"/>
    <w:rsid w:val="001F78C0"/>
    <w:rsid w:val="001F7FA7"/>
    <w:rsid w:val="0020563B"/>
    <w:rsid w:val="00213C9A"/>
    <w:rsid w:val="002279BC"/>
    <w:rsid w:val="00237500"/>
    <w:rsid w:val="00246222"/>
    <w:rsid w:val="0025283A"/>
    <w:rsid w:val="0025319D"/>
    <w:rsid w:val="00287AA5"/>
    <w:rsid w:val="002D2BBC"/>
    <w:rsid w:val="002D31A0"/>
    <w:rsid w:val="002F402D"/>
    <w:rsid w:val="00301BCD"/>
    <w:rsid w:val="003101B1"/>
    <w:rsid w:val="00312E33"/>
    <w:rsid w:val="00330C42"/>
    <w:rsid w:val="0033220D"/>
    <w:rsid w:val="0033551D"/>
    <w:rsid w:val="00335CBA"/>
    <w:rsid w:val="00344284"/>
    <w:rsid w:val="00344701"/>
    <w:rsid w:val="00374407"/>
    <w:rsid w:val="003A6911"/>
    <w:rsid w:val="003F4915"/>
    <w:rsid w:val="00402B18"/>
    <w:rsid w:val="00404E64"/>
    <w:rsid w:val="004163D9"/>
    <w:rsid w:val="004239BD"/>
    <w:rsid w:val="0046323A"/>
    <w:rsid w:val="00472378"/>
    <w:rsid w:val="004A1F8D"/>
    <w:rsid w:val="004A5742"/>
    <w:rsid w:val="004B14D4"/>
    <w:rsid w:val="004C144A"/>
    <w:rsid w:val="004E3605"/>
    <w:rsid w:val="004E3A1F"/>
    <w:rsid w:val="004F33ED"/>
    <w:rsid w:val="004F65C3"/>
    <w:rsid w:val="00522C38"/>
    <w:rsid w:val="0052494C"/>
    <w:rsid w:val="00531A2A"/>
    <w:rsid w:val="00532C55"/>
    <w:rsid w:val="00537117"/>
    <w:rsid w:val="00557C4D"/>
    <w:rsid w:val="0056606F"/>
    <w:rsid w:val="00581AF7"/>
    <w:rsid w:val="00587151"/>
    <w:rsid w:val="005A0937"/>
    <w:rsid w:val="005B4A77"/>
    <w:rsid w:val="005B6BDA"/>
    <w:rsid w:val="005E3576"/>
    <w:rsid w:val="005E3FA5"/>
    <w:rsid w:val="005F7618"/>
    <w:rsid w:val="00605B01"/>
    <w:rsid w:val="0061278C"/>
    <w:rsid w:val="00623295"/>
    <w:rsid w:val="0063434A"/>
    <w:rsid w:val="00642A5E"/>
    <w:rsid w:val="00651F1D"/>
    <w:rsid w:val="006678C4"/>
    <w:rsid w:val="00690B62"/>
    <w:rsid w:val="006B5C1D"/>
    <w:rsid w:val="006C03A5"/>
    <w:rsid w:val="006C0C34"/>
    <w:rsid w:val="006E3B33"/>
    <w:rsid w:val="006F53F2"/>
    <w:rsid w:val="00701622"/>
    <w:rsid w:val="00710B67"/>
    <w:rsid w:val="00720A98"/>
    <w:rsid w:val="007214F6"/>
    <w:rsid w:val="007228C0"/>
    <w:rsid w:val="00731092"/>
    <w:rsid w:val="007312BE"/>
    <w:rsid w:val="0075457F"/>
    <w:rsid w:val="00782F66"/>
    <w:rsid w:val="00796F36"/>
    <w:rsid w:val="007A25D0"/>
    <w:rsid w:val="007B2471"/>
    <w:rsid w:val="007B3A37"/>
    <w:rsid w:val="007C52B1"/>
    <w:rsid w:val="007D1E4C"/>
    <w:rsid w:val="00807E72"/>
    <w:rsid w:val="008163BB"/>
    <w:rsid w:val="008165B2"/>
    <w:rsid w:val="00837CB2"/>
    <w:rsid w:val="00850760"/>
    <w:rsid w:val="00854C43"/>
    <w:rsid w:val="00864299"/>
    <w:rsid w:val="00876FA9"/>
    <w:rsid w:val="008D1D94"/>
    <w:rsid w:val="008F207B"/>
    <w:rsid w:val="009102FC"/>
    <w:rsid w:val="0092717A"/>
    <w:rsid w:val="00927D79"/>
    <w:rsid w:val="00945DFA"/>
    <w:rsid w:val="009510F3"/>
    <w:rsid w:val="0095332E"/>
    <w:rsid w:val="00990233"/>
    <w:rsid w:val="009910A4"/>
    <w:rsid w:val="009920FA"/>
    <w:rsid w:val="009A7B10"/>
    <w:rsid w:val="009B1FB9"/>
    <w:rsid w:val="009B68A7"/>
    <w:rsid w:val="009B73A2"/>
    <w:rsid w:val="009C02B9"/>
    <w:rsid w:val="009C57D5"/>
    <w:rsid w:val="009D2EC6"/>
    <w:rsid w:val="009D6C07"/>
    <w:rsid w:val="009D73F6"/>
    <w:rsid w:val="009E3BF2"/>
    <w:rsid w:val="009E4A3F"/>
    <w:rsid w:val="009F4B26"/>
    <w:rsid w:val="00A035AD"/>
    <w:rsid w:val="00A04AFA"/>
    <w:rsid w:val="00A21945"/>
    <w:rsid w:val="00A342EB"/>
    <w:rsid w:val="00A4213C"/>
    <w:rsid w:val="00A60207"/>
    <w:rsid w:val="00A71904"/>
    <w:rsid w:val="00A7520D"/>
    <w:rsid w:val="00A91DCD"/>
    <w:rsid w:val="00AC2407"/>
    <w:rsid w:val="00AD7CB3"/>
    <w:rsid w:val="00AE120A"/>
    <w:rsid w:val="00AE1A75"/>
    <w:rsid w:val="00AF05ED"/>
    <w:rsid w:val="00AF1F93"/>
    <w:rsid w:val="00B10A26"/>
    <w:rsid w:val="00B237EB"/>
    <w:rsid w:val="00B27F1E"/>
    <w:rsid w:val="00B37D64"/>
    <w:rsid w:val="00B40D39"/>
    <w:rsid w:val="00B425DD"/>
    <w:rsid w:val="00B50EE1"/>
    <w:rsid w:val="00B537F1"/>
    <w:rsid w:val="00B54521"/>
    <w:rsid w:val="00B75E12"/>
    <w:rsid w:val="00B906CD"/>
    <w:rsid w:val="00BA092C"/>
    <w:rsid w:val="00BA1DBD"/>
    <w:rsid w:val="00BA1E23"/>
    <w:rsid w:val="00BA46B2"/>
    <w:rsid w:val="00BB6C1A"/>
    <w:rsid w:val="00BC167B"/>
    <w:rsid w:val="00BC2C39"/>
    <w:rsid w:val="00BC6B01"/>
    <w:rsid w:val="00BC761A"/>
    <w:rsid w:val="00BF3FA7"/>
    <w:rsid w:val="00C0408C"/>
    <w:rsid w:val="00C22F5A"/>
    <w:rsid w:val="00C50E75"/>
    <w:rsid w:val="00C710C1"/>
    <w:rsid w:val="00C91E67"/>
    <w:rsid w:val="00CB2B80"/>
    <w:rsid w:val="00CD4592"/>
    <w:rsid w:val="00CD6245"/>
    <w:rsid w:val="00CE3C8D"/>
    <w:rsid w:val="00CE4102"/>
    <w:rsid w:val="00CF65C3"/>
    <w:rsid w:val="00D2299E"/>
    <w:rsid w:val="00D32AA8"/>
    <w:rsid w:val="00D67A56"/>
    <w:rsid w:val="00D84F4B"/>
    <w:rsid w:val="00D877E1"/>
    <w:rsid w:val="00D90E19"/>
    <w:rsid w:val="00D914F8"/>
    <w:rsid w:val="00DB70CB"/>
    <w:rsid w:val="00DC26D4"/>
    <w:rsid w:val="00DF2FC3"/>
    <w:rsid w:val="00E067EE"/>
    <w:rsid w:val="00E43462"/>
    <w:rsid w:val="00E468DA"/>
    <w:rsid w:val="00E5367F"/>
    <w:rsid w:val="00EB5B40"/>
    <w:rsid w:val="00EC3090"/>
    <w:rsid w:val="00ED7EF8"/>
    <w:rsid w:val="00EF2E9C"/>
    <w:rsid w:val="00F007C3"/>
    <w:rsid w:val="00F0115D"/>
    <w:rsid w:val="00F03DEE"/>
    <w:rsid w:val="00F0703F"/>
    <w:rsid w:val="00F1420F"/>
    <w:rsid w:val="00F32B91"/>
    <w:rsid w:val="00F44BC7"/>
    <w:rsid w:val="00F46FFB"/>
    <w:rsid w:val="00F50344"/>
    <w:rsid w:val="00F66291"/>
    <w:rsid w:val="00F80C75"/>
    <w:rsid w:val="00F965A2"/>
    <w:rsid w:val="00FA4FEE"/>
    <w:rsid w:val="00FB18E6"/>
    <w:rsid w:val="00FC259B"/>
    <w:rsid w:val="00FD7824"/>
    <w:rsid w:val="00FE13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B10"/>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9A7B10"/>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9102FC"/>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b/>
      <w:bCs/>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paragraph" w:styleId="ListParagraph">
    <w:name w:val="List Paragraph"/>
    <w:basedOn w:val="Normal"/>
    <w:uiPriority w:val="34"/>
    <w:qFormat/>
    <w:rsid w:val="007228C0"/>
    <w:pPr>
      <w:ind w:left="720"/>
      <w:contextualSpacing/>
    </w:pPr>
  </w:style>
  <w:style w:type="table" w:styleId="TableGrid">
    <w:name w:val="Table Grid"/>
    <w:basedOn w:val="TableNormal"/>
    <w:uiPriority w:val="59"/>
    <w:rsid w:val="00CF65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2716-E84A-4BE0-A304-30CA6683C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2893</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Ogilvy</Company>
  <LinksUpToDate>false</LinksUpToDate>
  <CharactersWithSpaces>19346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NSingh</dc:creator>
  <cp:lastModifiedBy>JDUCKHORN</cp:lastModifiedBy>
  <cp:revision>2</cp:revision>
  <dcterms:created xsi:type="dcterms:W3CDTF">2012-03-12T17:07:00Z</dcterms:created>
  <dcterms:modified xsi:type="dcterms:W3CDTF">2012-03-12T17:07:00Z</dcterms:modified>
</cp:coreProperties>
</file>