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44" w:rsidRDefault="002226B0" w:rsidP="001A16DB">
      <w:pPr>
        <w:jc w:val="center"/>
        <w:rPr>
          <w:b/>
          <w:bCs/>
          <w:szCs w:val="32"/>
        </w:rPr>
      </w:pPr>
      <w:r>
        <w:rPr>
          <w:szCs w:val="24"/>
          <w:lang w:val="en-CA"/>
        </w:rPr>
        <w:fldChar w:fldCharType="begin"/>
      </w:r>
      <w:r w:rsidR="001A16DB">
        <w:rPr>
          <w:szCs w:val="24"/>
          <w:lang w:val="en-CA"/>
        </w:rPr>
        <w:instrText xml:space="preserve"> SEQ CHAPTER \h \r 1</w:instrText>
      </w:r>
      <w:r>
        <w:rPr>
          <w:szCs w:val="24"/>
          <w:lang w:val="en-CA"/>
        </w:rPr>
        <w:fldChar w:fldCharType="end"/>
      </w:r>
      <w:r w:rsidR="001A16DB">
        <w:rPr>
          <w:rFonts w:ascii="Times" w:hAnsi="Times" w:cs="Times"/>
          <w:b/>
          <w:bCs/>
          <w:color w:val="000000"/>
          <w:szCs w:val="24"/>
        </w:rPr>
        <w:t xml:space="preserve">Supporting Statement for </w:t>
      </w:r>
      <w:r w:rsidR="001A16DB">
        <w:rPr>
          <w:b/>
          <w:bCs/>
          <w:szCs w:val="32"/>
        </w:rPr>
        <w:t xml:space="preserve">the </w:t>
      </w:r>
    </w:p>
    <w:p w:rsidR="001A16DB" w:rsidRDefault="00CE3869" w:rsidP="001A16DB">
      <w:pPr>
        <w:jc w:val="center"/>
        <w:rPr>
          <w:b/>
          <w:bCs/>
          <w:szCs w:val="32"/>
        </w:rPr>
      </w:pPr>
      <w:r>
        <w:rPr>
          <w:b/>
          <w:bCs/>
          <w:szCs w:val="32"/>
        </w:rPr>
        <w:t>Microeconomic Survey</w:t>
      </w:r>
      <w:r w:rsidR="001A16DB">
        <w:rPr>
          <w:b/>
          <w:bCs/>
          <w:szCs w:val="32"/>
        </w:rPr>
        <w:t xml:space="preserve"> </w:t>
      </w:r>
    </w:p>
    <w:p w:rsidR="001A16DB" w:rsidRDefault="001A16DB" w:rsidP="001A16DB">
      <w:pPr>
        <w:jc w:val="center"/>
        <w:rPr>
          <w:rFonts w:ascii="Times" w:hAnsi="Times" w:cs="Times"/>
          <w:b/>
          <w:bCs/>
          <w:color w:val="000000"/>
          <w:szCs w:val="24"/>
        </w:rPr>
      </w:pPr>
      <w:r>
        <w:rPr>
          <w:b/>
          <w:bCs/>
          <w:szCs w:val="32"/>
        </w:rPr>
        <w:t>(FR 305</w:t>
      </w:r>
      <w:r w:rsidR="00CE3869">
        <w:rPr>
          <w:b/>
          <w:bCs/>
          <w:szCs w:val="32"/>
        </w:rPr>
        <w:t>1</w:t>
      </w:r>
      <w:r>
        <w:rPr>
          <w:b/>
          <w:bCs/>
          <w:szCs w:val="32"/>
        </w:rPr>
        <w:t>; OMB No. 7100-0</w:t>
      </w:r>
      <w:r w:rsidR="00CE3869">
        <w:rPr>
          <w:b/>
          <w:bCs/>
          <w:szCs w:val="32"/>
        </w:rPr>
        <w:t>321</w:t>
      </w:r>
      <w:r>
        <w:rPr>
          <w:b/>
          <w:bCs/>
          <w:szCs w:val="32"/>
        </w:rPr>
        <w:t>)</w:t>
      </w:r>
    </w:p>
    <w:p w:rsidR="00A435EC" w:rsidRDefault="00A435E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bCs/>
          <w:szCs w:val="24"/>
        </w:rPr>
      </w:pPr>
    </w:p>
    <w:p w:rsidR="00677660" w:rsidRPr="00576147" w:rsidRDefault="00677660">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Cs w:val="24"/>
        </w:rPr>
      </w:pPr>
      <w:r w:rsidRPr="00576147">
        <w:rPr>
          <w:b/>
          <w:bCs/>
          <w:szCs w:val="24"/>
        </w:rPr>
        <w:t>Summary</w:t>
      </w:r>
    </w:p>
    <w:p w:rsidR="00CE3869" w:rsidRDefault="00677660" w:rsidP="00CE3869">
      <w:pPr>
        <w:tabs>
          <w:tab w:val="left" w:pos="360"/>
        </w:tabs>
        <w:ind w:firstLine="360"/>
      </w:pPr>
      <w:r w:rsidRPr="00576147">
        <w:rPr>
          <w:szCs w:val="24"/>
        </w:rPr>
        <w:tab/>
        <w:t xml:space="preserve">The </w:t>
      </w:r>
      <w:r w:rsidR="008B5DBC">
        <w:rPr>
          <w:szCs w:val="24"/>
        </w:rPr>
        <w:t>Board of Governors of the Federal Reserve System, under delegated authority from the Office of Management and Budget (OMB),</w:t>
      </w:r>
      <w:r w:rsidRPr="00576147">
        <w:rPr>
          <w:szCs w:val="24"/>
        </w:rPr>
        <w:t xml:space="preserve"> </w:t>
      </w:r>
      <w:r w:rsidR="00CE3869" w:rsidRPr="00546222">
        <w:t xml:space="preserve">proposes to implement the voluntary Microeconomic Survey </w:t>
      </w:r>
      <w:r w:rsidR="00CE3869" w:rsidRPr="00546222">
        <w:rPr>
          <w:color w:val="000000"/>
        </w:rPr>
        <w:t>(FR 3051; OMB No. 7100-</w:t>
      </w:r>
      <w:r w:rsidR="00CE3869">
        <w:rPr>
          <w:color w:val="000000"/>
        </w:rPr>
        <w:t>0321</w:t>
      </w:r>
      <w:r w:rsidR="00CE3869" w:rsidRPr="00546222">
        <w:rPr>
          <w:color w:val="000000"/>
        </w:rPr>
        <w:t>)</w:t>
      </w:r>
      <w:r w:rsidR="00CE3869" w:rsidRPr="00546222">
        <w:t>.  The Federal Reserve would use this event-driven survey to obtain information specifically tailored to the Federal Reserve's supervisory, regulatory, operational</w:t>
      </w:r>
      <w:r w:rsidR="00CE3869">
        <w:t>,</w:t>
      </w:r>
      <w:r w:rsidR="00CE3869" w:rsidRPr="00546222">
        <w:t xml:space="preserve"> and other responsibilities.  The Federal Reserve proposes to conduct the FR 3051 up to 13 times per year </w:t>
      </w:r>
      <w:r w:rsidR="009E3246" w:rsidRPr="00546222">
        <w:t xml:space="preserve">(annual </w:t>
      </w:r>
      <w:r w:rsidR="009E3246">
        <w:t>survey</w:t>
      </w:r>
      <w:r w:rsidR="009E3246" w:rsidRPr="00546222">
        <w:t xml:space="preserve"> and another </w:t>
      </w:r>
      <w:r w:rsidR="009E3246">
        <w:t xml:space="preserve">survey </w:t>
      </w:r>
      <w:r w:rsidR="009E3246" w:rsidRPr="00546222">
        <w:t>on a monthly basis)</w:t>
      </w:r>
      <w:r w:rsidR="00CE3869" w:rsidRPr="00546222">
        <w:t xml:space="preserve">.  The frequency and content of the questions would depend on changing economic, regulatory, or </w:t>
      </w:r>
      <w:r w:rsidR="00CE3869" w:rsidRPr="00D46505">
        <w:t xml:space="preserve">legislative developments.  </w:t>
      </w:r>
      <w:r w:rsidR="00CE3869">
        <w:t xml:space="preserve">Respondents would comprise individuals, households, and financial and non-financial businesses.  </w:t>
      </w:r>
      <w:r w:rsidR="00CE3869" w:rsidRPr="00D46505">
        <w:t>The annual burden is estimated to be 24,000 hours.</w:t>
      </w:r>
      <w:r w:rsidR="00CE3869">
        <w:t xml:space="preserve">  </w:t>
      </w:r>
    </w:p>
    <w:p w:rsidR="00CE3869" w:rsidRPr="00735659" w:rsidRDefault="00CE3869" w:rsidP="00CE3869">
      <w:pPr>
        <w:tabs>
          <w:tab w:val="left" w:pos="360"/>
        </w:tabs>
        <w:ind w:firstLine="360"/>
      </w:pPr>
    </w:p>
    <w:p w:rsidR="00CE3869" w:rsidRPr="00735659" w:rsidRDefault="00CE3869" w:rsidP="00CE3869">
      <w:pPr>
        <w:tabs>
          <w:tab w:val="left" w:pos="360"/>
        </w:tabs>
        <w:rPr>
          <w:b/>
        </w:rPr>
      </w:pPr>
      <w:r w:rsidRPr="00735659">
        <w:rPr>
          <w:b/>
        </w:rPr>
        <w:t>Background and Justification</w:t>
      </w:r>
    </w:p>
    <w:p w:rsidR="00CE3869" w:rsidRPr="00735659" w:rsidRDefault="00CE3869" w:rsidP="00CE3869">
      <w:pPr>
        <w:tabs>
          <w:tab w:val="left" w:pos="360"/>
        </w:tabs>
        <w:rPr>
          <w:b/>
        </w:rPr>
      </w:pPr>
      <w:r w:rsidRPr="00735659">
        <w:rPr>
          <w:b/>
        </w:rPr>
        <w:tab/>
      </w:r>
    </w:p>
    <w:p w:rsidR="00CE3869" w:rsidRDefault="00CE3869" w:rsidP="00CE3869">
      <w:pPr>
        <w:tabs>
          <w:tab w:val="left" w:pos="360"/>
        </w:tabs>
      </w:pPr>
      <w:r w:rsidRPr="00735659">
        <w:rPr>
          <w:b/>
        </w:rPr>
        <w:tab/>
      </w:r>
      <w:r w:rsidRPr="00735659">
        <w:t xml:space="preserve">The Federal Reserve has a long history of conducting surveys, including those of  individuals and households, military personnel, financial institutions and their senior officers, and nonfinancial businesses (both small and large).  </w:t>
      </w:r>
      <w:r>
        <w:t>O</w:t>
      </w:r>
      <w:r w:rsidRPr="00735659">
        <w:t>ften the surveys have provided the only reliable source of information relevant to the motivation for the survey.  Although these surveys have been driven by specific needs of the Federal Reserve, their findings have also been used extensively by researchers outside the Federal Reserve System and have been widely cited by the media.</w:t>
      </w:r>
    </w:p>
    <w:p w:rsidR="00CE3869" w:rsidRDefault="00CE3869" w:rsidP="00CE3869">
      <w:pPr>
        <w:tabs>
          <w:tab w:val="left" w:pos="360"/>
        </w:tabs>
      </w:pPr>
    </w:p>
    <w:p w:rsidR="00CE3869" w:rsidRDefault="00CE3869" w:rsidP="00CE3869">
      <w:pPr>
        <w:tabs>
          <w:tab w:val="left" w:pos="360"/>
        </w:tabs>
      </w:pPr>
      <w:r>
        <w:tab/>
      </w:r>
      <w:r w:rsidRPr="00735659">
        <w:t xml:space="preserve">Many functional areas of </w:t>
      </w:r>
      <w:r>
        <w:t xml:space="preserve">the Federal Reserve </w:t>
      </w:r>
      <w:r w:rsidRPr="00735659">
        <w:t>have occasional need to gather data on a timely basis from</w:t>
      </w:r>
      <w:r w:rsidRPr="007C7D81">
        <w:t xml:space="preserve"> the </w:t>
      </w:r>
      <w:r>
        <w:t>public</w:t>
      </w:r>
      <w:r w:rsidRPr="007C7D81">
        <w:t xml:space="preserve"> on their </w:t>
      </w:r>
      <w:r>
        <w:t xml:space="preserve">economic condition and financial relationships and their attitudes, perceptions, and expectations.  These data may be particularly needed in times of critical economic or regulatory changes or when </w:t>
      </w:r>
      <w:r w:rsidRPr="007C7D81">
        <w:t>issues of immediate concern aris</w:t>
      </w:r>
      <w:r>
        <w:t>e</w:t>
      </w:r>
      <w:r w:rsidRPr="007C7D81">
        <w:t xml:space="preserve"> from Federal Reserve committee </w:t>
      </w:r>
      <w:r w:rsidRPr="00972C6C">
        <w:t xml:space="preserve">initiatives and working groups or requests from the Congress.  </w:t>
      </w:r>
      <w:r>
        <w:t>T</w:t>
      </w:r>
      <w:r w:rsidRPr="00B16C19">
        <w:t>he time needed to complete the information collection approval process poses a serious obstacle to collecting and processing data that are both accurate and timely.</w:t>
      </w:r>
      <w:r w:rsidRPr="00972C6C">
        <w:t xml:space="preserve">  </w:t>
      </w:r>
      <w:r>
        <w:t>Therefore, the Federal Reserve proposes to implement the Microeconomic Survey to allow for the collection of timely data without the delay of the approval process.</w:t>
      </w:r>
    </w:p>
    <w:p w:rsidR="00CE3869" w:rsidRDefault="00CE3869" w:rsidP="00CE3869">
      <w:pPr>
        <w:tabs>
          <w:tab w:val="left" w:pos="360"/>
        </w:tabs>
      </w:pPr>
    </w:p>
    <w:p w:rsidR="00CE3869" w:rsidRPr="00CE3869" w:rsidRDefault="00CE3869" w:rsidP="00CE3869">
      <w:pPr>
        <w:pStyle w:val="Heading1"/>
      </w:pPr>
      <w:r w:rsidRPr="00CE3869">
        <w:t>Description of Information Collection</w:t>
      </w:r>
    </w:p>
    <w:p w:rsidR="00CE3869" w:rsidRPr="007C7D81" w:rsidRDefault="00CE3869" w:rsidP="00CE3869"/>
    <w:p w:rsidR="00CE3869" w:rsidRPr="00A435EC" w:rsidRDefault="00CE3869" w:rsidP="00CE3869">
      <w:pPr>
        <w:pStyle w:val="BodyTextIndent"/>
        <w:rPr>
          <w:rFonts w:ascii="Times New Roman" w:hAnsi="Times New Roman" w:cs="Times New Roman"/>
          <w:color w:val="0000FF"/>
        </w:rPr>
      </w:pPr>
      <w:r w:rsidRPr="00A435EC">
        <w:rPr>
          <w:rFonts w:ascii="Times New Roman" w:hAnsi="Times New Roman" w:cs="Times New Roman"/>
        </w:rPr>
        <w:t xml:space="preserve">The Federal Reserve proposes to conduct various versions of the Microeconomic Survey during the year, as needed, to collect information on specific issues that affect its decision making.  </w:t>
      </w:r>
      <w:r w:rsidRPr="00A435EC">
        <w:rPr>
          <w:rFonts w:ascii="Times New Roman" w:hAnsi="Times New Roman" w:cs="Times New Roman"/>
          <w:color w:val="000000"/>
        </w:rPr>
        <w:t xml:space="preserve">The survey’s principal value would be the flexibility it provides the Federal Reserve to respond quickly to the need for data due to </w:t>
      </w:r>
      <w:r w:rsidRPr="00A435EC">
        <w:rPr>
          <w:rFonts w:ascii="Times New Roman" w:hAnsi="Times New Roman" w:cs="Times New Roman"/>
        </w:rPr>
        <w:t xml:space="preserve">unanticipated economic, financial or regulatory developments and unforeseen Congressional requests for information.  The Federal Reserve cannot predict what specific information will be needed, but such needs are generally very time sensitive.  The Federal Reserve seeks </w:t>
      </w:r>
      <w:r w:rsidRPr="00A435EC">
        <w:rPr>
          <w:rFonts w:ascii="Times New Roman" w:hAnsi="Times New Roman" w:cs="Times New Roman"/>
          <w:color w:val="000000"/>
        </w:rPr>
        <w:t>general approval to conduct the Microeconomic Survey as needed and anticipates that it may conduct a monthly survey from about 1,500 respondents and an annual survey from about 6,000 respondents, although information may not be needed that frequently.</w:t>
      </w:r>
    </w:p>
    <w:p w:rsidR="00CE3869" w:rsidRPr="00A435EC" w:rsidRDefault="00CE3869" w:rsidP="00CE3869">
      <w:pPr>
        <w:tabs>
          <w:tab w:val="left" w:pos="-1080"/>
          <w:tab w:val="left" w:pos="-90"/>
          <w:tab w:val="left" w:pos="720"/>
          <w:tab w:val="left" w:pos="1440"/>
          <w:tab w:val="left" w:pos="1980"/>
          <w:tab w:val="left" w:pos="3960"/>
          <w:tab w:val="left" w:pos="5760"/>
          <w:tab w:val="left" w:pos="7740"/>
          <w:tab w:val="left" w:pos="8640"/>
        </w:tabs>
        <w:ind w:firstLine="720"/>
      </w:pPr>
    </w:p>
    <w:p w:rsidR="00CE3869" w:rsidRPr="00A435EC" w:rsidRDefault="00CE3869" w:rsidP="00CE3869">
      <w:pPr>
        <w:tabs>
          <w:tab w:val="left" w:pos="-1080"/>
          <w:tab w:val="left" w:pos="-90"/>
          <w:tab w:val="left" w:pos="360"/>
          <w:tab w:val="left" w:pos="1440"/>
          <w:tab w:val="left" w:pos="1980"/>
          <w:tab w:val="left" w:pos="3960"/>
          <w:tab w:val="left" w:pos="5760"/>
          <w:tab w:val="left" w:pos="7740"/>
          <w:tab w:val="left" w:pos="8640"/>
        </w:tabs>
        <w:ind w:firstLine="360"/>
      </w:pPr>
      <w:r w:rsidRPr="00A435EC">
        <w:rPr>
          <w:color w:val="000000"/>
        </w:rPr>
        <w:t xml:space="preserve">The survey topics discussed with the respondents would be time sensitive and the questions of interest would vary with the focus of the survey.  Because the relevant questions would change with each survey, there would be no fixed reporting form.  For each survey, the Federal Reserve would prepare questions of specific topical interest.  </w:t>
      </w:r>
      <w:r w:rsidRPr="00A435EC">
        <w:t xml:space="preserve">The Federal Reserve </w:t>
      </w:r>
      <w:r w:rsidRPr="00A435EC">
        <w:rPr>
          <w:color w:val="000000"/>
        </w:rPr>
        <w:t xml:space="preserve">would then determine the relevant target group to contact.  Due to the market crisis, </w:t>
      </w:r>
      <w:r w:rsidRPr="00A435EC">
        <w:t xml:space="preserve">the Federal Reserve </w:t>
      </w:r>
      <w:r w:rsidRPr="00A435EC">
        <w:rPr>
          <w:color w:val="000000"/>
        </w:rPr>
        <w:t xml:space="preserve">currently has a need for household data.  </w:t>
      </w:r>
      <w:r w:rsidRPr="00A435EC">
        <w:t xml:space="preserve">The Federal Reserve </w:t>
      </w:r>
      <w:r w:rsidRPr="00A435EC">
        <w:rPr>
          <w:color w:val="000000"/>
        </w:rPr>
        <w:t xml:space="preserve">anticipates that there would be a need for data from financial institutions and possibly other businesses outside the finance industry at a later date. </w:t>
      </w:r>
    </w:p>
    <w:p w:rsidR="00CE3869" w:rsidRPr="00A435EC"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E3869" w:rsidRPr="00A435EC" w:rsidRDefault="00CE3869" w:rsidP="00CE3869">
      <w:pPr>
        <w:ind w:firstLine="360"/>
      </w:pPr>
      <w:r w:rsidRPr="00A435EC">
        <w:t>The FR 3051 could take the form of interviewer-mediated face-to-face or telephone interviews; self-administered interviews administered on paper, the telephone or the Internet; controlled experiments; focus group discussions; cognitive interviews; or other formal or less formal formats.  The size of the samples and the length of the data collection period would vary depending on the particular informational needs.</w:t>
      </w:r>
    </w:p>
    <w:p w:rsidR="00CE3869" w:rsidRPr="00A435EC" w:rsidRDefault="00CE3869" w:rsidP="00CE3869">
      <w:pPr>
        <w:ind w:firstLine="720"/>
      </w:pPr>
    </w:p>
    <w:p w:rsidR="00CE3869" w:rsidRPr="00A435EC" w:rsidRDefault="00CE3869" w:rsidP="00CE3869">
      <w:pPr>
        <w:ind w:firstLine="360"/>
      </w:pPr>
      <w:r w:rsidRPr="00A435EC">
        <w:t>Written qualitative questions or questionnaires might include categorical questions, yes-no questions, ordinal questions, and open-ended questions.  Written quantitative surveys would include dollar amounts, percentages, numbers of items, interest rates, and other such information; adequate data of this sort would not be available from any other source.  Less formal information collection studies, such as focus groups or cognitive interviews, would use a set of structured qualitative and quantitative questions as a guide to more extended discussion of the questions and answers.</w:t>
      </w:r>
    </w:p>
    <w:p w:rsidR="00CE3869" w:rsidRPr="00A435EC" w:rsidRDefault="00CE3869" w:rsidP="00CE3869">
      <w:pPr>
        <w:ind w:firstLine="720"/>
      </w:pPr>
    </w:p>
    <w:p w:rsidR="00CE3869" w:rsidRPr="00A435EC" w:rsidRDefault="00CE3869" w:rsidP="00CE3869">
      <w:pPr>
        <w:ind w:firstLine="360"/>
      </w:pPr>
      <w:r w:rsidRPr="00A435EC">
        <w:t>The FR 3051 could be conducted through a private firm, which would be chosen in a competitive bidding process or other acceptable negotiated process.</w:t>
      </w:r>
      <w:r w:rsidRPr="00A435EC">
        <w:rPr>
          <w:rStyle w:val="FootnoteReference"/>
        </w:rPr>
        <w:footnoteReference w:id="2"/>
      </w:r>
      <w:r w:rsidRPr="00A435EC">
        <w:t xml:space="preserve">  The research instruments could be developed by the Federal Reserve alone or jointly with the firm selected by the Federal Reserve.  As necessary, the firm would be responsible for testing the survey procedures, following the sampling protocol established by the Federal Reserve, conducting the survey as specified by the Federal Reserve, preparing data files containing the responses, computing analysis weights, and documenting all survey procedures.  Data editing and analysis of the results would be conducted either solely by the Federal Reserve or jointly with the firm.</w:t>
      </w:r>
    </w:p>
    <w:p w:rsidR="00CE3869" w:rsidRPr="00A435EC" w:rsidRDefault="00CE3869" w:rsidP="00CE3869">
      <w:pPr>
        <w:ind w:firstLine="720"/>
      </w:pPr>
    </w:p>
    <w:p w:rsidR="00CE3869" w:rsidRPr="007F2D19" w:rsidRDefault="00CE3869" w:rsidP="00CE3869">
      <w:pPr>
        <w:ind w:firstLine="360"/>
      </w:pPr>
      <w:r>
        <w:t xml:space="preserve">For surveys of financial institutions, </w:t>
      </w:r>
      <w:r w:rsidRPr="007F2D19">
        <w:t xml:space="preserve">much of the information </w:t>
      </w:r>
      <w:r>
        <w:t xml:space="preserve">would </w:t>
      </w:r>
      <w:r w:rsidRPr="007F2D19">
        <w:t xml:space="preserve">be obtained via </w:t>
      </w:r>
      <w:r>
        <w:t xml:space="preserve">written </w:t>
      </w:r>
      <w:r w:rsidRPr="007F2D19">
        <w:t>surveys because (1)</w:t>
      </w:r>
      <w:r>
        <w:t xml:space="preserve"> data are maintained in general ledger systems and may not be readily available or (2) the data may be maintained by different operational areas of the financial institution, requiring input from multiple individuals.  Where possible, data on financial institutions would be obtained from existing information collections.</w:t>
      </w:r>
    </w:p>
    <w:p w:rsidR="00CE3869" w:rsidRPr="007F2D19" w:rsidRDefault="00CE3869" w:rsidP="00CE3869">
      <w:pPr>
        <w:ind w:firstLine="720"/>
      </w:pPr>
    </w:p>
    <w:p w:rsidR="00CE3869" w:rsidRDefault="00CE3869" w:rsidP="00CE3869">
      <w:pPr>
        <w:ind w:firstLine="360"/>
      </w:pPr>
      <w:r>
        <w:t>Topics covered by the FR 3051 may include:</w:t>
      </w:r>
    </w:p>
    <w:p w:rsidR="00CE3869" w:rsidRDefault="00CE3869" w:rsidP="00CE3869"/>
    <w:p w:rsidR="00CE3869" w:rsidRDefault="00CE3869" w:rsidP="00CE3869">
      <w:pPr>
        <w:widowControl w:val="0"/>
        <w:numPr>
          <w:ilvl w:val="0"/>
          <w:numId w:val="2"/>
        </w:numPr>
        <w:autoSpaceDE w:val="0"/>
        <w:autoSpaceDN w:val="0"/>
        <w:adjustRightInd w:val="0"/>
      </w:pPr>
      <w:r>
        <w:t xml:space="preserve">The state of and changes in households’ assets, liabilities, saving, consumption, labor force participation, pension rights and other aspects of the economic and financial life of </w:t>
      </w:r>
      <w:r>
        <w:lastRenderedPageBreak/>
        <w:t>households</w:t>
      </w:r>
    </w:p>
    <w:p w:rsidR="00CE3869" w:rsidRDefault="00CE3869" w:rsidP="00CE3869">
      <w:pPr>
        <w:widowControl w:val="0"/>
        <w:numPr>
          <w:ilvl w:val="0"/>
          <w:numId w:val="2"/>
        </w:numPr>
        <w:autoSpaceDE w:val="0"/>
        <w:autoSpaceDN w:val="0"/>
        <w:adjustRightInd w:val="0"/>
      </w:pPr>
      <w:r>
        <w:t>Households’ attitudes, perceptions and expectations about key economic and financial events or situations</w:t>
      </w:r>
    </w:p>
    <w:p w:rsidR="00CE3869" w:rsidRDefault="00CE3869" w:rsidP="00CE3869">
      <w:pPr>
        <w:widowControl w:val="0"/>
        <w:numPr>
          <w:ilvl w:val="0"/>
          <w:numId w:val="2"/>
        </w:numPr>
        <w:autoSpaceDE w:val="0"/>
        <w:autoSpaceDN w:val="0"/>
        <w:adjustRightInd w:val="0"/>
      </w:pPr>
      <w:r>
        <w:t>Households’ relationships to providers of financial services</w:t>
      </w:r>
    </w:p>
    <w:p w:rsidR="00CE3869" w:rsidRDefault="00CE3869" w:rsidP="00CE3869">
      <w:pPr>
        <w:numPr>
          <w:ilvl w:val="0"/>
          <w:numId w:val="2"/>
        </w:numPr>
        <w:autoSpaceDE w:val="0"/>
        <w:autoSpaceDN w:val="0"/>
        <w:adjustRightInd w:val="0"/>
      </w:pPr>
      <w:r>
        <w:t>The state of and changes in businesses’ financial condition and investment plans, their use of credit, and other aspects of the economic and financial life of businesses</w:t>
      </w:r>
    </w:p>
    <w:p w:rsidR="00CE3869" w:rsidRDefault="00CE3869" w:rsidP="00CE3869">
      <w:pPr>
        <w:widowControl w:val="0"/>
        <w:numPr>
          <w:ilvl w:val="0"/>
          <w:numId w:val="2"/>
        </w:numPr>
        <w:autoSpaceDE w:val="0"/>
        <w:autoSpaceDN w:val="0"/>
        <w:adjustRightInd w:val="0"/>
      </w:pPr>
      <w:r>
        <w:t>Businesses’ attitudes, perceptions and expectations about key economic and financial events or situations</w:t>
      </w:r>
    </w:p>
    <w:p w:rsidR="00CE3869" w:rsidRDefault="00CE3869" w:rsidP="00CE3869">
      <w:pPr>
        <w:widowControl w:val="0"/>
        <w:numPr>
          <w:ilvl w:val="0"/>
          <w:numId w:val="2"/>
        </w:numPr>
        <w:autoSpaceDE w:val="0"/>
        <w:autoSpaceDN w:val="0"/>
        <w:adjustRightInd w:val="0"/>
      </w:pPr>
      <w:r>
        <w:t>Nonfinancial businesses’ relationships to providers of financial services</w:t>
      </w:r>
    </w:p>
    <w:p w:rsidR="00CE3869" w:rsidRDefault="00CE3869" w:rsidP="00CE3869">
      <w:pPr>
        <w:widowControl w:val="0"/>
        <w:numPr>
          <w:ilvl w:val="0"/>
          <w:numId w:val="2"/>
        </w:numPr>
        <w:autoSpaceDE w:val="0"/>
        <w:autoSpaceDN w:val="0"/>
        <w:adjustRightInd w:val="0"/>
      </w:pPr>
      <w:r>
        <w:t>The state of and changes in financial businesses’ borrowing and lending, cash management practices, financial condition, and institutional structures</w:t>
      </w:r>
    </w:p>
    <w:p w:rsidR="00CE3869" w:rsidRDefault="00CE3869" w:rsidP="00CE3869">
      <w:pPr>
        <w:widowControl w:val="0"/>
        <w:numPr>
          <w:ilvl w:val="0"/>
          <w:numId w:val="2"/>
        </w:numPr>
        <w:autoSpaceDE w:val="0"/>
        <w:autoSpaceDN w:val="0"/>
        <w:adjustRightInd w:val="0"/>
      </w:pPr>
      <w:r>
        <w:t>Financial businesses’ relationship to customers and to other providers of financial services and</w:t>
      </w:r>
    </w:p>
    <w:p w:rsidR="00CE3869" w:rsidRDefault="00CE3869" w:rsidP="00CE3869">
      <w:pPr>
        <w:widowControl w:val="0"/>
        <w:numPr>
          <w:ilvl w:val="0"/>
          <w:numId w:val="2"/>
        </w:numPr>
        <w:autoSpaceDE w:val="0"/>
        <w:autoSpaceDN w:val="0"/>
        <w:adjustRightInd w:val="0"/>
      </w:pPr>
      <w:r>
        <w:t>Attitudes toward, perceptions of, expectations of, and responses to Federal Reserve policy decisions, regulatory guidance, and other actions.</w:t>
      </w:r>
    </w:p>
    <w:p w:rsidR="00CE3869" w:rsidRPr="007F2D19" w:rsidRDefault="00CE3869" w:rsidP="00CE3869">
      <w:pPr>
        <w:ind w:firstLine="720"/>
        <w:rPr>
          <w:b/>
        </w:rPr>
      </w:pPr>
    </w:p>
    <w:p w:rsidR="00CE3869" w:rsidRDefault="00EE2397" w:rsidP="00CE3869">
      <w:pPr>
        <w:ind w:firstLine="360"/>
      </w:pPr>
      <w:r>
        <w:t>One of</w:t>
      </w:r>
      <w:r w:rsidR="00CE3869" w:rsidRPr="007C7D81">
        <w:t xml:space="preserve"> the first proposed stud</w:t>
      </w:r>
      <w:r>
        <w:t>ies likely</w:t>
      </w:r>
      <w:r w:rsidR="00CE3869" w:rsidRPr="007C7D81">
        <w:t xml:space="preserve"> would focus primarily on </w:t>
      </w:r>
      <w:r w:rsidR="00CE3869">
        <w:t>examination of changes in households’ finances, other economic circumstances, behavior, perceptions, and expectations in light of turmoil in financial and housing markets and consequent changes in employment and other economic events.  This study would re-interview participants in the 2007 Survey of Consumer Finances (</w:t>
      </w:r>
      <w:r w:rsidR="00CE3869" w:rsidRPr="00576147">
        <w:rPr>
          <w:szCs w:val="24"/>
        </w:rPr>
        <w:t>FR 3059; OMB No. 7100-0287)</w:t>
      </w:r>
      <w:r w:rsidR="00CE3869">
        <w:t>.</w:t>
      </w:r>
    </w:p>
    <w:p w:rsidR="00CE386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E3869" w:rsidRPr="007C7D81"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w:t>
      </w:r>
      <w:r w:rsidRPr="007C7D81">
        <w:rPr>
          <w:b/>
        </w:rPr>
        <w:t>ime Schedule for Information Collection and Publication</w:t>
      </w:r>
    </w:p>
    <w:p w:rsidR="00CE3869" w:rsidRPr="007C7D81"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3869" w:rsidRDefault="00CE3869" w:rsidP="00CE3869">
      <w:pPr>
        <w:pStyle w:val="BodyText"/>
        <w:tabs>
          <w:tab w:val="left" w:pos="-1440"/>
        </w:tabs>
        <w:spacing w:after="0"/>
        <w:ind w:firstLine="360"/>
        <w:rPr>
          <w:rFonts w:ascii="Times New Roman" w:hAnsi="Times New Roman"/>
          <w:sz w:val="24"/>
        </w:rPr>
      </w:pPr>
      <w:r w:rsidRPr="007C7D81">
        <w:rPr>
          <w:rFonts w:ascii="Times New Roman" w:hAnsi="Times New Roman"/>
          <w:sz w:val="24"/>
        </w:rPr>
        <w:t xml:space="preserve">The Federal Reserve would </w:t>
      </w:r>
      <w:r>
        <w:rPr>
          <w:rFonts w:ascii="Times New Roman" w:hAnsi="Times New Roman"/>
          <w:sz w:val="24"/>
        </w:rPr>
        <w:t xml:space="preserve">choose whether to publish </w:t>
      </w:r>
      <w:r w:rsidRPr="007C7D81">
        <w:rPr>
          <w:rFonts w:ascii="Times New Roman" w:hAnsi="Times New Roman"/>
          <w:sz w:val="24"/>
        </w:rPr>
        <w:t xml:space="preserve">the data that it obtains from respondents.  </w:t>
      </w:r>
      <w:r>
        <w:rPr>
          <w:rFonts w:ascii="Times New Roman" w:hAnsi="Times New Roman"/>
          <w:sz w:val="24"/>
        </w:rPr>
        <w:t>S</w:t>
      </w:r>
      <w:r w:rsidRPr="007C7D81">
        <w:rPr>
          <w:rFonts w:ascii="Times New Roman" w:hAnsi="Times New Roman"/>
          <w:sz w:val="24"/>
        </w:rPr>
        <w:t xml:space="preserve">urvey information may be cited in published material such as </w:t>
      </w:r>
      <w:r>
        <w:rPr>
          <w:rFonts w:ascii="Times New Roman" w:hAnsi="Times New Roman"/>
          <w:sz w:val="24"/>
        </w:rPr>
        <w:t xml:space="preserve">staff studies or working papers, </w:t>
      </w:r>
      <w:r w:rsidRPr="007C7D81">
        <w:rPr>
          <w:rFonts w:ascii="Times New Roman" w:hAnsi="Times New Roman"/>
          <w:sz w:val="24"/>
        </w:rPr>
        <w:t xml:space="preserve">professional journals, the </w:t>
      </w:r>
      <w:r w:rsidRPr="007C7D81">
        <w:rPr>
          <w:rFonts w:ascii="Times New Roman" w:hAnsi="Times New Roman"/>
          <w:i/>
          <w:sz w:val="24"/>
        </w:rPr>
        <w:t>Federal Reserve Bulletin,</w:t>
      </w:r>
      <w:r w:rsidRPr="007C7D81">
        <w:rPr>
          <w:rFonts w:ascii="Times New Roman" w:hAnsi="Times New Roman"/>
          <w:sz w:val="24"/>
        </w:rPr>
        <w:t xml:space="preserve"> </w:t>
      </w:r>
      <w:r>
        <w:rPr>
          <w:rFonts w:ascii="Times New Roman" w:hAnsi="Times New Roman"/>
          <w:sz w:val="24"/>
        </w:rPr>
        <w:t>testimony and reports to the Congress, or other vehicles.</w:t>
      </w:r>
    </w:p>
    <w:p w:rsidR="00CE3869" w:rsidRDefault="00CE3869" w:rsidP="00CE3869">
      <w:pPr>
        <w:pStyle w:val="BodyText"/>
        <w:tabs>
          <w:tab w:val="left" w:pos="-1440"/>
        </w:tabs>
        <w:spacing w:after="0"/>
        <w:rPr>
          <w:rFonts w:ascii="Times New Roman" w:hAnsi="Times New Roman"/>
          <w:b/>
          <w:sz w:val="24"/>
        </w:rPr>
      </w:pPr>
    </w:p>
    <w:p w:rsidR="00CE3869" w:rsidRPr="007C7D81" w:rsidRDefault="00CE3869" w:rsidP="00CE3869">
      <w:pPr>
        <w:pStyle w:val="BodyText"/>
        <w:tabs>
          <w:tab w:val="left" w:pos="-1440"/>
        </w:tabs>
        <w:spacing w:after="0"/>
        <w:rPr>
          <w:rFonts w:ascii="Times New Roman" w:hAnsi="Times New Roman"/>
          <w:b/>
          <w:sz w:val="24"/>
        </w:rPr>
      </w:pPr>
      <w:r w:rsidRPr="007C7D81">
        <w:rPr>
          <w:rFonts w:ascii="Times New Roman" w:hAnsi="Times New Roman"/>
          <w:b/>
          <w:sz w:val="24"/>
        </w:rPr>
        <w:t>Legal Status</w:t>
      </w:r>
    </w:p>
    <w:p w:rsidR="00CE3869" w:rsidRDefault="00CE3869" w:rsidP="00CE3869">
      <w:pPr>
        <w:pStyle w:val="BodyText"/>
        <w:tabs>
          <w:tab w:val="left" w:pos="-1440"/>
        </w:tabs>
        <w:spacing w:after="0"/>
        <w:rPr>
          <w:rFonts w:ascii="Times New Roman" w:hAnsi="Times New Roman"/>
          <w:sz w:val="24"/>
        </w:rPr>
      </w:pPr>
    </w:p>
    <w:p w:rsidR="00CE3869" w:rsidRDefault="00CE3869" w:rsidP="00CE3869">
      <w:pPr>
        <w:pStyle w:val="BodyText"/>
        <w:tabs>
          <w:tab w:val="left" w:pos="-1440"/>
        </w:tabs>
        <w:spacing w:after="0"/>
        <w:ind w:firstLine="360"/>
        <w:rPr>
          <w:rFonts w:ascii="Times New Roman" w:hAnsi="Times New Roman"/>
          <w:sz w:val="24"/>
        </w:rPr>
      </w:pPr>
      <w:r w:rsidRPr="007C7D81">
        <w:rPr>
          <w:rFonts w:ascii="Times New Roman" w:hAnsi="Times New Roman"/>
          <w:sz w:val="24"/>
        </w:rPr>
        <w:t xml:space="preserve">The Board’s Legal Division has determined that </w:t>
      </w:r>
      <w:r>
        <w:rPr>
          <w:rFonts w:ascii="Times New Roman" w:hAnsi="Times New Roman"/>
          <w:sz w:val="24"/>
        </w:rPr>
        <w:t xml:space="preserve">the Microeconomic Survey </w:t>
      </w:r>
      <w:r w:rsidRPr="007C7D81">
        <w:rPr>
          <w:rFonts w:ascii="Times New Roman" w:hAnsi="Times New Roman"/>
          <w:sz w:val="24"/>
        </w:rPr>
        <w:t xml:space="preserve">is authorized by </w:t>
      </w:r>
      <w:r>
        <w:rPr>
          <w:rFonts w:ascii="Times New Roman" w:hAnsi="Times New Roman"/>
          <w:sz w:val="24"/>
        </w:rPr>
        <w:t xml:space="preserve">sections 2A and 12A of the Federal Reserve Act </w:t>
      </w:r>
      <w:r w:rsidRPr="007C7D81">
        <w:rPr>
          <w:rFonts w:ascii="Times New Roman" w:hAnsi="Times New Roman"/>
          <w:sz w:val="24"/>
        </w:rPr>
        <w:t>(</w:t>
      </w:r>
      <w:r>
        <w:rPr>
          <w:rFonts w:ascii="Times New Roman" w:hAnsi="Times New Roman"/>
          <w:sz w:val="24"/>
        </w:rPr>
        <w:t>12</w:t>
      </w:r>
      <w:r w:rsidRPr="007C7D81">
        <w:rPr>
          <w:rFonts w:ascii="Times New Roman" w:hAnsi="Times New Roman"/>
          <w:sz w:val="24"/>
        </w:rPr>
        <w:t xml:space="preserve"> U.S.C. §§</w:t>
      </w:r>
      <w:r>
        <w:rPr>
          <w:rFonts w:ascii="Times New Roman" w:hAnsi="Times New Roman"/>
          <w:sz w:val="24"/>
        </w:rPr>
        <w:t xml:space="preserve"> 225</w:t>
      </w:r>
      <w:r w:rsidR="00EE2397">
        <w:rPr>
          <w:rFonts w:ascii="Times New Roman" w:hAnsi="Times New Roman"/>
          <w:sz w:val="24"/>
        </w:rPr>
        <w:t>a</w:t>
      </w:r>
      <w:r w:rsidRPr="006060C4">
        <w:rPr>
          <w:rFonts w:ascii="Times New Roman" w:hAnsi="Times New Roman"/>
          <w:sz w:val="24"/>
        </w:rPr>
        <w:t xml:space="preserve"> </w:t>
      </w:r>
      <w:r>
        <w:rPr>
          <w:rFonts w:ascii="Times New Roman" w:hAnsi="Times New Roman"/>
          <w:sz w:val="24"/>
        </w:rPr>
        <w:t>and 263</w:t>
      </w:r>
      <w:r w:rsidRPr="007C7D81">
        <w:rPr>
          <w:rFonts w:ascii="Times New Roman" w:hAnsi="Times New Roman"/>
          <w:sz w:val="24"/>
        </w:rPr>
        <w:t xml:space="preserve">) </w:t>
      </w:r>
      <w:r>
        <w:rPr>
          <w:rFonts w:ascii="Times New Roman" w:hAnsi="Times New Roman"/>
          <w:sz w:val="24"/>
        </w:rPr>
        <w:t xml:space="preserve">and </w:t>
      </w:r>
      <w:r w:rsidRPr="007C7D81">
        <w:rPr>
          <w:rFonts w:ascii="Times New Roman" w:hAnsi="Times New Roman"/>
          <w:sz w:val="24"/>
        </w:rPr>
        <w:t xml:space="preserve">is voluntary.  </w:t>
      </w:r>
      <w:r>
        <w:rPr>
          <w:rFonts w:ascii="Times New Roman" w:hAnsi="Times New Roman"/>
          <w:sz w:val="24"/>
        </w:rPr>
        <w:t xml:space="preserve">Generally, when the survey or study is conducted by an outside firm, </w:t>
      </w:r>
      <w:r w:rsidRPr="007C7D81">
        <w:rPr>
          <w:rFonts w:ascii="Times New Roman" w:hAnsi="Times New Roman"/>
          <w:sz w:val="24"/>
        </w:rPr>
        <w:t xml:space="preserve">names </w:t>
      </w:r>
      <w:r>
        <w:rPr>
          <w:rFonts w:ascii="Times New Roman" w:hAnsi="Times New Roman"/>
          <w:sz w:val="24"/>
        </w:rPr>
        <w:t>or</w:t>
      </w:r>
      <w:r w:rsidRPr="007C7D81">
        <w:rPr>
          <w:rFonts w:ascii="Times New Roman" w:hAnsi="Times New Roman"/>
          <w:sz w:val="24"/>
        </w:rPr>
        <w:t xml:space="preserve"> other </w:t>
      </w:r>
      <w:r>
        <w:rPr>
          <w:rFonts w:ascii="Times New Roman" w:hAnsi="Times New Roman"/>
          <w:sz w:val="24"/>
        </w:rPr>
        <w:t xml:space="preserve">such directly identifying </w:t>
      </w:r>
      <w:r w:rsidRPr="007C7D81">
        <w:rPr>
          <w:rFonts w:ascii="Times New Roman" w:hAnsi="Times New Roman"/>
          <w:sz w:val="24"/>
        </w:rPr>
        <w:t xml:space="preserve">characteristics </w:t>
      </w:r>
      <w:r w:rsidRPr="007F2D19">
        <w:rPr>
          <w:rFonts w:ascii="Times New Roman" w:hAnsi="Times New Roman"/>
          <w:sz w:val="24"/>
        </w:rPr>
        <w:t>would not be reported to the Federal Reserve</w:t>
      </w:r>
      <w:r>
        <w:rPr>
          <w:rFonts w:ascii="Times New Roman" w:hAnsi="Times New Roman"/>
          <w:sz w:val="24"/>
        </w:rPr>
        <w:t xml:space="preserve">.  In circumstances where identifying information is provided to the Federal Reserve, such information could possibly be protected from Freedom of Information Act disclosure by FOIA exemptions 4 and 6 (5 U.S.C. 552(b)(4) and (6)).  </w:t>
      </w:r>
    </w:p>
    <w:p w:rsidR="00CE3869" w:rsidRDefault="00CE3869" w:rsidP="00CE3869">
      <w:pPr>
        <w:pStyle w:val="BodyText"/>
        <w:tabs>
          <w:tab w:val="left" w:pos="-1440"/>
        </w:tabs>
        <w:spacing w:after="0"/>
        <w:ind w:firstLine="360"/>
        <w:rPr>
          <w:rFonts w:ascii="Times New Roman" w:hAnsi="Times New Roman"/>
          <w:sz w:val="24"/>
        </w:rPr>
      </w:pPr>
    </w:p>
    <w:p w:rsidR="00CE3869" w:rsidRPr="00897F60" w:rsidRDefault="00CE3869" w:rsidP="00CE3869">
      <w:pPr>
        <w:ind w:firstLine="360"/>
        <w:rPr>
          <w:color w:val="000000"/>
          <w:szCs w:val="24"/>
        </w:rPr>
      </w:pPr>
      <w:r w:rsidRPr="00FF164B">
        <w:t>T</w:t>
      </w:r>
      <w:r>
        <w:t xml:space="preserve">he Federal Reserve Board’s Microeconomic Surveys section in the Division of Research and Statistics is an official statistical unit, as defined under the Confidential Information Protection and Statistical Efficiency Act </w:t>
      </w:r>
      <w:r w:rsidRPr="00740056">
        <w:t>(CIPSEA)</w:t>
      </w:r>
      <w:r>
        <w:t xml:space="preserve"> of 2002 </w:t>
      </w:r>
      <w:r w:rsidRPr="00E360D0">
        <w:t>(44</w:t>
      </w:r>
      <w:r w:rsidR="005C5151">
        <w:t xml:space="preserve"> </w:t>
      </w:r>
      <w:r w:rsidRPr="00E360D0">
        <w:t>U.S.C. 3501).</w:t>
      </w:r>
      <w:r>
        <w:t xml:space="preserve">  When information is collected by a private contractor under the oversight of that section, there are stringent requirements for protecting the data and respondents may be given a legally binding pledge of confidentiality.  The pledge would disallow any use of the data for a non-statistical </w:t>
      </w:r>
      <w:r>
        <w:lastRenderedPageBreak/>
        <w:t>purpose.</w:t>
      </w:r>
      <w:r w:rsidRPr="00E71325">
        <w:rPr>
          <w:rStyle w:val="FootnoteReference"/>
        </w:rPr>
        <w:footnoteReference w:id="3"/>
      </w:r>
      <w:r>
        <w:rPr>
          <w:vertAlign w:val="superscript"/>
        </w:rPr>
        <w:t xml:space="preserve"> </w:t>
      </w:r>
      <w:r>
        <w:t xml:space="preserve"> When the Federal Reserve collects data directly (that is, without the use of a private data collection company or other such agent), respondents may also be offered such a pledge if the data are intended for a statistical purpose.</w:t>
      </w: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2D19">
        <w:rPr>
          <w:b/>
        </w:rPr>
        <w:t>Consultation Outside</w:t>
      </w:r>
      <w:r>
        <w:rPr>
          <w:b/>
        </w:rPr>
        <w:t xml:space="preserve"> of</w:t>
      </w:r>
      <w:r w:rsidRPr="007F2D19">
        <w:rPr>
          <w:b/>
        </w:rPr>
        <w:t xml:space="preserve"> the Agency</w:t>
      </w:r>
      <w:r w:rsidR="00A435EC">
        <w:rPr>
          <w:b/>
        </w:rPr>
        <w:t xml:space="preserve"> </w:t>
      </w:r>
      <w:r w:rsidR="00A435EC">
        <w:rPr>
          <w:b/>
          <w:bCs/>
        </w:rPr>
        <w:t>and Discussion of Public Comments</w:t>
      </w: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E3869" w:rsidRDefault="00CE3869" w:rsidP="00CE3869">
      <w:pPr>
        <w:ind w:firstLine="360"/>
        <w:rPr>
          <w:color w:val="000000"/>
        </w:rPr>
      </w:pPr>
      <w:r>
        <w:rPr>
          <w:color w:val="000000"/>
        </w:rPr>
        <w:t>T</w:t>
      </w:r>
      <w:r w:rsidRPr="007F2D19">
        <w:rPr>
          <w:color w:val="000000"/>
        </w:rPr>
        <w:t>here has been no consultation outs</w:t>
      </w:r>
      <w:r>
        <w:rPr>
          <w:color w:val="000000"/>
        </w:rPr>
        <w:t>ide the Federal Reserve System; however, future surveys and studies could be conducted jointly with other agencies.  If this were to occur, the Federal Reserve would consult with other agencies’, to the extent practicable, to create a consistent set of questions or a substantively similar information collection.</w:t>
      </w:r>
    </w:p>
    <w:p w:rsidR="0089447A" w:rsidRDefault="0089447A" w:rsidP="00CE3869">
      <w:pPr>
        <w:ind w:firstLine="360"/>
        <w:rPr>
          <w:color w:val="000000"/>
        </w:rPr>
      </w:pPr>
    </w:p>
    <w:p w:rsidR="00CE3869" w:rsidRDefault="0089447A" w:rsidP="004655AC">
      <w:pPr>
        <w:ind w:firstLine="360"/>
      </w:pPr>
      <w:r>
        <w:rPr>
          <w:color w:val="000000"/>
        </w:rPr>
        <w:t xml:space="preserve">On March 30, 2009, the Federal Reserve published a notice in the Federal Register (74 FR </w:t>
      </w:r>
      <w:r w:rsidR="004A45B0">
        <w:rPr>
          <w:color w:val="000000"/>
        </w:rPr>
        <w:t>14126</w:t>
      </w:r>
      <w:r>
        <w:rPr>
          <w:color w:val="000000"/>
        </w:rPr>
        <w:t>) requesting public comment for 60 days on the implementation of the Microeconomic Survey.  The comment period for this notice expire</w:t>
      </w:r>
      <w:r w:rsidR="004655AC">
        <w:rPr>
          <w:color w:val="000000"/>
        </w:rPr>
        <w:t>d</w:t>
      </w:r>
      <w:r>
        <w:rPr>
          <w:color w:val="000000"/>
        </w:rPr>
        <w:t xml:space="preserve"> on May </w:t>
      </w:r>
      <w:r w:rsidR="004A45B0">
        <w:rPr>
          <w:color w:val="000000"/>
        </w:rPr>
        <w:t>29</w:t>
      </w:r>
      <w:r>
        <w:rPr>
          <w:color w:val="000000"/>
        </w:rPr>
        <w:t>, 2009.</w:t>
      </w:r>
      <w:r w:rsidR="004655AC">
        <w:rPr>
          <w:color w:val="000000"/>
        </w:rPr>
        <w:t xml:space="preserve">  </w:t>
      </w:r>
      <w:r w:rsidR="004655AC" w:rsidRPr="00A3408C">
        <w:t>The Federal Reserve did not receive any comments; the survey will be implemented as proposed.</w:t>
      </w:r>
      <w:r w:rsidR="004655AC">
        <w:t xml:space="preserve">  On June 9, 2009, the Federal Reserve published a final notice in the </w:t>
      </w:r>
      <w:r w:rsidR="004655AC" w:rsidRPr="004655AC">
        <w:rPr>
          <w:i/>
        </w:rPr>
        <w:t>Federal Register</w:t>
      </w:r>
      <w:r w:rsidR="004655AC">
        <w:t xml:space="preserve"> (74 FR </w:t>
      </w:r>
      <w:r w:rsidR="007B721F">
        <w:t>27319</w:t>
      </w:r>
      <w:r w:rsidR="004655AC">
        <w:t>).</w:t>
      </w:r>
    </w:p>
    <w:p w:rsidR="004655AC" w:rsidRPr="007F2D19" w:rsidRDefault="004655AC" w:rsidP="004655AC">
      <w:pPr>
        <w:ind w:firstLine="360"/>
      </w:pPr>
    </w:p>
    <w:p w:rsidR="00CE3869" w:rsidRPr="007F2D19" w:rsidRDefault="00CE3869" w:rsidP="00CE3869">
      <w:pPr>
        <w:tabs>
          <w:tab w:val="left" w:pos="720"/>
          <w:tab w:val="left" w:pos="1440"/>
        </w:tabs>
      </w:pPr>
      <w:r w:rsidRPr="007F2D19">
        <w:rPr>
          <w:b/>
        </w:rPr>
        <w:t>Sensitive Questions</w:t>
      </w:r>
    </w:p>
    <w:p w:rsidR="00CE3869" w:rsidRPr="007F2D19" w:rsidRDefault="00CE3869" w:rsidP="00CE3869">
      <w:pPr>
        <w:tabs>
          <w:tab w:val="left" w:pos="720"/>
          <w:tab w:val="left" w:pos="1440"/>
        </w:tabs>
      </w:pPr>
    </w:p>
    <w:p w:rsidR="00CE3869" w:rsidRPr="007F2D19" w:rsidRDefault="00CE3869" w:rsidP="00CE386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pPr>
      <w:r>
        <w:t>Household r</w:t>
      </w:r>
      <w:r w:rsidRPr="00556833">
        <w:t xml:space="preserve">espondents </w:t>
      </w:r>
      <w:r>
        <w:t xml:space="preserve">might </w:t>
      </w:r>
      <w:r w:rsidRPr="00556833">
        <w:t>be asked to identify the age and sex of individual family members; information on race</w:t>
      </w:r>
      <w:r>
        <w:t>, if needed,</w:t>
      </w:r>
      <w:r w:rsidRPr="00556833">
        <w:t xml:space="preserve"> would be collected u</w:t>
      </w:r>
      <w:r>
        <w:t>nder</w:t>
      </w:r>
      <w:r w:rsidRPr="00556833">
        <w:t xml:space="preserve"> guidelines </w:t>
      </w:r>
      <w:r>
        <w:t xml:space="preserve">issued by </w:t>
      </w:r>
      <w:r w:rsidRPr="00556833">
        <w:t xml:space="preserve">the </w:t>
      </w:r>
      <w:r w:rsidR="00C45632">
        <w:t>OMB</w:t>
      </w:r>
      <w:r>
        <w:t xml:space="preserve">. Such </w:t>
      </w:r>
      <w:r w:rsidRPr="00556833">
        <w:t xml:space="preserve">information </w:t>
      </w:r>
      <w:r>
        <w:t xml:space="preserve">might be needed in a survey </w:t>
      </w:r>
      <w:r w:rsidRPr="00556833">
        <w:t>in order to analyze the demographic aspects of consumer finances</w:t>
      </w:r>
      <w:r>
        <w:t xml:space="preserve"> or businesses (particularly small businesses)</w:t>
      </w:r>
      <w:r w:rsidRPr="00556833">
        <w:t>.</w:t>
      </w:r>
      <w:r>
        <w:t xml:space="preserve"> </w:t>
      </w: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2D19">
        <w:rPr>
          <w:b/>
        </w:rPr>
        <w:t>Estimate of Respondent Burden</w:t>
      </w:r>
    </w:p>
    <w:p w:rsidR="00CE3869" w:rsidRPr="007F2D19" w:rsidRDefault="00CE3869" w:rsidP="00CE3869"/>
    <w:p w:rsidR="006F2B34" w:rsidRDefault="00CE3869" w:rsidP="00CE3869">
      <w:pPr>
        <w:ind w:firstLine="360"/>
      </w:pPr>
      <w:r>
        <w:t>The total annual burden for the proposed FR 3051</w:t>
      </w:r>
      <w:r w:rsidRPr="007F2D19">
        <w:t xml:space="preserve"> </w:t>
      </w:r>
      <w:r>
        <w:t>Microeconomic S</w:t>
      </w:r>
      <w:r w:rsidRPr="007F2D19">
        <w:t xml:space="preserve">urvey is estimated to be </w:t>
      </w:r>
      <w:r>
        <w:t>24,000</w:t>
      </w:r>
      <w:r w:rsidRPr="007F2D19">
        <w:t xml:space="preserve"> hours</w:t>
      </w:r>
      <w:r>
        <w:t>,</w:t>
      </w:r>
      <w:r w:rsidRPr="007F2D19">
        <w:t xml:space="preserve"> as shown in the following table.  Because the survey </w:t>
      </w:r>
      <w:r>
        <w:t>would be</w:t>
      </w:r>
      <w:r w:rsidRPr="007F2D19">
        <w:t xml:space="preserve"> event generated, it is not possible to predict exactly how many surveys will be conducted in a given year.  </w:t>
      </w:r>
      <w:r>
        <w:t xml:space="preserve">It is anticipated that the information collection would involve as much as one annual survey and </w:t>
      </w:r>
      <w:r w:rsidR="00C45632">
        <w:t>12</w:t>
      </w:r>
      <w:r>
        <w:t xml:space="preserve"> monthly survey</w:t>
      </w:r>
      <w:r w:rsidR="00C45632">
        <w:t>s</w:t>
      </w:r>
      <w:r>
        <w:t xml:space="preserve">.  </w:t>
      </w:r>
      <w:r w:rsidRPr="007F2D19">
        <w:t>The burden estimate</w:t>
      </w:r>
      <w:r>
        <w:t>s</w:t>
      </w:r>
      <w:r w:rsidRPr="007F2D19">
        <w:t xml:space="preserve"> shown in the table below </w:t>
      </w:r>
      <w:r>
        <w:t>are</w:t>
      </w:r>
      <w:r w:rsidRPr="007F2D19">
        <w:t xml:space="preserve"> based on the average number of responses anticipated.  The total estimated burden hours would not exceed the amount budgeted for a particular year.  This represents less than 1 percent of total Federal Reserve System annual reporting burden.</w:t>
      </w:r>
    </w:p>
    <w:p w:rsidR="006F2B34" w:rsidRDefault="006F2B34">
      <w:r>
        <w:br w:type="page"/>
      </w:r>
    </w:p>
    <w:p w:rsidR="00CE3869" w:rsidRPr="007F2D19" w:rsidRDefault="00CE3869" w:rsidP="00CE3869">
      <w:pPr>
        <w:ind w:firstLine="360"/>
      </w:pPr>
    </w:p>
    <w:p w:rsidR="00CE3869" w:rsidRPr="007F2D19" w:rsidRDefault="00CE3869" w:rsidP="00C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Borders>
          <w:top w:val="single" w:sz="6" w:space="0" w:color="auto"/>
          <w:bottom w:val="single" w:sz="6" w:space="0" w:color="auto"/>
        </w:tblBorders>
        <w:tblLayout w:type="fixed"/>
        <w:tblCellMar>
          <w:left w:w="120" w:type="dxa"/>
          <w:right w:w="120" w:type="dxa"/>
        </w:tblCellMar>
        <w:tblLook w:val="0000"/>
      </w:tblPr>
      <w:tblGrid>
        <w:gridCol w:w="16"/>
        <w:gridCol w:w="2841"/>
        <w:gridCol w:w="8"/>
        <w:gridCol w:w="1561"/>
        <w:gridCol w:w="6"/>
        <w:gridCol w:w="1567"/>
        <w:gridCol w:w="1569"/>
        <w:gridCol w:w="1569"/>
      </w:tblGrid>
      <w:tr w:rsidR="00CE3869" w:rsidRPr="007F2D19" w:rsidTr="00CE3869">
        <w:trPr>
          <w:trHeight w:val="1056"/>
          <w:jc w:val="center"/>
        </w:trPr>
        <w:tc>
          <w:tcPr>
            <w:tcW w:w="2857" w:type="dxa"/>
            <w:gridSpan w:val="2"/>
            <w:vAlign w:val="center"/>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69" w:type="dxa"/>
            <w:gridSpan w:val="2"/>
            <w:vAlign w:val="center"/>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Estimated number of respondents</w:t>
            </w:r>
          </w:p>
        </w:tc>
        <w:tc>
          <w:tcPr>
            <w:tcW w:w="1569" w:type="dxa"/>
            <w:gridSpan w:val="2"/>
            <w:vAlign w:val="center"/>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7F2D19">
              <w:rPr>
                <w:i/>
              </w:rPr>
              <w:t>Annual</w:t>
            </w:r>
          </w:p>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frequency</w:t>
            </w:r>
          </w:p>
        </w:tc>
        <w:tc>
          <w:tcPr>
            <w:tcW w:w="1569" w:type="dxa"/>
            <w:vAlign w:val="center"/>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7F2D19">
              <w:rPr>
                <w:i/>
              </w:rPr>
              <w:t>Estimated average time</w:t>
            </w:r>
          </w:p>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per response</w:t>
            </w:r>
            <w:r>
              <w:rPr>
                <w:i/>
              </w:rPr>
              <w:t xml:space="preserve"> (minutes)</w:t>
            </w:r>
          </w:p>
        </w:tc>
        <w:tc>
          <w:tcPr>
            <w:tcW w:w="1569" w:type="dxa"/>
            <w:vAlign w:val="center"/>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Estimated annual burden hours</w:t>
            </w:r>
          </w:p>
        </w:tc>
      </w:tr>
      <w:tr w:rsidR="00CE3869" w:rsidRPr="007F2D19" w:rsidTr="00CE3869">
        <w:trPr>
          <w:gridBefore w:val="1"/>
          <w:wBefore w:w="16" w:type="dxa"/>
          <w:trHeight w:val="684"/>
          <w:jc w:val="center"/>
        </w:trPr>
        <w:tc>
          <w:tcPr>
            <w:tcW w:w="2849"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Annual survey</w:t>
            </w:r>
          </w:p>
        </w:tc>
        <w:tc>
          <w:tcPr>
            <w:tcW w:w="1567"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6,000</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1</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60</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t>6,000</w:t>
            </w:r>
          </w:p>
        </w:tc>
      </w:tr>
      <w:tr w:rsidR="00CE3869" w:rsidRPr="007F2D19" w:rsidTr="00CE3869">
        <w:trPr>
          <w:gridBefore w:val="1"/>
          <w:wBefore w:w="16" w:type="dxa"/>
          <w:trHeight w:val="684"/>
          <w:jc w:val="center"/>
        </w:trPr>
        <w:tc>
          <w:tcPr>
            <w:tcW w:w="2849"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t>Monthly survey</w:t>
            </w:r>
          </w:p>
        </w:tc>
        <w:tc>
          <w:tcPr>
            <w:tcW w:w="1567"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3,000</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12</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30</w:t>
            </w: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Pr>
                <w:u w:val="single"/>
              </w:rPr>
              <w:t>18,000</w:t>
            </w:r>
          </w:p>
        </w:tc>
      </w:tr>
      <w:tr w:rsidR="00CE3869" w:rsidRPr="007F2D19" w:rsidTr="00CE3869">
        <w:trPr>
          <w:gridBefore w:val="1"/>
          <w:wBefore w:w="16" w:type="dxa"/>
          <w:trHeight w:val="684"/>
          <w:jc w:val="center"/>
        </w:trPr>
        <w:tc>
          <w:tcPr>
            <w:tcW w:w="2849"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Pr>
                <w:i/>
              </w:rPr>
              <w:t>T</w:t>
            </w:r>
            <w:r w:rsidRPr="007F2D19">
              <w:rPr>
                <w:i/>
              </w:rPr>
              <w:t>otal</w:t>
            </w:r>
          </w:p>
        </w:tc>
        <w:tc>
          <w:tcPr>
            <w:tcW w:w="1567" w:type="dxa"/>
            <w:gridSpan w:val="2"/>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CE3869" w:rsidRPr="007F2D19" w:rsidRDefault="00CE3869" w:rsidP="00CE38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t>24,000</w:t>
            </w:r>
          </w:p>
        </w:tc>
      </w:tr>
    </w:tbl>
    <w:p w:rsidR="00CE3869" w:rsidRDefault="00CE3869" w:rsidP="00CE3869">
      <w:pPr>
        <w:rPr>
          <w:color w:val="000000"/>
        </w:rPr>
      </w:pPr>
    </w:p>
    <w:p w:rsidR="00CE3869" w:rsidRPr="007F2D19" w:rsidRDefault="00CE3869" w:rsidP="00CE3869">
      <w:pPr>
        <w:rPr>
          <w:color w:val="000000"/>
        </w:rPr>
      </w:pPr>
      <w:r w:rsidRPr="007F2D19">
        <w:rPr>
          <w:color w:val="000000"/>
        </w:rPr>
        <w:t>The current annual cost to the public of these reports is estimated to be $</w:t>
      </w:r>
      <w:r>
        <w:rPr>
          <w:color w:val="000000"/>
        </w:rPr>
        <w:t>1,479,600</w:t>
      </w:r>
      <w:r w:rsidRPr="007F2D19">
        <w:rPr>
          <w:color w:val="000000"/>
        </w:rPr>
        <w:t>.</w:t>
      </w:r>
      <w:r w:rsidRPr="007F2D19">
        <w:rPr>
          <w:rStyle w:val="FootnoteReference"/>
          <w:color w:val="000000"/>
        </w:rPr>
        <w:footnoteReference w:id="4"/>
      </w:r>
      <w:r w:rsidRPr="007F2D19">
        <w:rPr>
          <w:color w:val="000000"/>
        </w:rPr>
        <w:t xml:space="preserve">  </w:t>
      </w:r>
    </w:p>
    <w:p w:rsidR="00CE3869" w:rsidRPr="007F2D19" w:rsidRDefault="00CE3869" w:rsidP="00CE3869">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b/>
        </w:rPr>
      </w:pPr>
    </w:p>
    <w:p w:rsidR="00CE3869" w:rsidRPr="007F2D19" w:rsidRDefault="00CE3869" w:rsidP="00CE3869">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b/>
        </w:rPr>
      </w:pPr>
      <w:r w:rsidRPr="007F2D19">
        <w:rPr>
          <w:b/>
        </w:rPr>
        <w:t>Estimate of Cost to the Federal Reserve System</w:t>
      </w:r>
    </w:p>
    <w:p w:rsidR="00CE3869" w:rsidRPr="007F2D19" w:rsidRDefault="00CE3869" w:rsidP="00CE386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rsidR="00A22055" w:rsidRPr="00E2656F" w:rsidRDefault="00A22055" w:rsidP="00A22055">
      <w:pPr>
        <w:ind w:firstLine="720"/>
        <w:rPr>
          <w:rFonts w:ascii="Times" w:hAnsi="Times" w:cs="Times"/>
        </w:rPr>
      </w:pPr>
      <w:r w:rsidRPr="00E2656F">
        <w:rPr>
          <w:rFonts w:ascii="Times" w:hAnsi="Times" w:cs="Times"/>
        </w:rPr>
        <w:t>The annual cost to the Federal Reserve of conducting the surveys is</w:t>
      </w:r>
      <w:r>
        <w:rPr>
          <w:rFonts w:ascii="Times" w:hAnsi="Times" w:cs="Times"/>
        </w:rPr>
        <w:t xml:space="preserve"> estimated to be $5,250,000</w:t>
      </w:r>
      <w:r w:rsidRPr="00E2656F">
        <w:rPr>
          <w:rFonts w:ascii="Times" w:hAnsi="Times" w:cs="Times"/>
        </w:rPr>
        <w:t>.</w:t>
      </w:r>
    </w:p>
    <w:p w:rsidR="00677660" w:rsidRPr="00576147" w:rsidRDefault="00677660" w:rsidP="00A22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sectPr w:rsidR="00677660" w:rsidRPr="00576147" w:rsidSect="000A4F70">
      <w:footerReference w:type="even" r:id="rId8"/>
      <w:footerReference w:type="default" r:id="rId9"/>
      <w:type w:val="continuous"/>
      <w:pgSz w:w="12240" w:h="15840"/>
      <w:pgMar w:top="1080" w:right="1440" w:bottom="108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E77" w:rsidRDefault="00A46E77">
      <w:r>
        <w:separator/>
      </w:r>
    </w:p>
  </w:endnote>
  <w:endnote w:type="continuationSeparator" w:id="1">
    <w:p w:rsidR="00A46E77" w:rsidRDefault="00A46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7" w:rsidRDefault="002226B0" w:rsidP="005D0EF6">
    <w:pPr>
      <w:pStyle w:val="Footer"/>
      <w:framePr w:wrap="around" w:vAnchor="text" w:hAnchor="margin" w:xAlign="center" w:y="1"/>
      <w:rPr>
        <w:rStyle w:val="PageNumber"/>
      </w:rPr>
    </w:pPr>
    <w:r>
      <w:rPr>
        <w:rStyle w:val="PageNumber"/>
      </w:rPr>
      <w:fldChar w:fldCharType="begin"/>
    </w:r>
    <w:r w:rsidR="00A46E77">
      <w:rPr>
        <w:rStyle w:val="PageNumber"/>
      </w:rPr>
      <w:instrText xml:space="preserve">PAGE  </w:instrText>
    </w:r>
    <w:r>
      <w:rPr>
        <w:rStyle w:val="PageNumber"/>
      </w:rPr>
      <w:fldChar w:fldCharType="end"/>
    </w:r>
  </w:p>
  <w:p w:rsidR="00A46E77" w:rsidRDefault="00A46E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77" w:rsidRDefault="002226B0" w:rsidP="005D0EF6">
    <w:pPr>
      <w:pStyle w:val="Footer"/>
      <w:framePr w:wrap="around" w:vAnchor="text" w:hAnchor="margin" w:xAlign="center" w:y="1"/>
      <w:rPr>
        <w:rStyle w:val="PageNumber"/>
      </w:rPr>
    </w:pPr>
    <w:r>
      <w:rPr>
        <w:rStyle w:val="PageNumber"/>
      </w:rPr>
      <w:fldChar w:fldCharType="begin"/>
    </w:r>
    <w:r w:rsidR="00A46E77">
      <w:rPr>
        <w:rStyle w:val="PageNumber"/>
      </w:rPr>
      <w:instrText xml:space="preserve">PAGE  </w:instrText>
    </w:r>
    <w:r>
      <w:rPr>
        <w:rStyle w:val="PageNumber"/>
      </w:rPr>
      <w:fldChar w:fldCharType="separate"/>
    </w:r>
    <w:r w:rsidR="00EE2397">
      <w:rPr>
        <w:rStyle w:val="PageNumber"/>
        <w:noProof/>
      </w:rPr>
      <w:t>2</w:t>
    </w:r>
    <w:r>
      <w:rPr>
        <w:rStyle w:val="PageNumber"/>
      </w:rPr>
      <w:fldChar w:fldCharType="end"/>
    </w:r>
  </w:p>
  <w:p w:rsidR="00A46E77" w:rsidRDefault="00A46E7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E77" w:rsidRDefault="00A46E77">
      <w:r>
        <w:separator/>
      </w:r>
    </w:p>
  </w:footnote>
  <w:footnote w:type="continuationSeparator" w:id="1">
    <w:p w:rsidR="00A46E77" w:rsidRDefault="00A46E77">
      <w:r>
        <w:continuationSeparator/>
      </w:r>
    </w:p>
  </w:footnote>
  <w:footnote w:id="2">
    <w:p w:rsidR="00A46E77" w:rsidRPr="0046442D" w:rsidRDefault="00A46E77" w:rsidP="00CE3869">
      <w:pPr>
        <w:pStyle w:val="FootnoteText"/>
      </w:pPr>
      <w:r w:rsidRPr="0046442D">
        <w:rPr>
          <w:rStyle w:val="FootnoteReference"/>
        </w:rPr>
        <w:footnoteRef/>
      </w:r>
      <w:r w:rsidRPr="0046442D">
        <w:rPr>
          <w:vertAlign w:val="superscript"/>
        </w:rPr>
        <w:t xml:space="preserve"> </w:t>
      </w:r>
      <w:r>
        <w:t>A couple of s</w:t>
      </w:r>
      <w:r w:rsidRPr="0046442D">
        <w:t xml:space="preserve">urvey firms used by the Federal Reserve to conduct past surveys include the </w:t>
      </w:r>
      <w:smartTag w:uri="urn:schemas-microsoft-com:office:smarttags" w:element="place">
        <w:smartTag w:uri="urn:schemas-microsoft-com:office:smarttags" w:element="PlaceType">
          <w:r w:rsidRPr="0046442D">
            <w:t>University</w:t>
          </w:r>
        </w:smartTag>
        <w:r w:rsidRPr="0046442D">
          <w:t xml:space="preserve"> of </w:t>
        </w:r>
        <w:smartTag w:uri="urn:schemas-microsoft-com:office:smarttags" w:element="PlaceName">
          <w:r w:rsidRPr="0046442D">
            <w:t>Michigan</w:t>
          </w:r>
        </w:smartTag>
      </w:smartTag>
      <w:r w:rsidRPr="0046442D">
        <w:t xml:space="preserve">’s Survey Research Center (SRC) </w:t>
      </w:r>
      <w:r>
        <w:t xml:space="preserve">and </w:t>
      </w:r>
      <w:r w:rsidRPr="0046442D">
        <w:t xml:space="preserve">NORC (a social science and survey research organization at the </w:t>
      </w:r>
      <w:smartTag w:uri="urn:schemas-microsoft-com:office:smarttags" w:element="place">
        <w:smartTag w:uri="urn:schemas-microsoft-com:office:smarttags" w:element="PlaceType">
          <w:r w:rsidRPr="0046442D">
            <w:t>University</w:t>
          </w:r>
        </w:smartTag>
        <w:r w:rsidRPr="0046442D">
          <w:t xml:space="preserve"> of </w:t>
        </w:r>
        <w:smartTag w:uri="urn:schemas-microsoft-com:office:smarttags" w:element="PlaceName">
          <w:r w:rsidRPr="0046442D">
            <w:t>Chicago</w:t>
          </w:r>
        </w:smartTag>
      </w:smartTag>
      <w:r w:rsidRPr="0046442D">
        <w:t>).</w:t>
      </w:r>
    </w:p>
  </w:footnote>
  <w:footnote w:id="3">
    <w:p w:rsidR="00A46E77" w:rsidRPr="005D5721" w:rsidRDefault="00A46E77" w:rsidP="00CE3869">
      <w:pPr>
        <w:pStyle w:val="FootnoteText"/>
      </w:pPr>
      <w:r w:rsidRPr="00740056">
        <w:rPr>
          <w:rStyle w:val="FootnoteReference"/>
        </w:rPr>
        <w:footnoteRef/>
      </w:r>
      <w:r w:rsidRPr="005D5721">
        <w:t xml:space="preserve"> </w:t>
      </w:r>
      <w:r>
        <w:t>“</w:t>
      </w:r>
      <w:r w:rsidRPr="005D5721">
        <w:t>Non</w:t>
      </w:r>
      <w:r>
        <w:t>-</w:t>
      </w:r>
      <w:r w:rsidRPr="005D5721">
        <w:t>statistical</w:t>
      </w:r>
      <w:r>
        <w:t>” is defined precisely in CIPSEA.  Loosely, an information collection undertaken for a non-statistical purpose would be one intended to support a regulatory action or other action specifically targeted to the entity on which data were collected.</w:t>
      </w:r>
    </w:p>
  </w:footnote>
  <w:footnote w:id="4">
    <w:p w:rsidR="00A46E77" w:rsidRPr="003D1894" w:rsidRDefault="00A46E77" w:rsidP="00CE3869">
      <w:pPr>
        <w:pStyle w:val="FootnoteText"/>
      </w:pPr>
      <w:r w:rsidRPr="00035C8C">
        <w:rPr>
          <w:rStyle w:val="FootnoteReference"/>
          <w:sz w:val="22"/>
          <w:szCs w:val="22"/>
        </w:rPr>
        <w:footnoteRef/>
      </w:r>
      <w:r w:rsidRPr="003D1894">
        <w:t xml:space="preserve"> </w:t>
      </w:r>
      <w:r w:rsidRPr="00E72A0E">
        <w:rPr>
          <w:sz w:val="18"/>
          <w:szCs w:val="18"/>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w:t>
      </w:r>
      <w:r>
        <w:rPr>
          <w:sz w:val="18"/>
          <w:szCs w:val="18"/>
        </w:rPr>
        <w:t xml:space="preserve"> (BLS)</w:t>
      </w:r>
      <w:r w:rsidRPr="00E72A0E">
        <w:rPr>
          <w:sz w:val="18"/>
          <w:szCs w:val="18"/>
        </w:rPr>
        <w:t xml:space="preserve">, Occupational Employment and Wages 2007, </w:t>
      </w:r>
      <w:hyperlink r:id="rId1" w:history="1">
        <w:r w:rsidRPr="004B2C10">
          <w:rPr>
            <w:rStyle w:val="Hyperlink"/>
            <w:sz w:val="18"/>
            <w:szCs w:val="18"/>
          </w:rPr>
          <w:t>http://www.bls.gov/news.release/ocwage.nr0.htm</w:t>
        </w:r>
      </w:hyperlink>
      <w:r>
        <w:rPr>
          <w:sz w:val="18"/>
          <w:szCs w:val="18"/>
        </w:rPr>
        <w:t xml:space="preserve">  </w:t>
      </w:r>
      <w:r w:rsidRPr="00E72A0E">
        <w:rPr>
          <w:sz w:val="18"/>
          <w:szCs w:val="18"/>
        </w:rPr>
        <w:t xml:space="preserve">Occupations are defined using the BLS Occupational Classification System.  </w:t>
      </w:r>
      <w:hyperlink r:id="rId2" w:history="1">
        <w:r w:rsidRPr="004B2C10">
          <w:rPr>
            <w:rStyle w:val="Hyperlink"/>
            <w:sz w:val="18"/>
            <w:szCs w:val="18"/>
          </w:rPr>
          <w:t>http://www.bls.gov/soc/</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1E54"/>
    <w:multiLevelType w:val="hybridMultilevel"/>
    <w:tmpl w:val="6AFA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B5893"/>
    <w:multiLevelType w:val="hybridMultilevel"/>
    <w:tmpl w:val="A02E9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4337"/>
  </w:hdrShapeDefaults>
  <w:footnotePr>
    <w:footnote w:id="0"/>
    <w:footnote w:id="1"/>
  </w:footnotePr>
  <w:endnotePr>
    <w:endnote w:id="0"/>
    <w:endnote w:id="1"/>
  </w:endnotePr>
  <w:compat/>
  <w:rsids>
    <w:rsidRoot w:val="008E2301"/>
    <w:rsid w:val="000039DB"/>
    <w:rsid w:val="000368E3"/>
    <w:rsid w:val="000443B2"/>
    <w:rsid w:val="00080DFD"/>
    <w:rsid w:val="000A4F70"/>
    <w:rsid w:val="000C5994"/>
    <w:rsid w:val="000F0B91"/>
    <w:rsid w:val="00146E05"/>
    <w:rsid w:val="001504B1"/>
    <w:rsid w:val="00151E5C"/>
    <w:rsid w:val="0015382B"/>
    <w:rsid w:val="001610B7"/>
    <w:rsid w:val="001A16DB"/>
    <w:rsid w:val="002226B0"/>
    <w:rsid w:val="00270583"/>
    <w:rsid w:val="00282B1D"/>
    <w:rsid w:val="002D7E1E"/>
    <w:rsid w:val="00303226"/>
    <w:rsid w:val="00373577"/>
    <w:rsid w:val="003D218F"/>
    <w:rsid w:val="003F12F4"/>
    <w:rsid w:val="00450AC2"/>
    <w:rsid w:val="004655AC"/>
    <w:rsid w:val="004907E5"/>
    <w:rsid w:val="004A45B0"/>
    <w:rsid w:val="004F0422"/>
    <w:rsid w:val="00531E90"/>
    <w:rsid w:val="00536B4E"/>
    <w:rsid w:val="00576147"/>
    <w:rsid w:val="005B1BEF"/>
    <w:rsid w:val="005C5151"/>
    <w:rsid w:val="005D0544"/>
    <w:rsid w:val="005D0EF6"/>
    <w:rsid w:val="005D34CC"/>
    <w:rsid w:val="00635D6F"/>
    <w:rsid w:val="00640A3C"/>
    <w:rsid w:val="0065017C"/>
    <w:rsid w:val="00677660"/>
    <w:rsid w:val="006B2B37"/>
    <w:rsid w:val="006E573E"/>
    <w:rsid w:val="006F2B34"/>
    <w:rsid w:val="00780EBA"/>
    <w:rsid w:val="00785EE6"/>
    <w:rsid w:val="007B721F"/>
    <w:rsid w:val="007D0FEC"/>
    <w:rsid w:val="007F7115"/>
    <w:rsid w:val="00822257"/>
    <w:rsid w:val="00841C64"/>
    <w:rsid w:val="008908A9"/>
    <w:rsid w:val="0089447A"/>
    <w:rsid w:val="008A0FD1"/>
    <w:rsid w:val="008B5DBC"/>
    <w:rsid w:val="008E2301"/>
    <w:rsid w:val="00933EB5"/>
    <w:rsid w:val="0096145F"/>
    <w:rsid w:val="00973822"/>
    <w:rsid w:val="009E3246"/>
    <w:rsid w:val="009E506B"/>
    <w:rsid w:val="009E68F7"/>
    <w:rsid w:val="00A22055"/>
    <w:rsid w:val="00A435EC"/>
    <w:rsid w:val="00A46E77"/>
    <w:rsid w:val="00A87FA3"/>
    <w:rsid w:val="00AA0B24"/>
    <w:rsid w:val="00B46442"/>
    <w:rsid w:val="00B959C1"/>
    <w:rsid w:val="00BF4B1D"/>
    <w:rsid w:val="00BF54FF"/>
    <w:rsid w:val="00C15627"/>
    <w:rsid w:val="00C45632"/>
    <w:rsid w:val="00CB375B"/>
    <w:rsid w:val="00CC30FA"/>
    <w:rsid w:val="00CE3869"/>
    <w:rsid w:val="00DA7510"/>
    <w:rsid w:val="00DA7B73"/>
    <w:rsid w:val="00DC509C"/>
    <w:rsid w:val="00DE2C77"/>
    <w:rsid w:val="00E10D87"/>
    <w:rsid w:val="00E57837"/>
    <w:rsid w:val="00EA61C7"/>
    <w:rsid w:val="00EB6A6F"/>
    <w:rsid w:val="00ED58E0"/>
    <w:rsid w:val="00EE0064"/>
    <w:rsid w:val="00EE2397"/>
    <w:rsid w:val="00F14982"/>
    <w:rsid w:val="00F555C8"/>
    <w:rsid w:val="00F810C6"/>
    <w:rsid w:val="00FE02E7"/>
    <w:rsid w:val="00FE5C56"/>
    <w:rsid w:val="00FF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90"/>
    <w:rPr>
      <w:snapToGrid w:val="0"/>
      <w:sz w:val="24"/>
    </w:rPr>
  </w:style>
  <w:style w:type="paragraph" w:styleId="Heading1">
    <w:name w:val="heading 1"/>
    <w:basedOn w:val="Normal"/>
    <w:next w:val="Normal"/>
    <w:qFormat/>
    <w:rsid w:val="00531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paragraph" w:styleId="Heading2">
    <w:name w:val="heading 2"/>
    <w:basedOn w:val="Normal"/>
    <w:next w:val="Normal"/>
    <w:qFormat/>
    <w:rsid w:val="00531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i/>
      <w:i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531E90"/>
    <w:pPr>
      <w:autoSpaceDE w:val="0"/>
      <w:autoSpaceDN w:val="0"/>
      <w:adjustRightInd w:val="0"/>
      <w:ind w:left="-1440"/>
    </w:pPr>
    <w:rPr>
      <w:sz w:val="24"/>
      <w:szCs w:val="24"/>
    </w:rPr>
  </w:style>
  <w:style w:type="paragraph" w:styleId="Header">
    <w:name w:val="header"/>
    <w:basedOn w:val="Normal"/>
    <w:link w:val="HeaderChar"/>
    <w:uiPriority w:val="99"/>
    <w:rsid w:val="00531E90"/>
    <w:pPr>
      <w:tabs>
        <w:tab w:val="center" w:pos="4320"/>
        <w:tab w:val="right" w:pos="8640"/>
      </w:tabs>
    </w:pPr>
  </w:style>
  <w:style w:type="paragraph" w:styleId="Footer">
    <w:name w:val="footer"/>
    <w:basedOn w:val="Normal"/>
    <w:rsid w:val="00531E90"/>
    <w:pPr>
      <w:tabs>
        <w:tab w:val="center" w:pos="4320"/>
        <w:tab w:val="right" w:pos="8640"/>
      </w:tabs>
    </w:pPr>
  </w:style>
  <w:style w:type="character" w:styleId="PageNumber">
    <w:name w:val="page number"/>
    <w:basedOn w:val="DefaultParagraphFont"/>
    <w:rsid w:val="00531E90"/>
  </w:style>
  <w:style w:type="paragraph" w:styleId="BalloonText">
    <w:name w:val="Balloon Text"/>
    <w:basedOn w:val="Normal"/>
    <w:semiHidden/>
    <w:rsid w:val="00282B1D"/>
    <w:rPr>
      <w:rFonts w:ascii="Tahoma" w:hAnsi="Tahoma"/>
      <w:sz w:val="16"/>
      <w:szCs w:val="16"/>
    </w:rPr>
  </w:style>
  <w:style w:type="character" w:styleId="CommentReference">
    <w:name w:val="annotation reference"/>
    <w:basedOn w:val="DefaultParagraphFont"/>
    <w:semiHidden/>
    <w:rsid w:val="0065017C"/>
    <w:rPr>
      <w:sz w:val="16"/>
      <w:szCs w:val="16"/>
    </w:rPr>
  </w:style>
  <w:style w:type="paragraph" w:styleId="CommentText">
    <w:name w:val="annotation text"/>
    <w:basedOn w:val="Normal"/>
    <w:semiHidden/>
    <w:rsid w:val="0065017C"/>
    <w:rPr>
      <w:sz w:val="20"/>
    </w:rPr>
  </w:style>
  <w:style w:type="paragraph" w:styleId="CommentSubject">
    <w:name w:val="annotation subject"/>
    <w:basedOn w:val="CommentText"/>
    <w:next w:val="CommentText"/>
    <w:semiHidden/>
    <w:rsid w:val="0065017C"/>
    <w:rPr>
      <w:b/>
      <w:bCs/>
    </w:rPr>
  </w:style>
  <w:style w:type="paragraph" w:styleId="FootnoteText">
    <w:name w:val="footnote text"/>
    <w:basedOn w:val="Normal"/>
    <w:link w:val="FootnoteTextChar"/>
    <w:semiHidden/>
    <w:rsid w:val="000C5994"/>
    <w:rPr>
      <w:sz w:val="20"/>
    </w:rPr>
  </w:style>
  <w:style w:type="character" w:styleId="FootnoteReference">
    <w:name w:val="footnote reference"/>
    <w:basedOn w:val="DefaultParagraphFont"/>
    <w:semiHidden/>
    <w:rsid w:val="000C5994"/>
    <w:rPr>
      <w:vertAlign w:val="superscript"/>
    </w:rPr>
  </w:style>
  <w:style w:type="character" w:styleId="Hyperlink">
    <w:name w:val="Hyperlink"/>
    <w:basedOn w:val="DefaultParagraphFont"/>
    <w:rsid w:val="005B1BEF"/>
    <w:rPr>
      <w:color w:val="0000FF"/>
      <w:u w:val="single"/>
    </w:rPr>
  </w:style>
  <w:style w:type="paragraph" w:styleId="BodyTextIndent">
    <w:name w:val="Body Text Indent"/>
    <w:basedOn w:val="Normal"/>
    <w:link w:val="BodyTextIndentChar"/>
    <w:rsid w:val="00CE3869"/>
    <w:pPr>
      <w:autoSpaceDE w:val="0"/>
      <w:autoSpaceDN w:val="0"/>
      <w:adjustRightInd w:val="0"/>
      <w:ind w:firstLine="360"/>
    </w:pPr>
    <w:rPr>
      <w:rFonts w:ascii="Times" w:hAnsi="Times" w:cs="Times"/>
      <w:snapToGrid/>
      <w:szCs w:val="24"/>
    </w:rPr>
  </w:style>
  <w:style w:type="character" w:customStyle="1" w:styleId="BodyTextIndentChar">
    <w:name w:val="Body Text Indent Char"/>
    <w:basedOn w:val="DefaultParagraphFont"/>
    <w:link w:val="BodyTextIndent"/>
    <w:rsid w:val="00CE3869"/>
    <w:rPr>
      <w:rFonts w:ascii="Times" w:hAnsi="Times" w:cs="Times"/>
      <w:sz w:val="24"/>
      <w:szCs w:val="24"/>
    </w:rPr>
  </w:style>
  <w:style w:type="paragraph" w:styleId="BodyText">
    <w:name w:val="Body Text"/>
    <w:basedOn w:val="Normal"/>
    <w:link w:val="BodyTextChar"/>
    <w:rsid w:val="00CE3869"/>
    <w:pPr>
      <w:widowControl w:val="0"/>
      <w:autoSpaceDE w:val="0"/>
      <w:autoSpaceDN w:val="0"/>
      <w:adjustRightInd w:val="0"/>
      <w:spacing w:after="120"/>
    </w:pPr>
    <w:rPr>
      <w:rFonts w:ascii="Courier" w:hAnsi="Courier"/>
      <w:snapToGrid/>
      <w:sz w:val="20"/>
      <w:szCs w:val="24"/>
    </w:rPr>
  </w:style>
  <w:style w:type="character" w:customStyle="1" w:styleId="BodyTextChar">
    <w:name w:val="Body Text Char"/>
    <w:basedOn w:val="DefaultParagraphFont"/>
    <w:link w:val="BodyText"/>
    <w:rsid w:val="00CE3869"/>
    <w:rPr>
      <w:rFonts w:ascii="Courier" w:hAnsi="Courier"/>
      <w:szCs w:val="24"/>
    </w:rPr>
  </w:style>
  <w:style w:type="paragraph" w:customStyle="1" w:styleId="MemoHeader">
    <w:name w:val="Memo Header"/>
    <w:basedOn w:val="Normal"/>
    <w:next w:val="Normal"/>
    <w:rsid w:val="00CE3869"/>
    <w:rPr>
      <w:rFonts w:ascii="Arial" w:hAnsi="Arial"/>
      <w:smallCaps/>
      <w:snapToGrid/>
    </w:rPr>
  </w:style>
  <w:style w:type="character" w:customStyle="1" w:styleId="FootnoteTextChar">
    <w:name w:val="Footnote Text Char"/>
    <w:basedOn w:val="DefaultParagraphFont"/>
    <w:link w:val="FootnoteText"/>
    <w:semiHidden/>
    <w:rsid w:val="00CE3869"/>
    <w:rPr>
      <w:snapToGrid w:val="0"/>
    </w:rPr>
  </w:style>
  <w:style w:type="character" w:customStyle="1" w:styleId="HeaderChar">
    <w:name w:val="Header Char"/>
    <w:basedOn w:val="DefaultParagraphFont"/>
    <w:link w:val="Header"/>
    <w:uiPriority w:val="99"/>
    <w:rsid w:val="000443B2"/>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2A1B-52B6-4AB3-808A-09579D7C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1740</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11725</CharactersWithSpaces>
  <SharedDoc>false</SharedDoc>
  <HLinks>
    <vt:vector size="6" baseType="variant">
      <vt:variant>
        <vt:i4>4849740</vt:i4>
      </vt:variant>
      <vt:variant>
        <vt:i4>0</vt:i4>
      </vt:variant>
      <vt:variant>
        <vt:i4>0</vt:i4>
      </vt:variant>
      <vt:variant>
        <vt:i4>5</vt:i4>
      </vt:variant>
      <vt:variant>
        <vt:lpwstr>http://www.bls.gov/cew/state2002.txt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m1swf99</cp:lastModifiedBy>
  <cp:revision>17</cp:revision>
  <cp:lastPrinted>2009-06-09T17:19:00Z</cp:lastPrinted>
  <dcterms:created xsi:type="dcterms:W3CDTF">2009-03-24T18:50:00Z</dcterms:created>
  <dcterms:modified xsi:type="dcterms:W3CDTF">2009-06-11T18:23:00Z</dcterms:modified>
</cp:coreProperties>
</file>