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D57" w:rsidRPr="00E30374" w:rsidRDefault="000E7D57" w:rsidP="00F54ECB">
      <w:pPr>
        <w:widowControl/>
        <w:jc w:val="center"/>
        <w:rPr>
          <w:rFonts w:ascii="Times New Roman" w:hAnsi="Times New Roman"/>
          <w:b/>
        </w:rPr>
      </w:pPr>
      <w:r w:rsidRPr="00E30374">
        <w:rPr>
          <w:rFonts w:ascii="Times New Roman" w:hAnsi="Times New Roman"/>
          <w:b/>
        </w:rPr>
        <w:t>Supporting Statement for</w:t>
      </w:r>
    </w:p>
    <w:p w:rsidR="000E7D57" w:rsidRPr="00E30374" w:rsidRDefault="000E7D57" w:rsidP="00F54ECB">
      <w:pPr>
        <w:widowControl/>
        <w:jc w:val="center"/>
        <w:rPr>
          <w:rFonts w:ascii="Times New Roman" w:hAnsi="Times New Roman"/>
          <w:b/>
        </w:rPr>
      </w:pPr>
      <w:proofErr w:type="gramStart"/>
      <w:r w:rsidRPr="00E30374">
        <w:rPr>
          <w:rFonts w:ascii="Times New Roman" w:hAnsi="Times New Roman"/>
          <w:b/>
        </w:rPr>
        <w:t>the</w:t>
      </w:r>
      <w:proofErr w:type="gramEnd"/>
      <w:r w:rsidRPr="00E30374">
        <w:rPr>
          <w:rFonts w:ascii="Times New Roman" w:hAnsi="Times New Roman"/>
          <w:b/>
        </w:rPr>
        <w:t xml:space="preserve"> </w:t>
      </w:r>
      <w:r w:rsidR="006956DF">
        <w:rPr>
          <w:rFonts w:ascii="Times New Roman" w:hAnsi="Times New Roman"/>
          <w:b/>
        </w:rPr>
        <w:t xml:space="preserve">Consolidated </w:t>
      </w:r>
      <w:r w:rsidRPr="00E30374">
        <w:rPr>
          <w:rFonts w:ascii="Times New Roman" w:hAnsi="Times New Roman"/>
          <w:b/>
        </w:rPr>
        <w:t>Reports of Condition and Income</w:t>
      </w:r>
    </w:p>
    <w:p w:rsidR="000E7D57" w:rsidRPr="00E30374" w:rsidRDefault="000E7D57" w:rsidP="00F54ECB">
      <w:pPr>
        <w:widowControl/>
        <w:jc w:val="center"/>
        <w:rPr>
          <w:rFonts w:ascii="Times New Roman" w:hAnsi="Times New Roman"/>
        </w:rPr>
      </w:pPr>
      <w:r w:rsidRPr="00E30374">
        <w:rPr>
          <w:rFonts w:ascii="Times New Roman" w:hAnsi="Times New Roman"/>
          <w:b/>
        </w:rPr>
        <w:t>(FFIEC 031 and 041; OMB No. 7100-0036)</w:t>
      </w:r>
    </w:p>
    <w:p w:rsidR="000E7D57" w:rsidRPr="00E30374" w:rsidRDefault="000E7D57" w:rsidP="00F54ECB">
      <w:pPr>
        <w:widowControl/>
        <w:rPr>
          <w:rFonts w:ascii="Times New Roman" w:hAnsi="Times New Roman"/>
        </w:rPr>
      </w:pPr>
    </w:p>
    <w:p w:rsidR="000E7D57" w:rsidRPr="00E30374" w:rsidRDefault="00E30374" w:rsidP="00F54ECB">
      <w:pPr>
        <w:widowControl/>
        <w:rPr>
          <w:rFonts w:ascii="Times New Roman" w:hAnsi="Times New Roman"/>
        </w:rPr>
      </w:pPr>
      <w:r w:rsidRPr="00E30374">
        <w:rPr>
          <w:rFonts w:ascii="Times New Roman" w:hAnsi="Times New Roman"/>
          <w:b/>
        </w:rPr>
        <w:t>Summary</w:t>
      </w:r>
    </w:p>
    <w:p w:rsidR="000E7D57" w:rsidRPr="00E30374" w:rsidRDefault="000E7D57" w:rsidP="00F54ECB">
      <w:pPr>
        <w:widowControl/>
        <w:rPr>
          <w:rFonts w:ascii="Times New Roman" w:hAnsi="Times New Roman"/>
        </w:rPr>
      </w:pPr>
    </w:p>
    <w:p w:rsidR="000E7D57" w:rsidRPr="00E30374" w:rsidRDefault="000E7D57" w:rsidP="00F54ECB">
      <w:pPr>
        <w:pStyle w:val="BodyTextIndent3"/>
        <w:widowControl/>
        <w:jc w:val="both"/>
        <w:rPr>
          <w:rFonts w:ascii="Times New Roman" w:hAnsi="Times New Roman"/>
        </w:rPr>
      </w:pPr>
      <w:r w:rsidRPr="00E30374">
        <w:rPr>
          <w:rFonts w:ascii="Times New Roman" w:hAnsi="Times New Roman"/>
        </w:rPr>
        <w:t xml:space="preserve">The Board of Governors of the Federal Reserve System (Board) requests approval from the Office of Management and Budget (OMB) to </w:t>
      </w:r>
      <w:r w:rsidR="00972C3E">
        <w:rPr>
          <w:rFonts w:ascii="Times New Roman" w:hAnsi="Times New Roman"/>
        </w:rPr>
        <w:t>revise</w:t>
      </w:r>
      <w:r w:rsidRPr="00E30374">
        <w:rPr>
          <w:rFonts w:ascii="Times New Roman" w:hAnsi="Times New Roman"/>
        </w:rPr>
        <w:t xml:space="preserve"> the Federal Financial Institutions Examination Council (FFIEC) Consolidated Reports of Condition and Income (Call Reports) (FFIEC 031</w:t>
      </w:r>
      <w:r w:rsidR="00992C88">
        <w:rPr>
          <w:rFonts w:ascii="Times New Roman" w:hAnsi="Times New Roman"/>
        </w:rPr>
        <w:t>and 0</w:t>
      </w:r>
      <w:r w:rsidRPr="00E30374">
        <w:rPr>
          <w:rFonts w:ascii="Times New Roman" w:hAnsi="Times New Roman"/>
        </w:rPr>
        <w:t>4</w:t>
      </w:r>
      <w:r w:rsidR="00992C88">
        <w:rPr>
          <w:rFonts w:ascii="Times New Roman" w:hAnsi="Times New Roman"/>
        </w:rPr>
        <w:t>1</w:t>
      </w:r>
      <w:r w:rsidRPr="00E30374">
        <w:rPr>
          <w:rFonts w:ascii="Times New Roman" w:hAnsi="Times New Roman"/>
        </w:rPr>
        <w:t xml:space="preserve">; OMB No. 7100-0036).  These </w:t>
      </w:r>
      <w:r w:rsidR="006504B4">
        <w:rPr>
          <w:rFonts w:ascii="Times New Roman" w:hAnsi="Times New Roman"/>
        </w:rPr>
        <w:t>data</w:t>
      </w:r>
      <w:r w:rsidR="006504B4" w:rsidRPr="00E30374">
        <w:rPr>
          <w:rFonts w:ascii="Times New Roman" w:hAnsi="Times New Roman"/>
        </w:rPr>
        <w:t xml:space="preserve"> </w:t>
      </w:r>
      <w:r w:rsidRPr="00E30374">
        <w:rPr>
          <w:rFonts w:ascii="Times New Roman" w:hAnsi="Times New Roman"/>
        </w:rPr>
        <w:t>are required of state member banks and are filed on a quarterly basis.  The revisions to the Call Reports that are the subject of this request have been approved by the FFIEC.  The Federal Deposit Insurance Corporation (FDIC) and the Office of the Comptroller of the Currency (OCC) have also submitted a similar request for OMB review in order to request this information from banks under their supervision.</w:t>
      </w:r>
    </w:p>
    <w:p w:rsidR="000E7D57" w:rsidRPr="00E30374" w:rsidRDefault="000E7D57" w:rsidP="00F54ECB">
      <w:pPr>
        <w:widowControl/>
        <w:rPr>
          <w:rFonts w:ascii="Times New Roman" w:hAnsi="Times New Roman"/>
        </w:rPr>
      </w:pPr>
    </w:p>
    <w:p w:rsidR="00F207CA" w:rsidRDefault="000E7D57" w:rsidP="0073413A">
      <w:pPr>
        <w:widowControl/>
        <w:tabs>
          <w:tab w:val="left" w:pos="0"/>
        </w:tabs>
        <w:ind w:firstLine="720"/>
        <w:jc w:val="both"/>
        <w:rPr>
          <w:rFonts w:ascii="Times New Roman" w:hAnsi="Times New Roman"/>
        </w:rPr>
      </w:pPr>
      <w:r w:rsidRPr="00E30374">
        <w:rPr>
          <w:rFonts w:ascii="Times New Roman" w:hAnsi="Times New Roman"/>
        </w:rPr>
        <w:t xml:space="preserve">The Federal Reserve requires information collected on the Call Reports to fulfill its statutory obligation to supervise state member banks.  State member banks are required to file both detailed schedules of assets, liabilities, and capital accounts in the form of a condition report and summary statement as well as detailed schedules of operating income and expense, sources and disposition of income, and changes in equity capital.  The current annual burden for the Call Reports is estimated to be </w:t>
      </w:r>
      <w:r w:rsidR="00E070A9">
        <w:rPr>
          <w:rFonts w:ascii="Times New Roman" w:hAnsi="Times New Roman"/>
        </w:rPr>
        <w:t>18</w:t>
      </w:r>
      <w:r w:rsidR="006C6A53">
        <w:rPr>
          <w:rFonts w:ascii="Times New Roman" w:hAnsi="Times New Roman"/>
        </w:rPr>
        <w:t>4,345</w:t>
      </w:r>
      <w:r w:rsidRPr="00E30374">
        <w:rPr>
          <w:rFonts w:ascii="Times New Roman" w:hAnsi="Times New Roman"/>
        </w:rPr>
        <w:t xml:space="preserve"> hours; the proposed revisions are estimated to </w:t>
      </w:r>
      <w:r w:rsidR="00267316">
        <w:rPr>
          <w:rFonts w:ascii="Times New Roman" w:hAnsi="Times New Roman"/>
        </w:rPr>
        <w:t>in</w:t>
      </w:r>
      <w:r w:rsidR="00267316" w:rsidRPr="00E30374">
        <w:rPr>
          <w:rFonts w:ascii="Times New Roman" w:hAnsi="Times New Roman"/>
        </w:rPr>
        <w:t xml:space="preserve">crease </w:t>
      </w:r>
      <w:r w:rsidRPr="00E30374">
        <w:rPr>
          <w:rFonts w:ascii="Times New Roman" w:hAnsi="Times New Roman"/>
        </w:rPr>
        <w:t xml:space="preserve">the annual burden to </w:t>
      </w:r>
      <w:r w:rsidR="00841092">
        <w:rPr>
          <w:rFonts w:ascii="Times New Roman" w:hAnsi="Times New Roman"/>
        </w:rPr>
        <w:t>18</w:t>
      </w:r>
      <w:r w:rsidR="00E14183">
        <w:rPr>
          <w:rFonts w:ascii="Times New Roman" w:hAnsi="Times New Roman"/>
        </w:rPr>
        <w:t>6,976</w:t>
      </w:r>
      <w:r w:rsidR="00E070A9" w:rsidRPr="00E30374">
        <w:rPr>
          <w:rFonts w:ascii="Times New Roman" w:hAnsi="Times New Roman"/>
        </w:rPr>
        <w:t xml:space="preserve"> </w:t>
      </w:r>
      <w:r w:rsidRPr="00E30374">
        <w:rPr>
          <w:rFonts w:ascii="Times New Roman" w:hAnsi="Times New Roman"/>
        </w:rPr>
        <w:t xml:space="preserve">hours.  </w:t>
      </w:r>
    </w:p>
    <w:p w:rsidR="00F207CA" w:rsidRDefault="00F207CA" w:rsidP="00F207CA">
      <w:pPr>
        <w:widowControl/>
        <w:tabs>
          <w:tab w:val="left" w:pos="0"/>
        </w:tabs>
        <w:ind w:firstLine="360"/>
        <w:jc w:val="both"/>
        <w:rPr>
          <w:rFonts w:ascii="Times New Roman" w:hAnsi="Times New Roman"/>
        </w:rPr>
      </w:pPr>
    </w:p>
    <w:p w:rsidR="004A0E01" w:rsidRDefault="004A0E01" w:rsidP="004A0E01">
      <w:pPr>
        <w:ind w:firstLine="720"/>
        <w:jc w:val="both"/>
        <w:rPr>
          <w:rFonts w:ascii="Times New Roman" w:hAnsi="Times New Roman"/>
        </w:rPr>
      </w:pPr>
      <w:r w:rsidRPr="007B4EA1">
        <w:rPr>
          <w:rFonts w:ascii="Times New Roman" w:hAnsi="Times New Roman"/>
        </w:rPr>
        <w:t xml:space="preserve">The </w:t>
      </w:r>
      <w:r>
        <w:rPr>
          <w:rFonts w:ascii="Times New Roman" w:hAnsi="Times New Roman"/>
        </w:rPr>
        <w:t>Board, FDIC, and OCC (agencies) propose t</w:t>
      </w:r>
      <w:r w:rsidRPr="004A0E01">
        <w:rPr>
          <w:rFonts w:ascii="Times New Roman" w:hAnsi="Times New Roman"/>
        </w:rPr>
        <w:t xml:space="preserve">o implement several changes to the Call Report requirements on a phased-in basis during 2009 to better support their surveillance and supervision of individual banks and enhance their monitoring of the industry’s condition and performance.  The proposed revisions reflect a thorough and careful review of the agencies’ data needs in a variety of areas as banks encounter the most turbulent environment in more than a decade. Thus, the revisions include new items that focus on areas in which the banking industry is facing heightened risk as a result of market turmoil and illiquidity and weakening economic and credit conditions.  Where possible, the agencies have sought to establish reporting thresholds for proposed new items.  Other proposed new items will be relevant to only a small percentage of banks.  </w:t>
      </w:r>
    </w:p>
    <w:p w:rsidR="004A0E01" w:rsidRPr="004A0E01" w:rsidRDefault="004A0E01" w:rsidP="004A0E01">
      <w:pPr>
        <w:ind w:firstLine="720"/>
        <w:jc w:val="both"/>
        <w:rPr>
          <w:rFonts w:ascii="Times New Roman" w:hAnsi="Times New Roman"/>
        </w:rPr>
      </w:pPr>
    </w:p>
    <w:p w:rsidR="004A0E01" w:rsidRPr="004A0E01" w:rsidRDefault="004A0E01" w:rsidP="004A0E01">
      <w:pPr>
        <w:ind w:firstLine="720"/>
        <w:jc w:val="both"/>
        <w:rPr>
          <w:rFonts w:ascii="Times New Roman" w:hAnsi="Times New Roman"/>
        </w:rPr>
      </w:pPr>
      <w:r>
        <w:rPr>
          <w:rFonts w:ascii="Times New Roman" w:hAnsi="Times New Roman"/>
        </w:rPr>
        <w:t>T</w:t>
      </w:r>
      <w:r w:rsidRPr="004A0E01">
        <w:rPr>
          <w:rFonts w:ascii="Times New Roman" w:hAnsi="Times New Roman"/>
        </w:rPr>
        <w:t xml:space="preserve">he revisions that would take effect as of </w:t>
      </w:r>
      <w:smartTag w:uri="urn:schemas-microsoft-com:office:smarttags" w:element="date">
        <w:smartTagPr>
          <w:attr w:name="Year" w:val="2009"/>
          <w:attr w:name="Day" w:val="31"/>
          <w:attr w:name="Month" w:val="3"/>
        </w:smartTagPr>
        <w:r w:rsidRPr="004A0E01">
          <w:rPr>
            <w:rFonts w:ascii="Times New Roman" w:hAnsi="Times New Roman"/>
          </w:rPr>
          <w:t>March 31, 2009</w:t>
        </w:r>
      </w:smartTag>
      <w:r w:rsidRPr="004A0E01">
        <w:rPr>
          <w:rFonts w:ascii="Times New Roman" w:hAnsi="Times New Roman"/>
        </w:rPr>
        <w:t xml:space="preserve">, include: </w:t>
      </w:r>
    </w:p>
    <w:p w:rsidR="004A0E01" w:rsidRPr="004A0E01" w:rsidRDefault="004A0E01" w:rsidP="00BA5648">
      <w:pPr>
        <w:widowControl/>
        <w:numPr>
          <w:ilvl w:val="0"/>
          <w:numId w:val="5"/>
        </w:numPr>
        <w:autoSpaceDE/>
        <w:autoSpaceDN/>
        <w:adjustRightInd/>
        <w:jc w:val="both"/>
        <w:rPr>
          <w:rFonts w:ascii="Times New Roman" w:hAnsi="Times New Roman"/>
        </w:rPr>
      </w:pPr>
      <w:r w:rsidRPr="004A0E01">
        <w:rPr>
          <w:rFonts w:ascii="Times New Roman" w:hAnsi="Times New Roman"/>
        </w:rPr>
        <w:t xml:space="preserve">The addition of new items in response to a revised accounting standard that will provide information on held-for-investment loans and leases acquired in business combinations; </w:t>
      </w:r>
    </w:p>
    <w:p w:rsidR="004A0E01" w:rsidRPr="004A0E01" w:rsidRDefault="004A0E01" w:rsidP="00BA5648">
      <w:pPr>
        <w:widowControl/>
        <w:numPr>
          <w:ilvl w:val="0"/>
          <w:numId w:val="2"/>
        </w:numPr>
        <w:autoSpaceDE/>
        <w:autoSpaceDN/>
        <w:adjustRightInd/>
        <w:jc w:val="both"/>
        <w:rPr>
          <w:rFonts w:ascii="Times New Roman" w:hAnsi="Times New Roman"/>
        </w:rPr>
      </w:pPr>
      <w:r w:rsidRPr="004A0E01">
        <w:rPr>
          <w:rFonts w:ascii="Times New Roman" w:hAnsi="Times New Roman"/>
        </w:rPr>
        <w:t xml:space="preserve">Revisions to several Call Report schedules in response to accounting changes applicable to </w:t>
      </w:r>
      <w:proofErr w:type="spellStart"/>
      <w:r w:rsidRPr="004A0E01">
        <w:rPr>
          <w:rFonts w:ascii="Times New Roman" w:hAnsi="Times New Roman"/>
        </w:rPr>
        <w:t>noncontrolling</w:t>
      </w:r>
      <w:proofErr w:type="spellEnd"/>
      <w:r w:rsidRPr="004A0E01">
        <w:rPr>
          <w:rFonts w:ascii="Times New Roman" w:hAnsi="Times New Roman"/>
        </w:rPr>
        <w:t xml:space="preserve"> (minority) interests in consolidated subsidiaries; </w:t>
      </w:r>
    </w:p>
    <w:p w:rsidR="004A0E01" w:rsidRPr="004A0E01" w:rsidRDefault="004A0E01" w:rsidP="00BA5648">
      <w:pPr>
        <w:widowControl/>
        <w:numPr>
          <w:ilvl w:val="0"/>
          <w:numId w:val="2"/>
        </w:numPr>
        <w:autoSpaceDE/>
        <w:autoSpaceDN/>
        <w:adjustRightInd/>
        <w:jc w:val="both"/>
        <w:rPr>
          <w:rFonts w:ascii="Times New Roman" w:hAnsi="Times New Roman"/>
        </w:rPr>
      </w:pPr>
      <w:r w:rsidRPr="004A0E01">
        <w:rPr>
          <w:rFonts w:ascii="Times New Roman" w:hAnsi="Times New Roman"/>
        </w:rPr>
        <w:t xml:space="preserve">Clarifications of the definition of the term “loan secured by real estate”; </w:t>
      </w:r>
    </w:p>
    <w:p w:rsidR="004A0E01" w:rsidRPr="004A0E01" w:rsidRDefault="004A0E01" w:rsidP="00BA5648">
      <w:pPr>
        <w:widowControl/>
        <w:numPr>
          <w:ilvl w:val="0"/>
          <w:numId w:val="2"/>
        </w:numPr>
        <w:autoSpaceDE/>
        <w:autoSpaceDN/>
        <w:adjustRightInd/>
        <w:jc w:val="both"/>
        <w:rPr>
          <w:rFonts w:ascii="Times New Roman" w:hAnsi="Times New Roman"/>
        </w:rPr>
      </w:pPr>
      <w:r w:rsidRPr="004A0E01">
        <w:rPr>
          <w:rFonts w:ascii="Times New Roman" w:hAnsi="Times New Roman"/>
        </w:rPr>
        <w:t xml:space="preserve">The addition of a new item to be reported annually on the bank’s fiscal year-end date; </w:t>
      </w:r>
    </w:p>
    <w:p w:rsidR="004A0E01" w:rsidRPr="004A0E01" w:rsidRDefault="004A0E01" w:rsidP="00BA5648">
      <w:pPr>
        <w:widowControl/>
        <w:numPr>
          <w:ilvl w:val="0"/>
          <w:numId w:val="2"/>
        </w:numPr>
        <w:autoSpaceDE/>
        <w:autoSpaceDN/>
        <w:adjustRightInd/>
        <w:jc w:val="both"/>
        <w:rPr>
          <w:rFonts w:ascii="Times New Roman" w:hAnsi="Times New Roman"/>
        </w:rPr>
      </w:pPr>
      <w:r w:rsidRPr="004A0E01">
        <w:rPr>
          <w:rFonts w:ascii="Times New Roman" w:hAnsi="Times New Roman"/>
        </w:rPr>
        <w:t xml:space="preserve">Exemptions from reporting certain existing Call Report items for banks with less than $1 billion in total assets; </w:t>
      </w:r>
    </w:p>
    <w:p w:rsidR="004A0E01" w:rsidRPr="004A0E01" w:rsidRDefault="004A0E01" w:rsidP="00BA5648">
      <w:pPr>
        <w:widowControl/>
        <w:numPr>
          <w:ilvl w:val="0"/>
          <w:numId w:val="2"/>
        </w:numPr>
        <w:autoSpaceDE/>
        <w:autoSpaceDN/>
        <w:adjustRightInd/>
        <w:jc w:val="both"/>
        <w:rPr>
          <w:rFonts w:ascii="Times New Roman" w:hAnsi="Times New Roman"/>
        </w:rPr>
      </w:pPr>
      <w:r w:rsidRPr="004A0E01">
        <w:rPr>
          <w:rFonts w:ascii="Times New Roman" w:hAnsi="Times New Roman"/>
        </w:rPr>
        <w:t xml:space="preserve">Instructional guidance on quantifying misstatements in the Call Report; and </w:t>
      </w:r>
    </w:p>
    <w:p w:rsidR="004A0E01" w:rsidRPr="004A0E01" w:rsidRDefault="004A0E01" w:rsidP="00BA5648">
      <w:pPr>
        <w:widowControl/>
        <w:numPr>
          <w:ilvl w:val="0"/>
          <w:numId w:val="2"/>
        </w:numPr>
        <w:autoSpaceDE/>
        <w:autoSpaceDN/>
        <w:adjustRightInd/>
        <w:jc w:val="both"/>
        <w:rPr>
          <w:rFonts w:ascii="Times New Roman" w:hAnsi="Times New Roman"/>
        </w:rPr>
      </w:pPr>
      <w:r w:rsidRPr="004A0E01">
        <w:rPr>
          <w:rFonts w:ascii="Times New Roman" w:hAnsi="Times New Roman"/>
        </w:rPr>
        <w:t>The elimination of confidential treatment for data collected on fiduciary income, expenses, and losses.</w:t>
      </w:r>
    </w:p>
    <w:p w:rsidR="004A0E01" w:rsidRDefault="004A0E01" w:rsidP="004A0E01">
      <w:pPr>
        <w:jc w:val="both"/>
        <w:rPr>
          <w:rFonts w:ascii="Times New Roman" w:hAnsi="Times New Roman"/>
        </w:rPr>
      </w:pPr>
      <w:r w:rsidRPr="004A0E01">
        <w:rPr>
          <w:rFonts w:ascii="Times New Roman" w:hAnsi="Times New Roman"/>
        </w:rPr>
        <w:tab/>
      </w:r>
    </w:p>
    <w:p w:rsidR="004A0E01" w:rsidRPr="004A0E01" w:rsidRDefault="004A0E01" w:rsidP="004A0E01">
      <w:pPr>
        <w:ind w:firstLine="360"/>
        <w:jc w:val="both"/>
        <w:rPr>
          <w:rFonts w:ascii="Times New Roman" w:hAnsi="Times New Roman"/>
        </w:rPr>
      </w:pPr>
      <w:r w:rsidRPr="004A0E01">
        <w:rPr>
          <w:rFonts w:ascii="Times New Roman" w:hAnsi="Times New Roman"/>
        </w:rPr>
        <w:lastRenderedPageBreak/>
        <w:t xml:space="preserve">The proposed Call Report revisions to be implemented as of </w:t>
      </w:r>
      <w:smartTag w:uri="urn:schemas-microsoft-com:office:smarttags" w:element="date">
        <w:smartTagPr>
          <w:attr w:name="Year" w:val="2009"/>
          <w:attr w:name="Day" w:val="30"/>
          <w:attr w:name="Month" w:val="6"/>
        </w:smartTagPr>
        <w:r w:rsidRPr="004A0E01">
          <w:rPr>
            <w:rFonts w:ascii="Times New Roman" w:hAnsi="Times New Roman"/>
          </w:rPr>
          <w:t>June 30, 2009</w:t>
        </w:r>
      </w:smartTag>
      <w:r w:rsidRPr="004A0E01">
        <w:rPr>
          <w:rFonts w:ascii="Times New Roman" w:hAnsi="Times New Roman"/>
        </w:rPr>
        <w:t>, include new or revised items for:</w:t>
      </w:r>
    </w:p>
    <w:p w:rsidR="004A0E01" w:rsidRPr="004A0E01" w:rsidRDefault="004A0E01" w:rsidP="00BA5648">
      <w:pPr>
        <w:widowControl/>
        <w:numPr>
          <w:ilvl w:val="0"/>
          <w:numId w:val="3"/>
        </w:numPr>
        <w:tabs>
          <w:tab w:val="num" w:pos="-90"/>
        </w:tabs>
        <w:autoSpaceDE/>
        <w:autoSpaceDN/>
        <w:adjustRightInd/>
        <w:jc w:val="both"/>
        <w:rPr>
          <w:rFonts w:ascii="Times New Roman" w:hAnsi="Times New Roman"/>
        </w:rPr>
      </w:pPr>
      <w:r w:rsidRPr="004A0E01">
        <w:rPr>
          <w:rFonts w:ascii="Times New Roman" w:hAnsi="Times New Roman"/>
        </w:rPr>
        <w:t>Real estate construction and development loans outstanding with capitalized interest and the amount of such interest included in income for the quarter (for banks with construction and development loan concentrations);</w:t>
      </w:r>
    </w:p>
    <w:p w:rsidR="004A0E01" w:rsidRPr="004A0E01" w:rsidRDefault="004A0E01" w:rsidP="00BA5648">
      <w:pPr>
        <w:widowControl/>
        <w:numPr>
          <w:ilvl w:val="0"/>
          <w:numId w:val="3"/>
        </w:numPr>
        <w:autoSpaceDE/>
        <w:autoSpaceDN/>
        <w:adjustRightInd/>
        <w:jc w:val="both"/>
        <w:rPr>
          <w:rFonts w:ascii="Times New Roman" w:hAnsi="Times New Roman"/>
        </w:rPr>
      </w:pPr>
      <w:r w:rsidRPr="004A0E01">
        <w:rPr>
          <w:rFonts w:ascii="Times New Roman" w:hAnsi="Times New Roman"/>
        </w:rPr>
        <w:t xml:space="preserve">Holdings of collateralized debt obligations and other structured financial products by type of product and underlying collateral; </w:t>
      </w:r>
    </w:p>
    <w:p w:rsidR="004A0E01" w:rsidRPr="004A0E01" w:rsidRDefault="004A0E01" w:rsidP="00BA5648">
      <w:pPr>
        <w:widowControl/>
        <w:numPr>
          <w:ilvl w:val="0"/>
          <w:numId w:val="3"/>
        </w:numPr>
        <w:autoSpaceDE/>
        <w:autoSpaceDN/>
        <w:adjustRightInd/>
        <w:jc w:val="both"/>
        <w:rPr>
          <w:rFonts w:ascii="Times New Roman" w:hAnsi="Times New Roman"/>
        </w:rPr>
      </w:pPr>
      <w:r w:rsidRPr="004A0E01">
        <w:rPr>
          <w:rFonts w:ascii="Times New Roman" w:hAnsi="Times New Roman"/>
        </w:rPr>
        <w:t xml:space="preserve">Holdings of commercial mortgage-backed securities; </w:t>
      </w:r>
    </w:p>
    <w:p w:rsidR="004A0E01" w:rsidRPr="004A0E01" w:rsidRDefault="004A0E01" w:rsidP="00BA5648">
      <w:pPr>
        <w:widowControl/>
        <w:numPr>
          <w:ilvl w:val="0"/>
          <w:numId w:val="3"/>
        </w:numPr>
        <w:autoSpaceDE/>
        <w:autoSpaceDN/>
        <w:adjustRightInd/>
        <w:jc w:val="both"/>
        <w:rPr>
          <w:rFonts w:ascii="Times New Roman" w:hAnsi="Times New Roman"/>
        </w:rPr>
      </w:pPr>
      <w:r w:rsidRPr="004A0E01">
        <w:rPr>
          <w:rFonts w:ascii="Times New Roman" w:hAnsi="Times New Roman"/>
        </w:rPr>
        <w:t xml:space="preserve">Unused commitments with an original maturity of one year or less to asset-backed commercial paper conduits; </w:t>
      </w:r>
    </w:p>
    <w:p w:rsidR="004A0E01" w:rsidRPr="004A0E01" w:rsidRDefault="004A0E01" w:rsidP="00BA5648">
      <w:pPr>
        <w:widowControl/>
        <w:numPr>
          <w:ilvl w:val="0"/>
          <w:numId w:val="3"/>
        </w:numPr>
        <w:autoSpaceDE/>
        <w:autoSpaceDN/>
        <w:adjustRightInd/>
        <w:jc w:val="both"/>
        <w:rPr>
          <w:rFonts w:ascii="Times New Roman" w:hAnsi="Times New Roman"/>
        </w:rPr>
      </w:pPr>
      <w:r w:rsidRPr="004A0E01">
        <w:rPr>
          <w:rFonts w:ascii="Times New Roman" w:hAnsi="Times New Roman"/>
        </w:rPr>
        <w:t xml:space="preserve">Fair value measurements by level for asset and liability categories reported at fair value on a recurring basis (for banks that have $500 million or more in total assets, apply a fair value option, or are required to complete the Call Report trading schedule); </w:t>
      </w:r>
    </w:p>
    <w:p w:rsidR="004A0E01" w:rsidRPr="004A0E01" w:rsidRDefault="004A0E01" w:rsidP="00BA5648">
      <w:pPr>
        <w:widowControl/>
        <w:numPr>
          <w:ilvl w:val="0"/>
          <w:numId w:val="3"/>
        </w:numPr>
        <w:autoSpaceDE/>
        <w:autoSpaceDN/>
        <w:adjustRightInd/>
        <w:jc w:val="both"/>
        <w:rPr>
          <w:rFonts w:ascii="Times New Roman" w:hAnsi="Times New Roman"/>
        </w:rPr>
      </w:pPr>
      <w:r w:rsidRPr="004A0E01">
        <w:rPr>
          <w:rFonts w:ascii="Times New Roman" w:hAnsi="Times New Roman"/>
        </w:rPr>
        <w:t xml:space="preserve">Pledged loans and pledged trading assets; </w:t>
      </w:r>
    </w:p>
    <w:p w:rsidR="004A0E01" w:rsidRPr="004A0E01" w:rsidRDefault="004A0E01" w:rsidP="00BA5648">
      <w:pPr>
        <w:widowControl/>
        <w:numPr>
          <w:ilvl w:val="0"/>
          <w:numId w:val="3"/>
        </w:numPr>
        <w:autoSpaceDE/>
        <w:autoSpaceDN/>
        <w:adjustRightInd/>
        <w:jc w:val="both"/>
        <w:rPr>
          <w:rFonts w:ascii="Times New Roman" w:hAnsi="Times New Roman"/>
        </w:rPr>
      </w:pPr>
      <w:r w:rsidRPr="004A0E01">
        <w:rPr>
          <w:rFonts w:ascii="Times New Roman" w:hAnsi="Times New Roman"/>
        </w:rPr>
        <w:t xml:space="preserve">Collateral held against over-the-counter (OTC) derivative exposures by type of collateral and type of counterparty as well as the current credit exposure on OTC derivatives by type of counterparty (for banks with $10 billion or more in total assets); </w:t>
      </w:r>
    </w:p>
    <w:p w:rsidR="004A0E01" w:rsidRPr="004A0E01" w:rsidRDefault="004A0E01" w:rsidP="00BA5648">
      <w:pPr>
        <w:widowControl/>
        <w:numPr>
          <w:ilvl w:val="0"/>
          <w:numId w:val="3"/>
        </w:numPr>
        <w:autoSpaceDE/>
        <w:autoSpaceDN/>
        <w:adjustRightInd/>
        <w:jc w:val="both"/>
        <w:rPr>
          <w:rFonts w:ascii="Times New Roman" w:hAnsi="Times New Roman"/>
        </w:rPr>
      </w:pPr>
      <w:r w:rsidRPr="004A0E01">
        <w:rPr>
          <w:rFonts w:ascii="Times New Roman" w:hAnsi="Times New Roman"/>
        </w:rPr>
        <w:t xml:space="preserve">Remaining maturities of unsecured other borrowings and subordinated notes and debentures; </w:t>
      </w:r>
    </w:p>
    <w:p w:rsidR="004A0E01" w:rsidRPr="004A0E01" w:rsidRDefault="004A0E01" w:rsidP="00BA5648">
      <w:pPr>
        <w:widowControl/>
        <w:numPr>
          <w:ilvl w:val="0"/>
          <w:numId w:val="3"/>
        </w:numPr>
        <w:autoSpaceDE/>
        <w:autoSpaceDN/>
        <w:adjustRightInd/>
        <w:jc w:val="both"/>
        <w:rPr>
          <w:rFonts w:ascii="Times New Roman" w:hAnsi="Times New Roman"/>
        </w:rPr>
      </w:pPr>
      <w:r w:rsidRPr="004A0E01">
        <w:rPr>
          <w:rFonts w:ascii="Times New Roman" w:hAnsi="Times New Roman"/>
        </w:rPr>
        <w:t xml:space="preserve">Investments in real estate ventures; </w:t>
      </w:r>
    </w:p>
    <w:p w:rsidR="004A0E01" w:rsidRPr="004A0E01" w:rsidRDefault="004A0E01" w:rsidP="00BA5648">
      <w:pPr>
        <w:widowControl/>
        <w:numPr>
          <w:ilvl w:val="0"/>
          <w:numId w:val="3"/>
        </w:numPr>
        <w:autoSpaceDE/>
        <w:autoSpaceDN/>
        <w:adjustRightInd/>
        <w:jc w:val="both"/>
        <w:rPr>
          <w:rFonts w:ascii="Times New Roman" w:hAnsi="Times New Roman"/>
        </w:rPr>
      </w:pPr>
      <w:r w:rsidRPr="004A0E01">
        <w:rPr>
          <w:rFonts w:ascii="Times New Roman" w:hAnsi="Times New Roman"/>
        </w:rPr>
        <w:t xml:space="preserve">Held-to-maturity and available-for-sale securities in domestic offices (for banks that have both domestic and foreign offices); </w:t>
      </w:r>
    </w:p>
    <w:p w:rsidR="004A0E01" w:rsidRPr="004A0E01" w:rsidRDefault="004A0E01" w:rsidP="00BA5648">
      <w:pPr>
        <w:widowControl/>
        <w:numPr>
          <w:ilvl w:val="0"/>
          <w:numId w:val="3"/>
        </w:numPr>
        <w:autoSpaceDE/>
        <w:autoSpaceDN/>
        <w:adjustRightInd/>
        <w:jc w:val="both"/>
        <w:rPr>
          <w:rFonts w:ascii="Times New Roman" w:hAnsi="Times New Roman"/>
        </w:rPr>
      </w:pPr>
      <w:r w:rsidRPr="004A0E01">
        <w:rPr>
          <w:rFonts w:ascii="Times New Roman" w:hAnsi="Times New Roman"/>
        </w:rPr>
        <w:t xml:space="preserve">Credit derivatives by credit quality and remaining maturity; and </w:t>
      </w:r>
    </w:p>
    <w:p w:rsidR="004A0E01" w:rsidRPr="004A0E01" w:rsidRDefault="004A0E01" w:rsidP="00BA5648">
      <w:pPr>
        <w:widowControl/>
        <w:numPr>
          <w:ilvl w:val="0"/>
          <w:numId w:val="3"/>
        </w:numPr>
        <w:tabs>
          <w:tab w:val="num" w:pos="720"/>
        </w:tabs>
        <w:autoSpaceDE/>
        <w:autoSpaceDN/>
        <w:adjustRightInd/>
        <w:jc w:val="both"/>
        <w:rPr>
          <w:rFonts w:ascii="Times New Roman" w:hAnsi="Times New Roman"/>
        </w:rPr>
      </w:pPr>
      <w:r w:rsidRPr="004A0E01">
        <w:rPr>
          <w:rFonts w:ascii="Times New Roman" w:hAnsi="Times New Roman"/>
        </w:rPr>
        <w:t>Whether the bank is a trustee or custodian for certain types of accounts or provides certain services in connection with orders for securities transactions regardless of whether the bank exercises trust powers, which will take the form of yes/no questions.</w:t>
      </w:r>
    </w:p>
    <w:p w:rsidR="004A0E01" w:rsidRDefault="004A0E01" w:rsidP="004A0E01">
      <w:pPr>
        <w:jc w:val="both"/>
        <w:rPr>
          <w:rFonts w:ascii="Times New Roman" w:hAnsi="Times New Roman"/>
        </w:rPr>
      </w:pPr>
    </w:p>
    <w:p w:rsidR="004A0E01" w:rsidRPr="004A0E01" w:rsidRDefault="004A0E01" w:rsidP="004A0E01">
      <w:pPr>
        <w:jc w:val="both"/>
        <w:rPr>
          <w:rFonts w:ascii="Times New Roman" w:hAnsi="Times New Roman"/>
        </w:rPr>
      </w:pPr>
      <w:r w:rsidRPr="004A0E01">
        <w:rPr>
          <w:rFonts w:ascii="Times New Roman" w:hAnsi="Times New Roman"/>
        </w:rPr>
        <w:tab/>
        <w:t xml:space="preserve">The proposed Call Report revisions that would take effect </w:t>
      </w:r>
      <w:smartTag w:uri="urn:schemas-microsoft-com:office:smarttags" w:element="date">
        <w:smartTagPr>
          <w:attr w:name="Year" w:val="2009"/>
          <w:attr w:name="Day" w:val="31"/>
          <w:attr w:name="Month" w:val="12"/>
        </w:smartTagPr>
        <w:r w:rsidRPr="004A0E01">
          <w:rPr>
            <w:rFonts w:ascii="Times New Roman" w:hAnsi="Times New Roman"/>
          </w:rPr>
          <w:t>December 31, 2009</w:t>
        </w:r>
      </w:smartTag>
      <w:r w:rsidRPr="004A0E01">
        <w:rPr>
          <w:rFonts w:ascii="Times New Roman" w:hAnsi="Times New Roman"/>
        </w:rPr>
        <w:t>, apply only to Schedule RC-T, Fiduciary and Related Services.  These revisions include:</w:t>
      </w:r>
    </w:p>
    <w:p w:rsidR="004A0E01" w:rsidRPr="004A0E01" w:rsidRDefault="004A0E01" w:rsidP="00BA5648">
      <w:pPr>
        <w:widowControl/>
        <w:numPr>
          <w:ilvl w:val="0"/>
          <w:numId w:val="4"/>
        </w:numPr>
        <w:tabs>
          <w:tab w:val="clear" w:pos="780"/>
          <w:tab w:val="num" w:pos="360"/>
        </w:tabs>
        <w:autoSpaceDE/>
        <w:autoSpaceDN/>
        <w:adjustRightInd/>
        <w:ind w:left="360"/>
        <w:jc w:val="both"/>
        <w:rPr>
          <w:rFonts w:ascii="Times New Roman" w:hAnsi="Times New Roman"/>
        </w:rPr>
      </w:pPr>
      <w:r w:rsidRPr="004A0E01">
        <w:rPr>
          <w:rFonts w:ascii="Times New Roman" w:hAnsi="Times New Roman"/>
        </w:rPr>
        <w:t xml:space="preserve">Breaking out foundations and endowments as well as investment advisory agency accounts as separate types of fiduciary accounts in the schedule’s sections for reporting fiduciary and related assets and income; </w:t>
      </w:r>
    </w:p>
    <w:p w:rsidR="004A0E01" w:rsidRPr="004A0E01" w:rsidRDefault="004A0E01" w:rsidP="00BA5648">
      <w:pPr>
        <w:widowControl/>
        <w:numPr>
          <w:ilvl w:val="0"/>
          <w:numId w:val="4"/>
        </w:numPr>
        <w:tabs>
          <w:tab w:val="clear" w:pos="780"/>
          <w:tab w:val="num" w:pos="360"/>
        </w:tabs>
        <w:autoSpaceDE/>
        <w:autoSpaceDN/>
        <w:adjustRightInd/>
        <w:ind w:left="360"/>
        <w:jc w:val="both"/>
        <w:rPr>
          <w:rFonts w:ascii="Times New Roman" w:hAnsi="Times New Roman"/>
        </w:rPr>
      </w:pPr>
      <w:r w:rsidRPr="004A0E01">
        <w:rPr>
          <w:rFonts w:ascii="Times New Roman" w:hAnsi="Times New Roman"/>
        </w:rPr>
        <w:t xml:space="preserve">Adding items for Individual Retirement Accounts and similar accounts included in fiduciary and related assets; </w:t>
      </w:r>
    </w:p>
    <w:p w:rsidR="004A0E01" w:rsidRPr="004A0E01" w:rsidRDefault="004A0E01" w:rsidP="00BA5648">
      <w:pPr>
        <w:widowControl/>
        <w:numPr>
          <w:ilvl w:val="0"/>
          <w:numId w:val="4"/>
        </w:numPr>
        <w:tabs>
          <w:tab w:val="clear" w:pos="780"/>
          <w:tab w:val="num" w:pos="360"/>
        </w:tabs>
        <w:autoSpaceDE/>
        <w:autoSpaceDN/>
        <w:adjustRightInd/>
        <w:ind w:left="360"/>
        <w:jc w:val="both"/>
        <w:rPr>
          <w:rFonts w:ascii="Times New Roman" w:hAnsi="Times New Roman"/>
        </w:rPr>
      </w:pPr>
      <w:r w:rsidRPr="004A0E01">
        <w:rPr>
          <w:rFonts w:ascii="Times New Roman" w:hAnsi="Times New Roman"/>
        </w:rPr>
        <w:t xml:space="preserve">Expanding the breakdown of managed assets by type of asset to cover all types of fiduciary accounts; </w:t>
      </w:r>
    </w:p>
    <w:p w:rsidR="004A0E01" w:rsidRPr="004A0E01" w:rsidRDefault="004A0E01" w:rsidP="00BA5648">
      <w:pPr>
        <w:widowControl/>
        <w:numPr>
          <w:ilvl w:val="0"/>
          <w:numId w:val="4"/>
        </w:numPr>
        <w:tabs>
          <w:tab w:val="clear" w:pos="780"/>
          <w:tab w:val="num" w:pos="360"/>
        </w:tabs>
        <w:autoSpaceDE/>
        <w:autoSpaceDN/>
        <w:adjustRightInd/>
        <w:ind w:left="360"/>
        <w:jc w:val="both"/>
        <w:rPr>
          <w:rFonts w:ascii="Times New Roman" w:hAnsi="Times New Roman"/>
        </w:rPr>
      </w:pPr>
      <w:r w:rsidRPr="004A0E01">
        <w:rPr>
          <w:rFonts w:ascii="Times New Roman" w:hAnsi="Times New Roman"/>
        </w:rPr>
        <w:t xml:space="preserve">Adding new asset types in the breakdown of managed assets by type of asset; </w:t>
      </w:r>
    </w:p>
    <w:p w:rsidR="004A0E01" w:rsidRPr="004A0E01" w:rsidRDefault="004A0E01" w:rsidP="00BA5648">
      <w:pPr>
        <w:widowControl/>
        <w:numPr>
          <w:ilvl w:val="0"/>
          <w:numId w:val="4"/>
        </w:numPr>
        <w:tabs>
          <w:tab w:val="clear" w:pos="780"/>
          <w:tab w:val="num" w:pos="360"/>
        </w:tabs>
        <w:autoSpaceDE/>
        <w:autoSpaceDN/>
        <w:adjustRightInd/>
        <w:ind w:left="360"/>
        <w:jc w:val="both"/>
        <w:rPr>
          <w:rFonts w:ascii="Times New Roman" w:hAnsi="Times New Roman"/>
        </w:rPr>
      </w:pPr>
      <w:r w:rsidRPr="004A0E01">
        <w:rPr>
          <w:rFonts w:ascii="Times New Roman" w:hAnsi="Times New Roman"/>
        </w:rPr>
        <w:t xml:space="preserve">Revising the manner in which </w:t>
      </w:r>
      <w:r w:rsidRPr="004A0E01">
        <w:rPr>
          <w:rFonts w:ascii="Times New Roman" w:hAnsi="Times New Roman"/>
          <w:color w:val="000000"/>
        </w:rPr>
        <w:t>d</w:t>
      </w:r>
      <w:r w:rsidRPr="004A0E01">
        <w:rPr>
          <w:rFonts w:ascii="Times New Roman" w:hAnsi="Times New Roman"/>
        </w:rPr>
        <w:t xml:space="preserve">iscretionary investments in common trust funds and collective investment funds are reported in the breakdown of managed assets by type of asset; </w:t>
      </w:r>
    </w:p>
    <w:p w:rsidR="004A0E01" w:rsidRPr="004A0E01" w:rsidRDefault="004A0E01" w:rsidP="00BA5648">
      <w:pPr>
        <w:widowControl/>
        <w:numPr>
          <w:ilvl w:val="0"/>
          <w:numId w:val="4"/>
        </w:numPr>
        <w:tabs>
          <w:tab w:val="clear" w:pos="780"/>
          <w:tab w:val="num" w:pos="360"/>
        </w:tabs>
        <w:autoSpaceDE/>
        <w:autoSpaceDN/>
        <w:adjustRightInd/>
        <w:ind w:left="360"/>
        <w:jc w:val="both"/>
        <w:rPr>
          <w:rFonts w:ascii="Times New Roman" w:hAnsi="Times New Roman"/>
        </w:rPr>
      </w:pPr>
      <w:r w:rsidRPr="004A0E01">
        <w:rPr>
          <w:rFonts w:ascii="Times New Roman" w:hAnsi="Times New Roman"/>
        </w:rPr>
        <w:t xml:space="preserve">Adding items for the </w:t>
      </w:r>
      <w:r w:rsidRPr="004A0E01">
        <w:rPr>
          <w:rFonts w:ascii="Times New Roman" w:hAnsi="Times New Roman"/>
          <w:color w:val="000000"/>
        </w:rPr>
        <w:t xml:space="preserve">market value of discretionary investments in proprietary mutual funds and the number of managed accounts holding such investments; and </w:t>
      </w:r>
    </w:p>
    <w:p w:rsidR="004A0E01" w:rsidRPr="004A0E01" w:rsidRDefault="004A0E01" w:rsidP="00BA5648">
      <w:pPr>
        <w:widowControl/>
        <w:numPr>
          <w:ilvl w:val="0"/>
          <w:numId w:val="4"/>
        </w:numPr>
        <w:tabs>
          <w:tab w:val="clear" w:pos="780"/>
          <w:tab w:val="num" w:pos="360"/>
        </w:tabs>
        <w:autoSpaceDE/>
        <w:autoSpaceDN/>
        <w:adjustRightInd/>
        <w:ind w:left="360"/>
        <w:jc w:val="both"/>
        <w:rPr>
          <w:rFonts w:ascii="Times New Roman" w:hAnsi="Times New Roman"/>
        </w:rPr>
      </w:pPr>
      <w:r w:rsidRPr="004A0E01">
        <w:rPr>
          <w:rFonts w:ascii="Times New Roman" w:hAnsi="Times New Roman"/>
          <w:color w:val="000000"/>
        </w:rPr>
        <w:t>Adding items for the number and principal amount outstanding of debt issues in substantive default</w:t>
      </w:r>
      <w:r w:rsidRPr="004A0E01">
        <w:rPr>
          <w:rFonts w:ascii="Times New Roman" w:hAnsi="Times New Roman"/>
        </w:rPr>
        <w:t xml:space="preserve"> for which the </w:t>
      </w:r>
      <w:r w:rsidRPr="004A0E01">
        <w:rPr>
          <w:rFonts w:ascii="Times New Roman" w:hAnsi="Times New Roman"/>
          <w:color w:val="000000"/>
        </w:rPr>
        <w:t>institution serves as indenture trustee.</w:t>
      </w:r>
    </w:p>
    <w:p w:rsidR="002E04D3" w:rsidRDefault="002E04D3" w:rsidP="00D935D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sz w:val="24"/>
          <w:szCs w:val="24"/>
        </w:rPr>
      </w:pPr>
    </w:p>
    <w:p w:rsidR="00C7540B" w:rsidRDefault="00C7540B" w:rsidP="00C7540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sz w:val="24"/>
          <w:szCs w:val="24"/>
        </w:rPr>
      </w:pPr>
      <w:r>
        <w:rPr>
          <w:rFonts w:ascii="Times New Roman" w:hAnsi="Times New Roman"/>
          <w:sz w:val="24"/>
          <w:szCs w:val="24"/>
        </w:rPr>
        <w:t xml:space="preserve">  </w:t>
      </w:r>
    </w:p>
    <w:p w:rsidR="000E7D57" w:rsidRDefault="00D04052">
      <w:pPr>
        <w:pStyle w:val="Heading1"/>
        <w:rPr>
          <w:rFonts w:ascii="Times New Roman" w:hAnsi="Times New Roman"/>
        </w:rPr>
      </w:pPr>
      <w:r>
        <w:rPr>
          <w:rFonts w:ascii="Times New Roman" w:hAnsi="Times New Roman"/>
        </w:rPr>
        <w:br w:type="page"/>
      </w:r>
      <w:r w:rsidR="000E7D57">
        <w:rPr>
          <w:rFonts w:ascii="Times New Roman" w:hAnsi="Times New Roman"/>
        </w:rPr>
        <w:lastRenderedPageBreak/>
        <w:t>Background</w:t>
      </w:r>
      <w:r w:rsidR="00F54ECB">
        <w:rPr>
          <w:rFonts w:ascii="Times New Roman" w:hAnsi="Times New Roman"/>
        </w:rPr>
        <w:t xml:space="preserve"> </w:t>
      </w:r>
      <w:r w:rsidR="00F54ECB">
        <w:t>and Justification</w:t>
      </w:r>
    </w:p>
    <w:p w:rsidR="000E7D57" w:rsidRDefault="000E7D57">
      <w:pPr>
        <w:widowControl/>
        <w:tabs>
          <w:tab w:val="left" w:pos="360"/>
        </w:tabs>
        <w:rPr>
          <w:rFonts w:ascii="Times New Roman" w:hAnsi="Times New Roman"/>
        </w:rPr>
      </w:pPr>
    </w:p>
    <w:p w:rsidR="000E7D57" w:rsidRDefault="000E7D57" w:rsidP="00804EB1">
      <w:pPr>
        <w:pStyle w:val="BodyTextIndent3"/>
        <w:widowControl/>
        <w:jc w:val="both"/>
        <w:rPr>
          <w:rFonts w:ascii="Times New Roman" w:hAnsi="Times New Roman"/>
        </w:rPr>
      </w:pPr>
      <w:r>
        <w:rPr>
          <w:rFonts w:ascii="Times New Roman" w:hAnsi="Times New Roman"/>
        </w:rPr>
        <w:t>Banks that are members of the Federal Reserve System are required by law to file reports of condition with the Federal Reserve System.  Section 9(6) of the Federal Reserve Act (12 U.S.C. 324) states:</w:t>
      </w:r>
    </w:p>
    <w:p w:rsidR="00804EB1" w:rsidRDefault="00804EB1" w:rsidP="00804EB1">
      <w:pPr>
        <w:pStyle w:val="BodyTextIndent3"/>
        <w:widowControl/>
        <w:ind w:firstLine="0"/>
        <w:jc w:val="both"/>
        <w:rPr>
          <w:rFonts w:ascii="Times New Roman" w:hAnsi="Times New Roman"/>
        </w:rPr>
      </w:pPr>
    </w:p>
    <w:p w:rsidR="000E7D57" w:rsidRDefault="000E7D57" w:rsidP="00804EB1">
      <w:pPr>
        <w:widowControl/>
        <w:ind w:left="360"/>
        <w:jc w:val="both"/>
        <w:rPr>
          <w:rFonts w:ascii="Times New Roman" w:hAnsi="Times New Roman"/>
        </w:rPr>
      </w:pPr>
      <w:r>
        <w:rPr>
          <w:rFonts w:ascii="Times New Roman" w:hAnsi="Times New Roman"/>
        </w:rPr>
        <w:t xml:space="preserve">... </w:t>
      </w:r>
      <w:proofErr w:type="gramStart"/>
      <w:r>
        <w:rPr>
          <w:rFonts w:ascii="Times New Roman" w:hAnsi="Times New Roman"/>
        </w:rPr>
        <w:t>banks</w:t>
      </w:r>
      <w:proofErr w:type="gramEnd"/>
      <w:r>
        <w:rPr>
          <w:rFonts w:ascii="Times New Roman" w:hAnsi="Times New Roman"/>
        </w:rPr>
        <w:t xml:space="preserve"> ... shall be required to make reports of condition and of the payment of dividends to the Federal Reserve bank of which they become a member.  Not less than three of such reports shall be made annually on call of the Federal Reserve </w:t>
      </w:r>
      <w:proofErr w:type="gramStart"/>
      <w:r>
        <w:rPr>
          <w:rFonts w:ascii="Times New Roman" w:hAnsi="Times New Roman"/>
        </w:rPr>
        <w:t>bank</w:t>
      </w:r>
      <w:proofErr w:type="gramEnd"/>
      <w:r>
        <w:rPr>
          <w:rFonts w:ascii="Times New Roman" w:hAnsi="Times New Roman"/>
        </w:rPr>
        <w:t xml:space="preserve"> on dates to be fixed by the Board of Governors of the Federal Reserve System.... Such reports of condition shall be in such form and shall contain such information as the Board of Governors of the Federal Reserve System may require and shall be published by the reporting banks in such manner and in accordance with such regulations as the said Board may prescribe.</w:t>
      </w:r>
    </w:p>
    <w:p w:rsidR="000E7D57" w:rsidRDefault="000E7D57">
      <w:pPr>
        <w:widowControl/>
        <w:tabs>
          <w:tab w:val="left" w:pos="360"/>
        </w:tabs>
        <w:rPr>
          <w:rFonts w:ascii="Times New Roman" w:hAnsi="Times New Roman"/>
        </w:rPr>
      </w:pPr>
    </w:p>
    <w:p w:rsidR="000E7D57" w:rsidRDefault="000E7D57" w:rsidP="00804EB1">
      <w:pPr>
        <w:pStyle w:val="BodyTextIndent3"/>
        <w:widowControl/>
        <w:jc w:val="both"/>
        <w:rPr>
          <w:rFonts w:ascii="Times New Roman" w:hAnsi="Times New Roman"/>
        </w:rPr>
      </w:pPr>
      <w:r>
        <w:rPr>
          <w:rFonts w:ascii="Times New Roman" w:hAnsi="Times New Roman"/>
        </w:rPr>
        <w:t>In discharging this statutory responsibility, the Board of Governors, acting in concert with the other federal banking supervisory agencies since 1979 through the FFIEC, requires banks to submit on the quarterly Reports of Condition and Income such financial data as are needed by the Federal Reserve System to: (1) supervise and regulate banks through monitoring of their financial condition, ensuring the continued safety of the public</w:t>
      </w:r>
      <w:r w:rsidR="00E30374">
        <w:rPr>
          <w:rFonts w:ascii="Times New Roman" w:hAnsi="Times New Roman"/>
        </w:rPr>
        <w:t>’</w:t>
      </w:r>
      <w:r>
        <w:rPr>
          <w:rFonts w:ascii="Times New Roman" w:hAnsi="Times New Roman"/>
        </w:rPr>
        <w:t>s monies and the overall soundness of the nation</w:t>
      </w:r>
      <w:r w:rsidR="00E30374">
        <w:rPr>
          <w:rFonts w:ascii="Times New Roman" w:hAnsi="Times New Roman"/>
        </w:rPr>
        <w:t>’</w:t>
      </w:r>
      <w:r>
        <w:rPr>
          <w:rFonts w:ascii="Times New Roman" w:hAnsi="Times New Roman"/>
        </w:rPr>
        <w:t>s financial structure, and (2) contribute information needed for background for the proper discharge of the Board</w:t>
      </w:r>
      <w:r w:rsidR="00E30374">
        <w:rPr>
          <w:rFonts w:ascii="Times New Roman" w:hAnsi="Times New Roman"/>
        </w:rPr>
        <w:t>’</w:t>
      </w:r>
      <w:r>
        <w:rPr>
          <w:rFonts w:ascii="Times New Roman" w:hAnsi="Times New Roman"/>
        </w:rPr>
        <w:t>s monetary policy responsibilities.  The use of the data is not limited to the federal government, but extends to state and local governments, the banking industry, securities analysts, and the academic community.</w:t>
      </w:r>
    </w:p>
    <w:p w:rsidR="000E7D57" w:rsidRPr="00C858CC" w:rsidRDefault="000E7D57" w:rsidP="0069439F">
      <w:pPr>
        <w:widowControl/>
        <w:tabs>
          <w:tab w:val="left" w:pos="360"/>
        </w:tabs>
        <w:rPr>
          <w:rFonts w:ascii="Times New Roman" w:hAnsi="Times New Roman"/>
          <w:bCs/>
        </w:rPr>
      </w:pPr>
    </w:p>
    <w:p w:rsidR="000E7D57" w:rsidRDefault="000E7D57" w:rsidP="0069439F">
      <w:pPr>
        <w:widowControl/>
        <w:tabs>
          <w:tab w:val="left" w:pos="360"/>
        </w:tabs>
        <w:rPr>
          <w:rFonts w:ascii="Times New Roman" w:hAnsi="Times New Roman"/>
        </w:rPr>
      </w:pPr>
      <w:r>
        <w:rPr>
          <w:rFonts w:ascii="Times New Roman" w:hAnsi="Times New Roman"/>
          <w:b/>
          <w:bCs/>
        </w:rPr>
        <w:t>Description of Information Collection</w:t>
      </w:r>
    </w:p>
    <w:p w:rsidR="000E7D57" w:rsidRDefault="000E7D57" w:rsidP="0069439F">
      <w:pPr>
        <w:pStyle w:val="FootnoteText"/>
        <w:widowControl/>
        <w:tabs>
          <w:tab w:val="left" w:pos="360"/>
        </w:tabs>
        <w:autoSpaceDE w:val="0"/>
        <w:autoSpaceDN w:val="0"/>
        <w:adjustRightInd w:val="0"/>
        <w:rPr>
          <w:rFonts w:ascii="Times New Roman" w:hAnsi="Times New Roman"/>
          <w:snapToGrid/>
          <w:szCs w:val="24"/>
        </w:rPr>
      </w:pPr>
    </w:p>
    <w:p w:rsidR="000E7D57" w:rsidRDefault="000E7D57" w:rsidP="0069439F">
      <w:pPr>
        <w:pStyle w:val="BodyTextIndent3"/>
        <w:widowControl/>
        <w:jc w:val="both"/>
        <w:rPr>
          <w:rFonts w:ascii="Times New Roman" w:hAnsi="Times New Roman"/>
        </w:rPr>
      </w:pPr>
      <w:r>
        <w:rPr>
          <w:rFonts w:ascii="Times New Roman" w:hAnsi="Times New Roman"/>
        </w:rPr>
        <w:t>The Call Reports collect basic financial data from commercial banks in the form of a balance sheet, income statement, and supporting schedules.  The Report of Condition contains supporting schedules that provide detail on assets, liabilities, and capital accounts.  The Report of Income contains supporting schedules that provide detail on income and expenses.</w:t>
      </w:r>
    </w:p>
    <w:p w:rsidR="000E7D57" w:rsidRDefault="000E7D57" w:rsidP="0069439F">
      <w:pPr>
        <w:widowControl/>
        <w:tabs>
          <w:tab w:val="left" w:pos="360"/>
        </w:tabs>
        <w:rPr>
          <w:rFonts w:ascii="Times New Roman" w:hAnsi="Times New Roman"/>
        </w:rPr>
      </w:pPr>
    </w:p>
    <w:p w:rsidR="000E7D57" w:rsidRDefault="000E7D57" w:rsidP="0069439F">
      <w:pPr>
        <w:pStyle w:val="BodyTextIndent3"/>
        <w:widowControl/>
        <w:jc w:val="both"/>
        <w:rPr>
          <w:rFonts w:ascii="Times New Roman" w:hAnsi="Times New Roman"/>
        </w:rPr>
      </w:pPr>
      <w:r>
        <w:rPr>
          <w:rFonts w:ascii="Times New Roman" w:hAnsi="Times New Roman"/>
        </w:rPr>
        <w:t xml:space="preserve">Within the Call Report information collection system as a whole, there are two </w:t>
      </w:r>
      <w:r w:rsidR="00717B88">
        <w:rPr>
          <w:rFonts w:ascii="Times New Roman" w:hAnsi="Times New Roman"/>
        </w:rPr>
        <w:t xml:space="preserve">reporting </w:t>
      </w:r>
      <w:r>
        <w:rPr>
          <w:rFonts w:ascii="Times New Roman" w:hAnsi="Times New Roman"/>
        </w:rPr>
        <w:t>forms that apply to different categories of banks:  (1) all banks that have domestic and foreign offices (FFIEC 031), and (2) banks with domestic offices only (FFIEC 041).  Prior to March 2001, there were four categories of banks and four reporting forms.   The FFIEC 031 was filed by banks with domestic and foreign offices and the FFIEC 032, 033, and 034 were filed by banks with domestic offices only and were filed according to the asset size of the bank.</w:t>
      </w:r>
    </w:p>
    <w:p w:rsidR="000E7D57" w:rsidRDefault="000E7D57" w:rsidP="0069439F">
      <w:pPr>
        <w:widowControl/>
        <w:rPr>
          <w:rFonts w:ascii="Times New Roman" w:hAnsi="Times New Roman"/>
        </w:rPr>
      </w:pPr>
    </w:p>
    <w:p w:rsidR="000E7D57" w:rsidRDefault="000E7D57" w:rsidP="0069439F">
      <w:pPr>
        <w:pStyle w:val="BodyTextIndent3"/>
        <w:widowControl/>
        <w:jc w:val="both"/>
        <w:rPr>
          <w:rFonts w:ascii="Times New Roman" w:hAnsi="Times New Roman"/>
        </w:rPr>
      </w:pPr>
      <w:r>
        <w:rPr>
          <w:rFonts w:ascii="Times New Roman" w:hAnsi="Times New Roman"/>
        </w:rPr>
        <w:t xml:space="preserve">There is no other </w:t>
      </w:r>
      <w:r w:rsidR="00785DE4">
        <w:rPr>
          <w:rFonts w:ascii="Times New Roman" w:hAnsi="Times New Roman"/>
        </w:rPr>
        <w:t>reporting form</w:t>
      </w:r>
      <w:r>
        <w:rPr>
          <w:rFonts w:ascii="Times New Roman" w:hAnsi="Times New Roman"/>
        </w:rPr>
        <w:t xml:space="preserve"> or series of report</w:t>
      </w:r>
      <w:r w:rsidR="00785DE4">
        <w:rPr>
          <w:rFonts w:ascii="Times New Roman" w:hAnsi="Times New Roman"/>
        </w:rPr>
        <w:t xml:space="preserve">ing </w:t>
      </w:r>
      <w:r w:rsidR="008F37A8">
        <w:rPr>
          <w:rFonts w:ascii="Times New Roman" w:hAnsi="Times New Roman"/>
        </w:rPr>
        <w:t>forms that collect</w:t>
      </w:r>
      <w:r>
        <w:rPr>
          <w:rFonts w:ascii="Times New Roman" w:hAnsi="Times New Roman"/>
        </w:rPr>
        <w:t xml:space="preserve"> from all commercial and savings banks the information gathered through the Reports of Condition and Income taken as a whole.  There are other information collection systems that tend to duplicate certain parts of the Call Reports; however, the information they provide would be of limited value as a replacement for the </w:t>
      </w:r>
      <w:r w:rsidR="006956DF">
        <w:rPr>
          <w:rFonts w:ascii="Times New Roman" w:hAnsi="Times New Roman"/>
        </w:rPr>
        <w:t>Call Reports</w:t>
      </w:r>
      <w:r>
        <w:rPr>
          <w:rFonts w:ascii="Times New Roman" w:hAnsi="Times New Roman"/>
        </w:rPr>
        <w:t xml:space="preserve">.  For example, the Federal Reserve collects various </w:t>
      </w:r>
      <w:r w:rsidR="006504B4">
        <w:rPr>
          <w:rFonts w:ascii="Times New Roman" w:hAnsi="Times New Roman"/>
        </w:rPr>
        <w:t xml:space="preserve">data </w:t>
      </w:r>
      <w:r>
        <w:rPr>
          <w:rFonts w:ascii="Times New Roman" w:hAnsi="Times New Roman"/>
        </w:rPr>
        <w:t xml:space="preserve">in connection with its measurement of monetary aggregates, of bank credit, and of flow of funds.  Reporting banks supply the Federal Reserve with detailed information relating to such balance sheet accounts as balances due from depository institutions, loans, and deposit liabilities.  The Federal Reserve also collects financial data from bank holding companies on a regular basis.  </w:t>
      </w:r>
      <w:r>
        <w:rPr>
          <w:rFonts w:ascii="Times New Roman" w:hAnsi="Times New Roman"/>
        </w:rPr>
        <w:lastRenderedPageBreak/>
        <w:t>Such data are presented for the holding company on a consolidated basis, including its banking and nonbanking subsidiaries, and o</w:t>
      </w:r>
      <w:r w:rsidR="00844FD2">
        <w:rPr>
          <w:rFonts w:ascii="Times New Roman" w:hAnsi="Times New Roman"/>
        </w:rPr>
        <w:t>n a parent company only basis.</w:t>
      </w:r>
    </w:p>
    <w:p w:rsidR="000E7D57" w:rsidRDefault="000E7D57" w:rsidP="0069439F">
      <w:pPr>
        <w:widowControl/>
        <w:rPr>
          <w:rFonts w:ascii="Times New Roman" w:hAnsi="Times New Roman"/>
        </w:rPr>
      </w:pPr>
    </w:p>
    <w:p w:rsidR="000E7D57" w:rsidRDefault="000E7D57" w:rsidP="0069439F">
      <w:pPr>
        <w:pStyle w:val="BodyTextIndent3"/>
        <w:widowControl/>
        <w:jc w:val="both"/>
        <w:rPr>
          <w:rFonts w:ascii="Times New Roman" w:hAnsi="Times New Roman"/>
        </w:rPr>
      </w:pPr>
      <w:r>
        <w:rPr>
          <w:rFonts w:ascii="Times New Roman" w:hAnsi="Times New Roman"/>
        </w:rPr>
        <w:t xml:space="preserve">However, Federal Reserve </w:t>
      </w:r>
      <w:r w:rsidR="00785DE4">
        <w:rPr>
          <w:rFonts w:ascii="Times New Roman" w:hAnsi="Times New Roman"/>
        </w:rPr>
        <w:t>reporting form</w:t>
      </w:r>
      <w:r>
        <w:rPr>
          <w:rFonts w:ascii="Times New Roman" w:hAnsi="Times New Roman"/>
        </w:rPr>
        <w:t xml:space="preserve">s from banks are frequently obtained on a sample basis rather than from all insured banks.  Moreover, these </w:t>
      </w:r>
      <w:r w:rsidR="00785DE4">
        <w:rPr>
          <w:rFonts w:ascii="Times New Roman" w:hAnsi="Times New Roman"/>
        </w:rPr>
        <w:t>reporting form</w:t>
      </w:r>
      <w:r>
        <w:rPr>
          <w:rFonts w:ascii="Times New Roman" w:hAnsi="Times New Roman"/>
        </w:rPr>
        <w:t xml:space="preserve">s are often prepared as of dates other than the last business day of each quarter, which would seriously limit their comparability.  Institutions below a certain size are exempt entirely from some Federal Reserve reporting requirements.  Data collected from bank holding companies on a consolidated basis reflect an aggregate amount for all subsidiaries within the organization, including banking and nonbanking subsidiaries, so that the actual dollar amounts applicable to any bank subsidiary are not determinable from the holding company </w:t>
      </w:r>
      <w:r w:rsidR="00785DE4">
        <w:rPr>
          <w:rFonts w:ascii="Times New Roman" w:hAnsi="Times New Roman"/>
        </w:rPr>
        <w:t>reporting form</w:t>
      </w:r>
      <w:r>
        <w:rPr>
          <w:rFonts w:ascii="Times New Roman" w:hAnsi="Times New Roman"/>
        </w:rPr>
        <w:t xml:space="preserve">s.  Hence, these </w:t>
      </w:r>
      <w:r w:rsidR="00785DE4">
        <w:rPr>
          <w:rFonts w:ascii="Times New Roman" w:hAnsi="Times New Roman"/>
        </w:rPr>
        <w:t>reporting form</w:t>
      </w:r>
      <w:r>
        <w:rPr>
          <w:rFonts w:ascii="Times New Roman" w:hAnsi="Times New Roman"/>
        </w:rPr>
        <w:t>s could not be a viable replacement for even a significant portion of the Call Reports since the Federal Reserve, in its role as supervisor of insured state member banks, would be lacking the data necessary to assess the financial condition of individual insured banks to determine whether there had been any deterioration in their condition.</w:t>
      </w:r>
    </w:p>
    <w:p w:rsidR="000E7D57" w:rsidRDefault="000E7D57" w:rsidP="0069439F">
      <w:pPr>
        <w:widowControl/>
        <w:tabs>
          <w:tab w:val="left" w:pos="360"/>
        </w:tabs>
        <w:rPr>
          <w:rFonts w:ascii="Times New Roman" w:hAnsi="Times New Roman"/>
        </w:rPr>
      </w:pPr>
    </w:p>
    <w:p w:rsidR="00804EB1" w:rsidRDefault="000E7D57" w:rsidP="0069439F">
      <w:pPr>
        <w:pStyle w:val="BodyTextIndent3"/>
        <w:widowControl/>
        <w:jc w:val="both"/>
        <w:rPr>
          <w:rFonts w:ascii="Times New Roman" w:hAnsi="Times New Roman"/>
        </w:rPr>
      </w:pPr>
      <w:r>
        <w:rPr>
          <w:rFonts w:ascii="Times New Roman" w:hAnsi="Times New Roman"/>
        </w:rPr>
        <w:t xml:space="preserve">Beginning March 1998, all banks were required to transmit their </w:t>
      </w:r>
      <w:r w:rsidR="006956DF">
        <w:rPr>
          <w:rFonts w:ascii="Times New Roman" w:hAnsi="Times New Roman"/>
        </w:rPr>
        <w:t>Call Report</w:t>
      </w:r>
      <w:r>
        <w:rPr>
          <w:rFonts w:ascii="Times New Roman" w:hAnsi="Times New Roman"/>
        </w:rPr>
        <w:t xml:space="preserve"> data electronically.  Banks do not have to submit hard copy Call Reports to any federal bank supervisory agency unless sp</w:t>
      </w:r>
      <w:r w:rsidR="00804EB1">
        <w:rPr>
          <w:rFonts w:ascii="Times New Roman" w:hAnsi="Times New Roman"/>
        </w:rPr>
        <w:t>ecifically requested to do so.</w:t>
      </w:r>
    </w:p>
    <w:p w:rsidR="00190AA3" w:rsidRPr="00190AA3" w:rsidRDefault="00190AA3" w:rsidP="0069439F">
      <w:pPr>
        <w:rPr>
          <w:rFonts w:ascii="Times New Roman" w:hAnsi="Times New Roman"/>
        </w:rPr>
      </w:pPr>
    </w:p>
    <w:p w:rsidR="000E7D57" w:rsidRPr="00804EB1" w:rsidRDefault="000E7D57" w:rsidP="0069439F">
      <w:pPr>
        <w:ind w:firstLine="720"/>
        <w:rPr>
          <w:rFonts w:ascii="Times New Roman" w:hAnsi="Times New Roman"/>
          <w:b/>
        </w:rPr>
      </w:pPr>
      <w:r w:rsidRPr="00804EB1">
        <w:rPr>
          <w:rFonts w:ascii="Times New Roman" w:hAnsi="Times New Roman"/>
          <w:b/>
        </w:rPr>
        <w:t>Proposed Revisions</w:t>
      </w:r>
    </w:p>
    <w:p w:rsidR="00414C5D" w:rsidRDefault="00414C5D" w:rsidP="00414C5D">
      <w:pPr>
        <w:jc w:val="both"/>
        <w:rPr>
          <w:b/>
        </w:rPr>
      </w:pPr>
    </w:p>
    <w:p w:rsidR="00414C5D" w:rsidRPr="00F90733" w:rsidRDefault="00414C5D" w:rsidP="00414C5D">
      <w:pPr>
        <w:jc w:val="center"/>
        <w:rPr>
          <w:b/>
        </w:rPr>
      </w:pPr>
      <w:r w:rsidRPr="00F90733">
        <w:rPr>
          <w:b/>
        </w:rPr>
        <w:t>March 2009</w:t>
      </w:r>
    </w:p>
    <w:p w:rsidR="00414C5D" w:rsidRDefault="00414C5D" w:rsidP="00414C5D">
      <w:pPr>
        <w:ind w:firstLine="720"/>
        <w:jc w:val="both"/>
      </w:pPr>
    </w:p>
    <w:p w:rsidR="00414C5D" w:rsidRPr="00441136" w:rsidRDefault="00414C5D" w:rsidP="00414C5D">
      <w:pPr>
        <w:jc w:val="both"/>
        <w:rPr>
          <w:u w:val="single"/>
        </w:rPr>
      </w:pPr>
      <w:r>
        <w:rPr>
          <w:u w:val="single"/>
        </w:rPr>
        <w:t>A</w:t>
      </w:r>
      <w:r w:rsidRPr="00441136">
        <w:rPr>
          <w:u w:val="single"/>
        </w:rPr>
        <w:t xml:space="preserve">.  Loans </w:t>
      </w:r>
      <w:r>
        <w:rPr>
          <w:u w:val="single"/>
        </w:rPr>
        <w:t xml:space="preserve">and Leases </w:t>
      </w:r>
      <w:r w:rsidRPr="00441136">
        <w:rPr>
          <w:u w:val="single"/>
        </w:rPr>
        <w:t>Acquired in Business Combinations</w:t>
      </w:r>
    </w:p>
    <w:p w:rsidR="00414C5D" w:rsidRDefault="00414C5D" w:rsidP="00414C5D">
      <w:pPr>
        <w:ind w:firstLine="720"/>
        <w:jc w:val="both"/>
      </w:pPr>
    </w:p>
    <w:p w:rsidR="00414C5D" w:rsidRDefault="00414C5D" w:rsidP="00414C5D">
      <w:pPr>
        <w:ind w:firstLine="720"/>
        <w:jc w:val="both"/>
      </w:pPr>
      <w:r>
        <w:t xml:space="preserve">Banks must apply Statement of Financial Accounting Standards No. 141 (Revised), </w:t>
      </w:r>
      <w:r w:rsidRPr="00441136">
        <w:rPr>
          <w:i/>
        </w:rPr>
        <w:t>Business Combinations</w:t>
      </w:r>
      <w:r>
        <w:t xml:space="preserve"> (FAS 141(R)), which was issued in December 2007, prospectively to business combinations for which the acquisition date is on or after the beginning of their first annual reporting period beginning on or after </w:t>
      </w:r>
      <w:smartTag w:uri="urn:schemas-microsoft-com:office:smarttags" w:element="date">
        <w:smartTagPr>
          <w:attr w:name="Year" w:val="2008"/>
          <w:attr w:name="Day" w:val="15"/>
          <w:attr w:name="Month" w:val="12"/>
        </w:smartTagPr>
        <w:r>
          <w:t>December 15, 2008</w:t>
        </w:r>
      </w:smartTag>
      <w:r>
        <w:t xml:space="preserve">.  Thus, for banks with calendar year fiscal years, FAS 141(R) will apply to business combinations with acquisition dates on or after </w:t>
      </w:r>
      <w:smartTag w:uri="urn:schemas-microsoft-com:office:smarttags" w:element="date">
        <w:smartTagPr>
          <w:attr w:name="Year" w:val="2009"/>
          <w:attr w:name="Day" w:val="1"/>
          <w:attr w:name="Month" w:val="1"/>
        </w:smartTagPr>
        <w:r>
          <w:t>January 1, 2009</w:t>
        </w:r>
      </w:smartTag>
      <w:r>
        <w:t>.  Under FAS 141(R), all business combinations are to be accounted for by applying the acquisition method.</w:t>
      </w:r>
    </w:p>
    <w:p w:rsidR="00414C5D" w:rsidRDefault="00414C5D" w:rsidP="00414C5D">
      <w:pPr>
        <w:ind w:firstLine="720"/>
        <w:jc w:val="both"/>
      </w:pPr>
    </w:p>
    <w:p w:rsidR="00414C5D" w:rsidRDefault="00414C5D" w:rsidP="00414C5D">
      <w:pPr>
        <w:ind w:firstLine="720"/>
        <w:jc w:val="both"/>
      </w:pPr>
      <w:r w:rsidRPr="000A6DB4">
        <w:t xml:space="preserve">Under </w:t>
      </w:r>
      <w:r>
        <w:t>current generally accepted accounting principles,</w:t>
      </w:r>
      <w:r w:rsidRPr="000A6DB4">
        <w:t xml:space="preserve"> </w:t>
      </w:r>
      <w:r>
        <w:t xml:space="preserve">loans to be held for investment that are </w:t>
      </w:r>
      <w:r w:rsidRPr="000A6DB4">
        <w:t xml:space="preserve">acquired </w:t>
      </w:r>
      <w:r>
        <w:t>in a business combination accounted for using the purchase method generally are</w:t>
      </w:r>
      <w:r w:rsidRPr="000A6DB4">
        <w:t xml:space="preserve"> recorded at </w:t>
      </w:r>
      <w:r>
        <w:t>“</w:t>
      </w:r>
      <w:r w:rsidRPr="000A6DB4">
        <w:t xml:space="preserve">present </w:t>
      </w:r>
      <w:r>
        <w:t xml:space="preserve">values of </w:t>
      </w:r>
      <w:r w:rsidRPr="000A6DB4">
        <w:t>amounts to be received</w:t>
      </w:r>
      <w:r>
        <w:t xml:space="preserve"> </w:t>
      </w:r>
      <w:r w:rsidRPr="000A6DB4">
        <w:t>determined at appropriate current interest rates</w:t>
      </w:r>
      <w:r>
        <w:t>,</w:t>
      </w:r>
      <w:r w:rsidRPr="000A6DB4">
        <w:t xml:space="preserve"> less allowances</w:t>
      </w:r>
      <w:r>
        <w:t>”</w:t>
      </w:r>
      <w:r w:rsidRPr="000A6DB4">
        <w:t xml:space="preserve"> for </w:t>
      </w:r>
      <w:r>
        <w:t>loan and lease losses (ALLL)</w:t>
      </w:r>
      <w:r w:rsidRPr="000A6DB4">
        <w:t>.</w:t>
      </w:r>
      <w:r w:rsidRPr="00414C5D">
        <w:rPr>
          <w:rStyle w:val="FootnoteReference"/>
          <w:vertAlign w:val="superscript"/>
        </w:rPr>
        <w:footnoteReference w:id="2"/>
      </w:r>
      <w:r w:rsidRPr="00414C5D">
        <w:rPr>
          <w:vertAlign w:val="superscript"/>
        </w:rPr>
        <w:t xml:space="preserve"> </w:t>
      </w:r>
      <w:r>
        <w:t xml:space="preserve"> Thus, in practice, an acquired bank’s ALLL generally is carried over to the acquiring bank’s (consolidated) balance sheet.  In contrast, under FAS 141(R), a bank acquiring loans to be held for investment in a business combination accounted for using the acquisition method must </w:t>
      </w:r>
      <w:r w:rsidRPr="00956A0E">
        <w:t xml:space="preserve">record </w:t>
      </w:r>
      <w:r>
        <w:t xml:space="preserve">these loans </w:t>
      </w:r>
      <w:r w:rsidRPr="00956A0E">
        <w:t xml:space="preserve">at fair value. </w:t>
      </w:r>
      <w:r>
        <w:t xml:space="preserve"> The f</w:t>
      </w:r>
      <w:r w:rsidRPr="00956A0E">
        <w:t xml:space="preserve">air value </w:t>
      </w:r>
      <w:r>
        <w:t xml:space="preserve">of these loans </w:t>
      </w:r>
      <w:r w:rsidRPr="00956A0E">
        <w:t>incorporate</w:t>
      </w:r>
      <w:r>
        <w:t>s</w:t>
      </w:r>
      <w:r w:rsidRPr="00956A0E">
        <w:t xml:space="preserve"> assumptions regarding c</w:t>
      </w:r>
      <w:r>
        <w:t>redit</w:t>
      </w:r>
      <w:r w:rsidRPr="00956A0E">
        <w:t xml:space="preserve"> risk</w:t>
      </w:r>
      <w:r>
        <w:t>.  As a result</w:t>
      </w:r>
      <w:r w:rsidRPr="00956A0E">
        <w:t xml:space="preserve">, </w:t>
      </w:r>
      <w:r>
        <w:t>FAS 141(R) does not permit an acquiring bank to carry over the acquired bank’s ALLL</w:t>
      </w:r>
      <w:r w:rsidRPr="00956A0E">
        <w:t>.</w:t>
      </w:r>
      <w:r>
        <w:t xml:space="preserve">  This same </w:t>
      </w:r>
      <w:r>
        <w:lastRenderedPageBreak/>
        <w:t xml:space="preserve">prohibition on carrying over the ALLL would apply in those situations when a bank must apply push down accounting, which is </w:t>
      </w:r>
      <w:r w:rsidRPr="00A677DF">
        <w:t>the establishment of a new accounting basis for a bank in its separate financial statements</w:t>
      </w:r>
      <w:r>
        <w:t xml:space="preserve"> and its Call Report</w:t>
      </w:r>
      <w:r w:rsidRPr="00A677DF">
        <w:t xml:space="preserve"> as a result of t</w:t>
      </w:r>
      <w:r>
        <w:t>he bank</w:t>
      </w:r>
      <w:r w:rsidRPr="00A677DF">
        <w:t xml:space="preserve"> becoming substantially wholly owned via a purchase transaction or a series of purchase transactions.  </w:t>
      </w:r>
      <w:r>
        <w:t xml:space="preserve"> </w:t>
      </w:r>
    </w:p>
    <w:p w:rsidR="00414C5D" w:rsidRDefault="00414C5D" w:rsidP="00414C5D">
      <w:pPr>
        <w:ind w:firstLine="720"/>
        <w:jc w:val="both"/>
      </w:pPr>
      <w:r>
        <w:t xml:space="preserve"> </w:t>
      </w:r>
    </w:p>
    <w:p w:rsidR="00414C5D" w:rsidRDefault="00414C5D" w:rsidP="00414C5D">
      <w:pPr>
        <w:ind w:firstLine="720"/>
        <w:jc w:val="both"/>
      </w:pPr>
      <w:r>
        <w:t>Because of this significant change in the accounting for acquired loans, paragraph 68(h) of FAS 141(R) requires the following disclosures about the loans (not subject to SOP 03</w:t>
      </w:r>
      <w:r>
        <w:noBreakHyphen/>
        <w:t>3) and leases that were acquired in each business combination that occurred during the reporting period:</w:t>
      </w:r>
    </w:p>
    <w:p w:rsidR="00414C5D" w:rsidRDefault="00414C5D" w:rsidP="00BA5648">
      <w:pPr>
        <w:widowControl/>
        <w:numPr>
          <w:ilvl w:val="0"/>
          <w:numId w:val="8"/>
        </w:numPr>
        <w:autoSpaceDE/>
        <w:autoSpaceDN/>
        <w:adjustRightInd/>
        <w:jc w:val="both"/>
      </w:pPr>
      <w:r>
        <w:t>The fair value of the loans and leases;</w:t>
      </w:r>
    </w:p>
    <w:p w:rsidR="00414C5D" w:rsidRDefault="00414C5D" w:rsidP="00BA5648">
      <w:pPr>
        <w:widowControl/>
        <w:numPr>
          <w:ilvl w:val="0"/>
          <w:numId w:val="8"/>
        </w:numPr>
        <w:autoSpaceDE/>
        <w:autoSpaceDN/>
        <w:adjustRightInd/>
        <w:jc w:val="both"/>
      </w:pPr>
      <w:r>
        <w:t xml:space="preserve">The gross contractual amounts receivable; and </w:t>
      </w:r>
    </w:p>
    <w:p w:rsidR="00414C5D" w:rsidRDefault="00414C5D" w:rsidP="00BA5648">
      <w:pPr>
        <w:widowControl/>
        <w:numPr>
          <w:ilvl w:val="0"/>
          <w:numId w:val="8"/>
        </w:numPr>
        <w:autoSpaceDE/>
        <w:autoSpaceDN/>
        <w:adjustRightInd/>
        <w:jc w:val="both"/>
      </w:pPr>
      <w:r>
        <w:t>The best estimate at the acquisition date of the contractual cash flows not expected to be collected.</w:t>
      </w:r>
    </w:p>
    <w:p w:rsidR="00414C5D" w:rsidRDefault="00414C5D" w:rsidP="00414C5D">
      <w:pPr>
        <w:widowControl/>
        <w:autoSpaceDE/>
        <w:autoSpaceDN/>
        <w:adjustRightInd/>
        <w:jc w:val="both"/>
      </w:pPr>
    </w:p>
    <w:p w:rsidR="00414C5D" w:rsidRDefault="00414C5D" w:rsidP="00414C5D">
      <w:pPr>
        <w:ind w:firstLine="720"/>
        <w:jc w:val="both"/>
      </w:pPr>
      <w:r>
        <w:t xml:space="preserve">These disclosures are intended to assist users of financial statements in understanding the credit quality and </w:t>
      </w:r>
      <w:proofErr w:type="spellStart"/>
      <w:r>
        <w:t>collectibility</w:t>
      </w:r>
      <w:proofErr w:type="spellEnd"/>
      <w:r>
        <w:t xml:space="preserve"> of the acquired loans and leases at the time of their acquisition.  Accordingly, and in recognition of this significant change in accounting practice for business combinations, the agencies are proposing to add new items to the Call Report that would encompass the three acquisition date disclosures required by FAS 141(R) cited above for the following categories of acquired held-for-investment loans (not subject to SOP 03-3) and leases: </w:t>
      </w:r>
    </w:p>
    <w:p w:rsidR="00414C5D" w:rsidRDefault="00414C5D" w:rsidP="00BA5648">
      <w:pPr>
        <w:widowControl/>
        <w:numPr>
          <w:ilvl w:val="0"/>
          <w:numId w:val="9"/>
        </w:numPr>
        <w:autoSpaceDE/>
        <w:autoSpaceDN/>
        <w:adjustRightInd/>
        <w:ind w:left="360"/>
        <w:jc w:val="both"/>
      </w:pPr>
      <w:r>
        <w:t xml:space="preserve">Loans secured by real estate; </w:t>
      </w:r>
    </w:p>
    <w:p w:rsidR="00414C5D" w:rsidRDefault="00414C5D" w:rsidP="00BA5648">
      <w:pPr>
        <w:widowControl/>
        <w:numPr>
          <w:ilvl w:val="0"/>
          <w:numId w:val="9"/>
        </w:numPr>
        <w:autoSpaceDE/>
        <w:autoSpaceDN/>
        <w:adjustRightInd/>
        <w:ind w:left="360"/>
        <w:jc w:val="both"/>
      </w:pPr>
      <w:r>
        <w:t xml:space="preserve">Commercial and industrial loans; </w:t>
      </w:r>
    </w:p>
    <w:p w:rsidR="00414C5D" w:rsidRDefault="00414C5D" w:rsidP="00BA5648">
      <w:pPr>
        <w:widowControl/>
        <w:numPr>
          <w:ilvl w:val="0"/>
          <w:numId w:val="9"/>
        </w:numPr>
        <w:autoSpaceDE/>
        <w:autoSpaceDN/>
        <w:adjustRightInd/>
        <w:ind w:left="360"/>
        <w:jc w:val="both"/>
      </w:pPr>
      <w:r>
        <w:t xml:space="preserve">Loans to individuals for household, family, and other personal expenditures; and </w:t>
      </w:r>
    </w:p>
    <w:p w:rsidR="00414C5D" w:rsidRDefault="00414C5D" w:rsidP="00BA5648">
      <w:pPr>
        <w:widowControl/>
        <w:numPr>
          <w:ilvl w:val="0"/>
          <w:numId w:val="9"/>
        </w:numPr>
        <w:autoSpaceDE/>
        <w:autoSpaceDN/>
        <w:adjustRightInd/>
        <w:ind w:left="360"/>
        <w:jc w:val="both"/>
      </w:pPr>
      <w:r>
        <w:t xml:space="preserve">All other loans and all leases.  </w:t>
      </w:r>
    </w:p>
    <w:p w:rsidR="00414C5D" w:rsidRDefault="00414C5D" w:rsidP="00414C5D">
      <w:pPr>
        <w:ind w:firstLine="720"/>
        <w:jc w:val="both"/>
      </w:pPr>
    </w:p>
    <w:p w:rsidR="00414C5D" w:rsidRDefault="00414C5D" w:rsidP="00414C5D">
      <w:pPr>
        <w:ind w:firstLine="720"/>
        <w:jc w:val="both"/>
      </w:pPr>
      <w:r>
        <w:t xml:space="preserve">These new items would be completed by banks that have engaged in business combinations that must be accounted for in accordance with FAS 141(R) or that have been involved in push down accounting transactions to which the measurement principles in FAS 141(R) apply, i.e., in general, transactions for which the acquisition date is on or after January 1, 2009.  A bank that has completed one or more business combinations or has applied push down accounting during the current calendar year would report these acquisition date data (as aggregate totals if multiple business combinations have occurred) in each Call Report submission after the acquisition date during that year.  </w:t>
      </w:r>
    </w:p>
    <w:p w:rsidR="00414C5D" w:rsidRDefault="00414C5D" w:rsidP="00F90733">
      <w:pPr>
        <w:jc w:val="both"/>
      </w:pPr>
    </w:p>
    <w:p w:rsidR="00414C5D" w:rsidRPr="00E20246" w:rsidRDefault="00414C5D" w:rsidP="00414C5D">
      <w:pPr>
        <w:jc w:val="both"/>
        <w:rPr>
          <w:color w:val="000000"/>
          <w:u w:val="single"/>
        </w:rPr>
      </w:pPr>
      <w:r>
        <w:rPr>
          <w:color w:val="000000"/>
          <w:u w:val="single"/>
        </w:rPr>
        <w:t>B</w:t>
      </w:r>
      <w:r w:rsidRPr="00E20246">
        <w:rPr>
          <w:color w:val="000000"/>
          <w:u w:val="single"/>
        </w:rPr>
        <w:t xml:space="preserve">.  </w:t>
      </w:r>
      <w:proofErr w:type="spellStart"/>
      <w:r w:rsidRPr="00E20246">
        <w:rPr>
          <w:color w:val="000000"/>
          <w:u w:val="single"/>
        </w:rPr>
        <w:t>Noncontrolling</w:t>
      </w:r>
      <w:proofErr w:type="spellEnd"/>
      <w:r w:rsidRPr="00E20246">
        <w:rPr>
          <w:color w:val="000000"/>
          <w:u w:val="single"/>
        </w:rPr>
        <w:t xml:space="preserve"> Interests in Consolidated Financial Statements</w:t>
      </w:r>
    </w:p>
    <w:p w:rsidR="00414C5D" w:rsidRDefault="00414C5D" w:rsidP="00414C5D">
      <w:pPr>
        <w:jc w:val="both"/>
        <w:rPr>
          <w:color w:val="000000"/>
        </w:rPr>
      </w:pPr>
    </w:p>
    <w:p w:rsidR="00414C5D" w:rsidRDefault="00414C5D" w:rsidP="00414C5D">
      <w:pPr>
        <w:ind w:firstLine="720"/>
        <w:jc w:val="both"/>
        <w:rPr>
          <w:color w:val="000000"/>
        </w:rPr>
      </w:pPr>
      <w:r w:rsidRPr="0066248F">
        <w:rPr>
          <w:color w:val="000000"/>
        </w:rPr>
        <w:t xml:space="preserve">In December 2007, the FASB issued </w:t>
      </w:r>
      <w:r>
        <w:rPr>
          <w:color w:val="000000"/>
        </w:rPr>
        <w:t>S</w:t>
      </w:r>
      <w:r w:rsidRPr="0066248F">
        <w:rPr>
          <w:color w:val="000000"/>
        </w:rPr>
        <w:t xml:space="preserve">tatement </w:t>
      </w:r>
      <w:r>
        <w:rPr>
          <w:color w:val="000000"/>
        </w:rPr>
        <w:t>N</w:t>
      </w:r>
      <w:r w:rsidRPr="0066248F">
        <w:rPr>
          <w:color w:val="000000"/>
        </w:rPr>
        <w:t xml:space="preserve">o. 160, </w:t>
      </w:r>
      <w:proofErr w:type="spellStart"/>
      <w:r w:rsidRPr="00501D23">
        <w:rPr>
          <w:i/>
          <w:color w:val="000000"/>
        </w:rPr>
        <w:t>Noncontrolling</w:t>
      </w:r>
      <w:proofErr w:type="spellEnd"/>
      <w:r w:rsidRPr="00501D23">
        <w:rPr>
          <w:i/>
          <w:color w:val="000000"/>
        </w:rPr>
        <w:t xml:space="preserve"> Interests in Consolidated Financial Statements</w:t>
      </w:r>
      <w:r w:rsidRPr="00564043">
        <w:rPr>
          <w:color w:val="000000"/>
        </w:rPr>
        <w:t xml:space="preserve"> (FAS 160).</w:t>
      </w:r>
      <w:r w:rsidRPr="0066248F">
        <w:rPr>
          <w:color w:val="000000"/>
        </w:rPr>
        <w:t xml:space="preserve">  </w:t>
      </w:r>
      <w:proofErr w:type="gramStart"/>
      <w:r w:rsidRPr="0066248F">
        <w:rPr>
          <w:color w:val="000000"/>
        </w:rPr>
        <w:t>FAS</w:t>
      </w:r>
      <w:r>
        <w:rPr>
          <w:color w:val="000000"/>
        </w:rPr>
        <w:t> </w:t>
      </w:r>
      <w:r w:rsidRPr="0066248F">
        <w:rPr>
          <w:color w:val="000000"/>
        </w:rPr>
        <w:t>160 requires</w:t>
      </w:r>
      <w:proofErr w:type="gramEnd"/>
      <w:r w:rsidRPr="0066248F">
        <w:rPr>
          <w:color w:val="000000"/>
        </w:rPr>
        <w:t xml:space="preserve"> a bank to clearly </w:t>
      </w:r>
      <w:r>
        <w:rPr>
          <w:color w:val="000000"/>
        </w:rPr>
        <w:t>present</w:t>
      </w:r>
      <w:r w:rsidRPr="0066248F">
        <w:rPr>
          <w:color w:val="000000"/>
        </w:rPr>
        <w:t xml:space="preserve"> </w:t>
      </w:r>
      <w:r>
        <w:rPr>
          <w:color w:val="000000"/>
        </w:rPr>
        <w:t xml:space="preserve">in its consolidated financial statements </w:t>
      </w:r>
      <w:r w:rsidRPr="0066248F">
        <w:rPr>
          <w:color w:val="000000"/>
        </w:rPr>
        <w:t xml:space="preserve">the equity ownership interest </w:t>
      </w:r>
      <w:r>
        <w:rPr>
          <w:color w:val="000000"/>
        </w:rPr>
        <w:t xml:space="preserve">in </w:t>
      </w:r>
      <w:r w:rsidRPr="0066248F">
        <w:rPr>
          <w:color w:val="000000"/>
        </w:rPr>
        <w:t xml:space="preserve">and </w:t>
      </w:r>
      <w:r>
        <w:rPr>
          <w:color w:val="000000"/>
        </w:rPr>
        <w:t xml:space="preserve">the </w:t>
      </w:r>
      <w:r w:rsidRPr="0066248F">
        <w:rPr>
          <w:color w:val="000000"/>
        </w:rPr>
        <w:t xml:space="preserve">financial statement results </w:t>
      </w:r>
      <w:r>
        <w:rPr>
          <w:color w:val="000000"/>
        </w:rPr>
        <w:t>of</w:t>
      </w:r>
      <w:r w:rsidRPr="0066248F">
        <w:rPr>
          <w:color w:val="000000"/>
        </w:rPr>
        <w:t xml:space="preserve"> its subsidiaries that </w:t>
      </w:r>
      <w:r>
        <w:rPr>
          <w:color w:val="000000"/>
        </w:rPr>
        <w:t>are</w:t>
      </w:r>
      <w:r w:rsidRPr="0066248F">
        <w:rPr>
          <w:color w:val="000000"/>
        </w:rPr>
        <w:t xml:space="preserve"> attributable </w:t>
      </w:r>
      <w:r>
        <w:rPr>
          <w:color w:val="000000"/>
        </w:rPr>
        <w:t xml:space="preserve">to </w:t>
      </w:r>
      <w:r w:rsidRPr="0066248F">
        <w:rPr>
          <w:color w:val="000000"/>
        </w:rPr>
        <w:t xml:space="preserve">the </w:t>
      </w:r>
      <w:proofErr w:type="spellStart"/>
      <w:r w:rsidRPr="0066248F">
        <w:rPr>
          <w:color w:val="000000"/>
        </w:rPr>
        <w:t>noncontrolling</w:t>
      </w:r>
      <w:proofErr w:type="spellEnd"/>
      <w:r w:rsidRPr="0066248F">
        <w:rPr>
          <w:color w:val="000000"/>
        </w:rPr>
        <w:t xml:space="preserve"> ownership interest</w:t>
      </w:r>
      <w:r>
        <w:rPr>
          <w:color w:val="000000"/>
        </w:rPr>
        <w:t>s in these subsidiaries</w:t>
      </w:r>
      <w:r w:rsidR="00F90733">
        <w:rPr>
          <w:color w:val="000000"/>
        </w:rPr>
        <w:t xml:space="preserve">. </w:t>
      </w:r>
      <w:proofErr w:type="gramStart"/>
      <w:r w:rsidRPr="0066248F">
        <w:rPr>
          <w:color w:val="000000"/>
        </w:rPr>
        <w:t>FAS 160 defines</w:t>
      </w:r>
      <w:proofErr w:type="gramEnd"/>
      <w:r w:rsidRPr="0066248F">
        <w:rPr>
          <w:color w:val="000000"/>
        </w:rPr>
        <w:t xml:space="preserve"> </w:t>
      </w:r>
      <w:r>
        <w:rPr>
          <w:color w:val="000000"/>
        </w:rPr>
        <w:t>a</w:t>
      </w:r>
      <w:r w:rsidRPr="0066248F">
        <w:rPr>
          <w:color w:val="000000"/>
        </w:rPr>
        <w:t xml:space="preserve"> </w:t>
      </w:r>
      <w:proofErr w:type="spellStart"/>
      <w:r w:rsidRPr="0066248F">
        <w:rPr>
          <w:color w:val="000000"/>
        </w:rPr>
        <w:t>noncontrolling</w:t>
      </w:r>
      <w:proofErr w:type="spellEnd"/>
      <w:r w:rsidRPr="0066248F">
        <w:rPr>
          <w:color w:val="000000"/>
        </w:rPr>
        <w:t xml:space="preserve"> interest, also called </w:t>
      </w:r>
      <w:r>
        <w:rPr>
          <w:color w:val="000000"/>
        </w:rPr>
        <w:t>a</w:t>
      </w:r>
      <w:r w:rsidRPr="0066248F">
        <w:rPr>
          <w:color w:val="000000"/>
        </w:rPr>
        <w:t xml:space="preserve"> minority interest, as the portion of equity in a bank’s subsidiary not attributable, directly or indirectly</w:t>
      </w:r>
      <w:r>
        <w:rPr>
          <w:color w:val="000000"/>
        </w:rPr>
        <w:t>,</w:t>
      </w:r>
      <w:r w:rsidRPr="0066248F">
        <w:rPr>
          <w:color w:val="000000"/>
        </w:rPr>
        <w:t xml:space="preserve"> to the parent bank.  Under FAS 160, the ownership interests in subsidiaries held by the </w:t>
      </w:r>
      <w:proofErr w:type="spellStart"/>
      <w:r w:rsidRPr="0066248F">
        <w:rPr>
          <w:color w:val="000000"/>
        </w:rPr>
        <w:t>noncontrolling</w:t>
      </w:r>
      <w:proofErr w:type="spellEnd"/>
      <w:r w:rsidRPr="0066248F">
        <w:rPr>
          <w:color w:val="000000"/>
        </w:rPr>
        <w:t xml:space="preserve"> interest</w:t>
      </w:r>
      <w:r>
        <w:rPr>
          <w:color w:val="000000"/>
        </w:rPr>
        <w:t>s</w:t>
      </w:r>
      <w:r w:rsidRPr="0066248F">
        <w:rPr>
          <w:color w:val="000000"/>
        </w:rPr>
        <w:t xml:space="preserve"> must be clearly identified, labeled, and presented in the consolidated </w:t>
      </w:r>
      <w:r>
        <w:rPr>
          <w:color w:val="000000"/>
        </w:rPr>
        <w:t>balance sheet</w:t>
      </w:r>
      <w:r w:rsidRPr="0066248F">
        <w:rPr>
          <w:color w:val="000000"/>
        </w:rPr>
        <w:t xml:space="preserve"> within equity</w:t>
      </w:r>
      <w:r>
        <w:rPr>
          <w:color w:val="000000"/>
        </w:rPr>
        <w:t xml:space="preserve"> capital</w:t>
      </w:r>
      <w:r w:rsidRPr="0066248F">
        <w:rPr>
          <w:color w:val="000000"/>
        </w:rPr>
        <w:t>, but separate from the parent</w:t>
      </w:r>
      <w:r>
        <w:rPr>
          <w:color w:val="000000"/>
        </w:rPr>
        <w:t xml:space="preserve"> bank</w:t>
      </w:r>
      <w:r w:rsidRPr="0066248F">
        <w:rPr>
          <w:color w:val="000000"/>
        </w:rPr>
        <w:t>’s equity</w:t>
      </w:r>
      <w:r>
        <w:rPr>
          <w:color w:val="000000"/>
        </w:rPr>
        <w:t xml:space="preserve"> capital</w:t>
      </w:r>
      <w:r w:rsidRPr="0066248F">
        <w:rPr>
          <w:color w:val="000000"/>
        </w:rPr>
        <w:t xml:space="preserve">.  FAS 160 </w:t>
      </w:r>
      <w:r>
        <w:rPr>
          <w:color w:val="000000"/>
        </w:rPr>
        <w:t xml:space="preserve">also </w:t>
      </w:r>
      <w:r w:rsidRPr="0066248F">
        <w:rPr>
          <w:color w:val="000000"/>
        </w:rPr>
        <w:t xml:space="preserve">requires </w:t>
      </w:r>
      <w:r>
        <w:rPr>
          <w:color w:val="000000"/>
        </w:rPr>
        <w:t xml:space="preserve">that </w:t>
      </w:r>
      <w:r w:rsidRPr="0066248F">
        <w:rPr>
          <w:color w:val="000000"/>
        </w:rPr>
        <w:t xml:space="preserve">the amount of consolidated net income attributable to the bank and to the </w:t>
      </w:r>
      <w:proofErr w:type="spellStart"/>
      <w:r w:rsidRPr="0066248F">
        <w:rPr>
          <w:color w:val="000000"/>
        </w:rPr>
        <w:t>noncontrolling</w:t>
      </w:r>
      <w:proofErr w:type="spellEnd"/>
      <w:r w:rsidRPr="0066248F">
        <w:rPr>
          <w:color w:val="000000"/>
        </w:rPr>
        <w:t xml:space="preserve"> interest</w:t>
      </w:r>
      <w:r>
        <w:rPr>
          <w:color w:val="000000"/>
        </w:rPr>
        <w:t>s</w:t>
      </w:r>
      <w:r w:rsidRPr="0066248F">
        <w:rPr>
          <w:color w:val="000000"/>
        </w:rPr>
        <w:t xml:space="preserve"> in the bank’s subsidiaries be clearly identified and presented on the face of the consolidated </w:t>
      </w:r>
      <w:r>
        <w:rPr>
          <w:color w:val="000000"/>
        </w:rPr>
        <w:t xml:space="preserve">income </w:t>
      </w:r>
      <w:r w:rsidRPr="0066248F">
        <w:rPr>
          <w:color w:val="000000"/>
        </w:rPr>
        <w:t xml:space="preserve">statement.  In this regard, the consolidated </w:t>
      </w:r>
      <w:r>
        <w:rPr>
          <w:color w:val="000000"/>
        </w:rPr>
        <w:t xml:space="preserve">income </w:t>
      </w:r>
      <w:r w:rsidRPr="0066248F">
        <w:rPr>
          <w:color w:val="000000"/>
        </w:rPr>
        <w:t xml:space="preserve">statement will reflect the </w:t>
      </w:r>
      <w:r>
        <w:rPr>
          <w:color w:val="000000"/>
        </w:rPr>
        <w:t>amount of</w:t>
      </w:r>
      <w:r w:rsidRPr="0066248F">
        <w:rPr>
          <w:color w:val="000000"/>
        </w:rPr>
        <w:t xml:space="preserve"> the </w:t>
      </w:r>
      <w:r>
        <w:rPr>
          <w:color w:val="000000"/>
        </w:rPr>
        <w:lastRenderedPageBreak/>
        <w:t>bank</w:t>
      </w:r>
      <w:r w:rsidRPr="0066248F">
        <w:rPr>
          <w:color w:val="000000"/>
        </w:rPr>
        <w:t xml:space="preserve">’s </w:t>
      </w:r>
      <w:r>
        <w:rPr>
          <w:color w:val="000000"/>
        </w:rPr>
        <w:t xml:space="preserve">consolidated </w:t>
      </w:r>
      <w:r w:rsidRPr="0066248F">
        <w:rPr>
          <w:color w:val="000000"/>
        </w:rPr>
        <w:t>net income, with separate line item</w:t>
      </w:r>
      <w:r>
        <w:rPr>
          <w:color w:val="000000"/>
        </w:rPr>
        <w:t>s then</w:t>
      </w:r>
      <w:r w:rsidRPr="0066248F">
        <w:rPr>
          <w:color w:val="000000"/>
        </w:rPr>
        <w:t xml:space="preserve"> indicating the </w:t>
      </w:r>
      <w:r>
        <w:rPr>
          <w:color w:val="000000"/>
        </w:rPr>
        <w:t xml:space="preserve">portions of the consolidated </w:t>
      </w:r>
      <w:r w:rsidRPr="0066248F">
        <w:rPr>
          <w:color w:val="000000"/>
        </w:rPr>
        <w:t xml:space="preserve">net income attributable to the </w:t>
      </w:r>
      <w:proofErr w:type="spellStart"/>
      <w:r w:rsidRPr="0066248F">
        <w:rPr>
          <w:color w:val="000000"/>
        </w:rPr>
        <w:t>noncontrolling</w:t>
      </w:r>
      <w:proofErr w:type="spellEnd"/>
      <w:r w:rsidRPr="0066248F">
        <w:rPr>
          <w:color w:val="000000"/>
        </w:rPr>
        <w:t xml:space="preserve"> interest</w:t>
      </w:r>
      <w:r>
        <w:rPr>
          <w:color w:val="000000"/>
        </w:rPr>
        <w:t>s and to the parent bank</w:t>
      </w:r>
      <w:r w:rsidRPr="0066248F">
        <w:rPr>
          <w:color w:val="000000"/>
        </w:rPr>
        <w:t>.</w:t>
      </w:r>
    </w:p>
    <w:p w:rsidR="00F90733" w:rsidRDefault="00F90733" w:rsidP="00414C5D">
      <w:pPr>
        <w:ind w:firstLine="720"/>
        <w:jc w:val="both"/>
        <w:rPr>
          <w:color w:val="000000"/>
        </w:rPr>
      </w:pPr>
    </w:p>
    <w:p w:rsidR="00414C5D" w:rsidRDefault="00414C5D" w:rsidP="00414C5D">
      <w:pPr>
        <w:ind w:firstLine="720"/>
        <w:jc w:val="both"/>
        <w:rPr>
          <w:color w:val="000000"/>
        </w:rPr>
      </w:pPr>
      <w:r>
        <w:rPr>
          <w:color w:val="000000"/>
        </w:rPr>
        <w:t xml:space="preserve">The agencies are proposing to make several changes </w:t>
      </w:r>
      <w:r w:rsidRPr="00AC41B0">
        <w:rPr>
          <w:color w:val="000000"/>
        </w:rPr>
        <w:t>to conform t</w:t>
      </w:r>
      <w:r>
        <w:rPr>
          <w:color w:val="000000"/>
        </w:rPr>
        <w:t>he</w:t>
      </w:r>
      <w:r w:rsidRPr="00AC41B0">
        <w:rPr>
          <w:color w:val="000000"/>
        </w:rPr>
        <w:t xml:space="preserve"> </w:t>
      </w:r>
      <w:r>
        <w:rPr>
          <w:color w:val="000000"/>
        </w:rPr>
        <w:t xml:space="preserve">Call Report to </w:t>
      </w:r>
      <w:r w:rsidRPr="00AC41B0">
        <w:rPr>
          <w:color w:val="000000"/>
        </w:rPr>
        <w:t xml:space="preserve">the </w:t>
      </w:r>
      <w:r>
        <w:rPr>
          <w:color w:val="000000"/>
        </w:rPr>
        <w:t>presentation</w:t>
      </w:r>
      <w:r w:rsidRPr="00AC41B0">
        <w:rPr>
          <w:color w:val="000000"/>
        </w:rPr>
        <w:t xml:space="preserve"> </w:t>
      </w:r>
      <w:r>
        <w:rPr>
          <w:color w:val="000000"/>
        </w:rPr>
        <w:t xml:space="preserve">requirements of </w:t>
      </w:r>
      <w:r w:rsidRPr="00AC41B0">
        <w:rPr>
          <w:color w:val="000000"/>
        </w:rPr>
        <w:t>FAS 160</w:t>
      </w:r>
      <w:r>
        <w:rPr>
          <w:color w:val="000000"/>
        </w:rPr>
        <w:t>.</w:t>
      </w:r>
      <w:r w:rsidRPr="00AC41B0">
        <w:rPr>
          <w:color w:val="000000"/>
        </w:rPr>
        <w:t xml:space="preserve"> </w:t>
      </w:r>
      <w:r>
        <w:rPr>
          <w:color w:val="000000"/>
        </w:rPr>
        <w:t xml:space="preserve"> T</w:t>
      </w:r>
      <w:r w:rsidRPr="00AC41B0">
        <w:rPr>
          <w:color w:val="000000"/>
        </w:rPr>
        <w:t>he agencies propos</w:t>
      </w:r>
      <w:r>
        <w:rPr>
          <w:color w:val="000000"/>
        </w:rPr>
        <w:t>e</w:t>
      </w:r>
      <w:r w:rsidRPr="00AC41B0">
        <w:rPr>
          <w:color w:val="000000"/>
        </w:rPr>
        <w:t xml:space="preserve"> to amend </w:t>
      </w:r>
      <w:r>
        <w:rPr>
          <w:color w:val="000000"/>
        </w:rPr>
        <w:t>Schedule </w:t>
      </w:r>
      <w:r w:rsidRPr="00AC41B0">
        <w:rPr>
          <w:color w:val="000000"/>
        </w:rPr>
        <w:t xml:space="preserve">RC, Balance Sheet, by </w:t>
      </w:r>
      <w:r>
        <w:rPr>
          <w:color w:val="000000"/>
        </w:rPr>
        <w:t>replacing</w:t>
      </w:r>
      <w:r w:rsidRPr="00AC41B0">
        <w:rPr>
          <w:color w:val="000000"/>
        </w:rPr>
        <w:t xml:space="preserve"> </w:t>
      </w:r>
      <w:r>
        <w:rPr>
          <w:color w:val="000000"/>
        </w:rPr>
        <w:t>item</w:t>
      </w:r>
      <w:r w:rsidRPr="00AC41B0">
        <w:rPr>
          <w:color w:val="000000"/>
        </w:rPr>
        <w:t xml:space="preserve"> 22, “Minority interest in consolidated subsidiaries</w:t>
      </w:r>
      <w:r>
        <w:rPr>
          <w:color w:val="000000"/>
        </w:rPr>
        <w:t>,</w:t>
      </w:r>
      <w:r w:rsidRPr="00AC41B0">
        <w:rPr>
          <w:color w:val="000000"/>
        </w:rPr>
        <w:t xml:space="preserve">” </w:t>
      </w:r>
      <w:r>
        <w:rPr>
          <w:color w:val="000000"/>
        </w:rPr>
        <w:t>which is currently reported outside</w:t>
      </w:r>
      <w:r w:rsidRPr="00AC41B0">
        <w:rPr>
          <w:color w:val="000000"/>
        </w:rPr>
        <w:t xml:space="preserve"> the </w:t>
      </w:r>
      <w:r>
        <w:rPr>
          <w:color w:val="000000"/>
        </w:rPr>
        <w:t>Equity Capital</w:t>
      </w:r>
      <w:r w:rsidRPr="00AC41B0">
        <w:rPr>
          <w:color w:val="000000"/>
        </w:rPr>
        <w:t xml:space="preserve"> section, </w:t>
      </w:r>
      <w:r>
        <w:rPr>
          <w:color w:val="000000"/>
        </w:rPr>
        <w:t>with</w:t>
      </w:r>
      <w:r w:rsidRPr="00AC41B0">
        <w:rPr>
          <w:color w:val="000000"/>
        </w:rPr>
        <w:t xml:space="preserve"> a </w:t>
      </w:r>
      <w:r>
        <w:rPr>
          <w:color w:val="000000"/>
        </w:rPr>
        <w:t>new</w:t>
      </w:r>
      <w:r w:rsidRPr="00AC41B0">
        <w:rPr>
          <w:color w:val="000000"/>
        </w:rPr>
        <w:t xml:space="preserve"> item </w:t>
      </w:r>
      <w:r>
        <w:rPr>
          <w:color w:val="000000"/>
        </w:rPr>
        <w:t xml:space="preserve">27.b </w:t>
      </w:r>
      <w:r w:rsidRPr="00AC41B0">
        <w:rPr>
          <w:color w:val="000000"/>
        </w:rPr>
        <w:t>in the Equity Capital section</w:t>
      </w:r>
      <w:r>
        <w:rPr>
          <w:color w:val="000000"/>
        </w:rPr>
        <w:t xml:space="preserve"> for</w:t>
      </w:r>
      <w:r w:rsidRPr="00AC41B0">
        <w:rPr>
          <w:color w:val="000000"/>
        </w:rPr>
        <w:t xml:space="preserve"> “</w:t>
      </w:r>
      <w:proofErr w:type="spellStart"/>
      <w:r w:rsidRPr="00AC41B0">
        <w:rPr>
          <w:color w:val="000000"/>
        </w:rPr>
        <w:t>Noncontrolling</w:t>
      </w:r>
      <w:proofErr w:type="spellEnd"/>
      <w:r w:rsidRPr="00AC41B0">
        <w:rPr>
          <w:color w:val="000000"/>
        </w:rPr>
        <w:t xml:space="preserve"> </w:t>
      </w:r>
      <w:r>
        <w:rPr>
          <w:color w:val="000000"/>
        </w:rPr>
        <w:t xml:space="preserve">(minority) </w:t>
      </w:r>
      <w:r w:rsidRPr="00AC41B0">
        <w:rPr>
          <w:color w:val="000000"/>
        </w:rPr>
        <w:t>interests in consolidated subsidiaries.”  Th</w:t>
      </w:r>
      <w:r>
        <w:rPr>
          <w:color w:val="000000"/>
        </w:rPr>
        <w:t xml:space="preserve">e agencies also </w:t>
      </w:r>
      <w:r w:rsidRPr="00AC41B0">
        <w:rPr>
          <w:color w:val="000000"/>
        </w:rPr>
        <w:t>propose</w:t>
      </w:r>
      <w:r>
        <w:rPr>
          <w:color w:val="000000"/>
        </w:rPr>
        <w:t xml:space="preserve"> to</w:t>
      </w:r>
      <w:r w:rsidRPr="00AC41B0">
        <w:rPr>
          <w:color w:val="000000"/>
        </w:rPr>
        <w:t xml:space="preserve"> </w:t>
      </w:r>
      <w:r>
        <w:rPr>
          <w:color w:val="000000"/>
        </w:rPr>
        <w:t>renumber and rename Schedule </w:t>
      </w:r>
      <w:r w:rsidRPr="00AC41B0">
        <w:rPr>
          <w:color w:val="000000"/>
        </w:rPr>
        <w:t>RC, item</w:t>
      </w:r>
      <w:r>
        <w:rPr>
          <w:color w:val="000000"/>
        </w:rPr>
        <w:t>s</w:t>
      </w:r>
      <w:r w:rsidRPr="00AC41B0">
        <w:rPr>
          <w:color w:val="000000"/>
        </w:rPr>
        <w:t xml:space="preserve"> 26</w:t>
      </w:r>
      <w:r>
        <w:rPr>
          <w:color w:val="000000"/>
        </w:rPr>
        <w:t xml:space="preserve"> through 29 in the following manner:</w:t>
      </w:r>
    </w:p>
    <w:p w:rsidR="00414C5D" w:rsidRDefault="00414C5D" w:rsidP="00BA5648">
      <w:pPr>
        <w:widowControl/>
        <w:numPr>
          <w:ilvl w:val="0"/>
          <w:numId w:val="5"/>
        </w:numPr>
        <w:autoSpaceDE/>
        <w:autoSpaceDN/>
        <w:adjustRightInd/>
        <w:jc w:val="both"/>
        <w:rPr>
          <w:color w:val="000000"/>
        </w:rPr>
      </w:pPr>
      <w:r>
        <w:rPr>
          <w:color w:val="000000"/>
        </w:rPr>
        <w:t>Item 26.</w:t>
      </w:r>
      <w:r w:rsidRPr="00AC41B0">
        <w:rPr>
          <w:color w:val="000000"/>
        </w:rPr>
        <w:t>a</w:t>
      </w:r>
      <w:r>
        <w:rPr>
          <w:color w:val="000000"/>
        </w:rPr>
        <w:t>, “</w:t>
      </w:r>
      <w:r w:rsidRPr="00AC41B0">
        <w:rPr>
          <w:color w:val="000000"/>
        </w:rPr>
        <w:t xml:space="preserve">Retained </w:t>
      </w:r>
      <w:r>
        <w:rPr>
          <w:color w:val="000000"/>
        </w:rPr>
        <w:t>e</w:t>
      </w:r>
      <w:r w:rsidRPr="00AC41B0">
        <w:rPr>
          <w:color w:val="000000"/>
        </w:rPr>
        <w:t>arnings</w:t>
      </w:r>
      <w:r>
        <w:rPr>
          <w:color w:val="000000"/>
        </w:rPr>
        <w:t>;”</w:t>
      </w:r>
      <w:r w:rsidRPr="00AC41B0">
        <w:rPr>
          <w:color w:val="000000"/>
        </w:rPr>
        <w:t xml:space="preserve"> </w:t>
      </w:r>
    </w:p>
    <w:p w:rsidR="00414C5D" w:rsidRDefault="00414C5D" w:rsidP="00BA5648">
      <w:pPr>
        <w:widowControl/>
        <w:numPr>
          <w:ilvl w:val="0"/>
          <w:numId w:val="5"/>
        </w:numPr>
        <w:autoSpaceDE/>
        <w:autoSpaceDN/>
        <w:adjustRightInd/>
        <w:jc w:val="both"/>
        <w:rPr>
          <w:color w:val="000000"/>
        </w:rPr>
      </w:pPr>
      <w:r>
        <w:rPr>
          <w:color w:val="000000"/>
        </w:rPr>
        <w:t>Item 26.</w:t>
      </w:r>
      <w:r w:rsidRPr="00AC41B0">
        <w:rPr>
          <w:color w:val="000000"/>
        </w:rPr>
        <w:t>b</w:t>
      </w:r>
      <w:r>
        <w:rPr>
          <w:color w:val="000000"/>
        </w:rPr>
        <w:t>, “</w:t>
      </w:r>
      <w:r w:rsidRPr="00AC41B0">
        <w:rPr>
          <w:color w:val="000000"/>
        </w:rPr>
        <w:t>Accumulated other comprehensive income</w:t>
      </w:r>
      <w:r>
        <w:rPr>
          <w:color w:val="000000"/>
        </w:rPr>
        <w:t>;”</w:t>
      </w:r>
      <w:r w:rsidRPr="00AC41B0">
        <w:rPr>
          <w:color w:val="000000"/>
        </w:rPr>
        <w:t xml:space="preserve"> </w:t>
      </w:r>
    </w:p>
    <w:p w:rsidR="00414C5D" w:rsidRDefault="00414C5D" w:rsidP="00BA5648">
      <w:pPr>
        <w:widowControl/>
        <w:numPr>
          <w:ilvl w:val="0"/>
          <w:numId w:val="5"/>
        </w:numPr>
        <w:autoSpaceDE/>
        <w:autoSpaceDN/>
        <w:adjustRightInd/>
        <w:jc w:val="both"/>
        <w:rPr>
          <w:color w:val="000000"/>
        </w:rPr>
      </w:pPr>
      <w:r>
        <w:rPr>
          <w:color w:val="000000"/>
        </w:rPr>
        <w:t>Item 26.c, “</w:t>
      </w:r>
      <w:r w:rsidRPr="00AC41B0">
        <w:rPr>
          <w:color w:val="000000"/>
        </w:rPr>
        <w:t>Other equity capital components</w:t>
      </w:r>
      <w:r>
        <w:rPr>
          <w:color w:val="000000"/>
        </w:rPr>
        <w:t>;”</w:t>
      </w:r>
    </w:p>
    <w:p w:rsidR="00414C5D" w:rsidRDefault="00414C5D" w:rsidP="00BA5648">
      <w:pPr>
        <w:widowControl/>
        <w:numPr>
          <w:ilvl w:val="0"/>
          <w:numId w:val="5"/>
        </w:numPr>
        <w:autoSpaceDE/>
        <w:autoSpaceDN/>
        <w:adjustRightInd/>
        <w:jc w:val="both"/>
        <w:rPr>
          <w:color w:val="000000"/>
        </w:rPr>
      </w:pPr>
      <w:r>
        <w:rPr>
          <w:color w:val="000000"/>
        </w:rPr>
        <w:t>Item 27.a, “</w:t>
      </w:r>
      <w:r w:rsidRPr="00AC41B0">
        <w:rPr>
          <w:color w:val="000000"/>
        </w:rPr>
        <w:t>Total bank equity capital</w:t>
      </w:r>
      <w:r>
        <w:rPr>
          <w:color w:val="000000"/>
        </w:rPr>
        <w:t xml:space="preserve"> (</w:t>
      </w:r>
      <w:r w:rsidRPr="00AC41B0">
        <w:rPr>
          <w:color w:val="000000"/>
        </w:rPr>
        <w:t xml:space="preserve">sum </w:t>
      </w:r>
      <w:r>
        <w:rPr>
          <w:color w:val="000000"/>
        </w:rPr>
        <w:t xml:space="preserve">of </w:t>
      </w:r>
      <w:r w:rsidRPr="00AC41B0">
        <w:rPr>
          <w:color w:val="000000"/>
        </w:rPr>
        <w:t>items 23 through 26.c</w:t>
      </w:r>
      <w:r>
        <w:rPr>
          <w:color w:val="000000"/>
        </w:rPr>
        <w:t>);”</w:t>
      </w:r>
    </w:p>
    <w:p w:rsidR="00414C5D" w:rsidRDefault="00414C5D" w:rsidP="00BA5648">
      <w:pPr>
        <w:widowControl/>
        <w:numPr>
          <w:ilvl w:val="0"/>
          <w:numId w:val="5"/>
        </w:numPr>
        <w:autoSpaceDE/>
        <w:autoSpaceDN/>
        <w:adjustRightInd/>
        <w:jc w:val="both"/>
        <w:rPr>
          <w:color w:val="000000"/>
        </w:rPr>
      </w:pPr>
      <w:r>
        <w:rPr>
          <w:color w:val="000000"/>
        </w:rPr>
        <w:t>Item 27.b,</w:t>
      </w:r>
      <w:r w:rsidRPr="00C728C9">
        <w:rPr>
          <w:color w:val="000000"/>
        </w:rPr>
        <w:t xml:space="preserve"> </w:t>
      </w:r>
      <w:r>
        <w:rPr>
          <w:color w:val="000000"/>
        </w:rPr>
        <w:t>“</w:t>
      </w:r>
      <w:proofErr w:type="spellStart"/>
      <w:r w:rsidRPr="00AC41B0">
        <w:rPr>
          <w:color w:val="000000"/>
        </w:rPr>
        <w:t>Noncontrolling</w:t>
      </w:r>
      <w:proofErr w:type="spellEnd"/>
      <w:r w:rsidRPr="00AC41B0">
        <w:rPr>
          <w:color w:val="000000"/>
        </w:rPr>
        <w:t xml:space="preserve"> </w:t>
      </w:r>
      <w:r>
        <w:rPr>
          <w:color w:val="000000"/>
        </w:rPr>
        <w:t xml:space="preserve">(minority) </w:t>
      </w:r>
      <w:r w:rsidRPr="00AC41B0">
        <w:rPr>
          <w:color w:val="000000"/>
        </w:rPr>
        <w:t>interests in consolidated subsidiaries</w:t>
      </w:r>
      <w:r>
        <w:rPr>
          <w:color w:val="000000"/>
        </w:rPr>
        <w:t>;”</w:t>
      </w:r>
    </w:p>
    <w:p w:rsidR="00414C5D" w:rsidRDefault="00414C5D" w:rsidP="00BA5648">
      <w:pPr>
        <w:widowControl/>
        <w:numPr>
          <w:ilvl w:val="0"/>
          <w:numId w:val="5"/>
        </w:numPr>
        <w:autoSpaceDE/>
        <w:autoSpaceDN/>
        <w:adjustRightInd/>
        <w:jc w:val="both"/>
        <w:rPr>
          <w:color w:val="000000"/>
        </w:rPr>
      </w:pPr>
      <w:r>
        <w:rPr>
          <w:color w:val="000000"/>
        </w:rPr>
        <w:t xml:space="preserve">Item </w:t>
      </w:r>
      <w:r w:rsidRPr="007066F1">
        <w:rPr>
          <w:color w:val="000000"/>
        </w:rPr>
        <w:t>28,</w:t>
      </w:r>
      <w:r w:rsidRPr="007066F1">
        <w:t xml:space="preserve"> “</w:t>
      </w:r>
      <w:r w:rsidRPr="00D7742B">
        <w:rPr>
          <w:color w:val="000000"/>
        </w:rPr>
        <w:t>Total</w:t>
      </w:r>
      <w:r w:rsidRPr="00C728C9">
        <w:rPr>
          <w:color w:val="000000"/>
        </w:rPr>
        <w:t xml:space="preserve"> equity capital (sum of items 2</w:t>
      </w:r>
      <w:r>
        <w:rPr>
          <w:color w:val="000000"/>
        </w:rPr>
        <w:t>7.a and 27.b);” and</w:t>
      </w:r>
    </w:p>
    <w:p w:rsidR="00414C5D" w:rsidRPr="00AC41B0" w:rsidRDefault="00414C5D" w:rsidP="00BA5648">
      <w:pPr>
        <w:widowControl/>
        <w:numPr>
          <w:ilvl w:val="0"/>
          <w:numId w:val="5"/>
        </w:numPr>
        <w:autoSpaceDE/>
        <w:autoSpaceDN/>
        <w:adjustRightInd/>
        <w:jc w:val="both"/>
        <w:rPr>
          <w:color w:val="000000"/>
        </w:rPr>
      </w:pPr>
      <w:r>
        <w:rPr>
          <w:color w:val="000000"/>
        </w:rPr>
        <w:t>Item 29, “Total liabilities and equity capital (sum of items 21 and 28).”</w:t>
      </w:r>
      <w:r w:rsidRPr="00AC41B0">
        <w:rPr>
          <w:color w:val="000000"/>
        </w:rPr>
        <w:t xml:space="preserve"> </w:t>
      </w:r>
    </w:p>
    <w:p w:rsidR="00F90733" w:rsidRDefault="00F90733" w:rsidP="00414C5D">
      <w:pPr>
        <w:ind w:firstLine="720"/>
        <w:jc w:val="both"/>
        <w:rPr>
          <w:color w:val="000000"/>
        </w:rPr>
      </w:pPr>
    </w:p>
    <w:p w:rsidR="00414C5D" w:rsidRDefault="00414C5D" w:rsidP="00414C5D">
      <w:pPr>
        <w:ind w:firstLine="720"/>
        <w:jc w:val="both"/>
        <w:rPr>
          <w:color w:val="000000"/>
        </w:rPr>
      </w:pPr>
      <w:r>
        <w:rPr>
          <w:color w:val="000000"/>
        </w:rPr>
        <w:t xml:space="preserve">The agencies also propose to adjust certain captions in </w:t>
      </w:r>
      <w:r w:rsidRPr="00AC41B0">
        <w:rPr>
          <w:color w:val="000000"/>
        </w:rPr>
        <w:t>Schedule RC-R, Regulatory Capital</w:t>
      </w:r>
      <w:r>
        <w:rPr>
          <w:color w:val="000000"/>
        </w:rPr>
        <w:t>,</w:t>
      </w:r>
      <w:r w:rsidRPr="00AC41B0">
        <w:rPr>
          <w:color w:val="000000"/>
        </w:rPr>
        <w:t xml:space="preserve"> to reflect the</w:t>
      </w:r>
      <w:r>
        <w:rPr>
          <w:color w:val="000000"/>
        </w:rPr>
        <w:t>se</w:t>
      </w:r>
      <w:r w:rsidRPr="00AC41B0">
        <w:rPr>
          <w:color w:val="000000"/>
        </w:rPr>
        <w:t xml:space="preserve"> change</w:t>
      </w:r>
      <w:r>
        <w:rPr>
          <w:color w:val="000000"/>
        </w:rPr>
        <w:t>s to the Equity Capital section of the Call Report balance sheet and to conform to FAS 160</w:t>
      </w:r>
      <w:r w:rsidRPr="00AC41B0">
        <w:rPr>
          <w:color w:val="000000"/>
        </w:rPr>
        <w:t xml:space="preserve">.  </w:t>
      </w:r>
      <w:r>
        <w:rPr>
          <w:color w:val="000000"/>
        </w:rPr>
        <w:t>Schedule RC-R, item 1, “Total equity capital (from Schedule RC, item 28),” will be renamed “Total bank equity capital (from Schedule RC, item 27.a).”  Schedule RC-R, item</w:t>
      </w:r>
      <w:r w:rsidRPr="00AC41B0">
        <w:rPr>
          <w:color w:val="000000"/>
        </w:rPr>
        <w:t xml:space="preserve"> 6, “Qualifying minority interest in consolidated subsidiaries,” will be renamed to “</w:t>
      </w:r>
      <w:r>
        <w:rPr>
          <w:color w:val="000000"/>
        </w:rPr>
        <w:t xml:space="preserve">Qualifying </w:t>
      </w:r>
      <w:proofErr w:type="spellStart"/>
      <w:r>
        <w:rPr>
          <w:color w:val="000000"/>
        </w:rPr>
        <w:t>n</w:t>
      </w:r>
      <w:r w:rsidRPr="00AC41B0">
        <w:rPr>
          <w:color w:val="000000"/>
        </w:rPr>
        <w:t>oncontrolling</w:t>
      </w:r>
      <w:proofErr w:type="spellEnd"/>
      <w:r w:rsidRPr="00AC41B0">
        <w:rPr>
          <w:color w:val="000000"/>
        </w:rPr>
        <w:t xml:space="preserve"> </w:t>
      </w:r>
      <w:r>
        <w:rPr>
          <w:color w:val="000000"/>
        </w:rPr>
        <w:t xml:space="preserve">(minority) </w:t>
      </w:r>
      <w:r w:rsidRPr="00AC41B0">
        <w:rPr>
          <w:color w:val="000000"/>
        </w:rPr>
        <w:t xml:space="preserve">interest </w:t>
      </w:r>
      <w:r>
        <w:rPr>
          <w:color w:val="000000"/>
        </w:rPr>
        <w:t>in consolidated subsidiaries.</w:t>
      </w:r>
      <w:r w:rsidRPr="00AC41B0">
        <w:rPr>
          <w:color w:val="000000"/>
        </w:rPr>
        <w:t>”</w:t>
      </w:r>
    </w:p>
    <w:p w:rsidR="00F90733" w:rsidRDefault="00F90733" w:rsidP="00414C5D">
      <w:pPr>
        <w:ind w:firstLine="720"/>
        <w:jc w:val="both"/>
        <w:rPr>
          <w:color w:val="000000"/>
        </w:rPr>
      </w:pPr>
    </w:p>
    <w:p w:rsidR="00414C5D" w:rsidRDefault="00414C5D" w:rsidP="00414C5D">
      <w:pPr>
        <w:ind w:firstLine="720"/>
        <w:jc w:val="both"/>
        <w:rPr>
          <w:color w:val="000000"/>
        </w:rPr>
      </w:pPr>
      <w:r>
        <w:rPr>
          <w:color w:val="000000"/>
        </w:rPr>
        <w:t xml:space="preserve">Further, the agencies propose to amend </w:t>
      </w:r>
      <w:smartTag w:uri="urn:schemas-microsoft-com:office:smarttags" w:element="place">
        <w:smartTag w:uri="urn:schemas-microsoft-com:office:smarttags" w:element="City">
          <w:r>
            <w:rPr>
              <w:color w:val="000000"/>
            </w:rPr>
            <w:t>Schedule</w:t>
          </w:r>
        </w:smartTag>
        <w:r>
          <w:rPr>
            <w:color w:val="000000"/>
          </w:rPr>
          <w:t xml:space="preserve"> </w:t>
        </w:r>
        <w:smartTag w:uri="urn:schemas-microsoft-com:office:smarttags" w:element="State">
          <w:r>
            <w:rPr>
              <w:color w:val="000000"/>
            </w:rPr>
            <w:t>RI</w:t>
          </w:r>
        </w:smartTag>
      </w:smartTag>
      <w:r>
        <w:rPr>
          <w:color w:val="000000"/>
        </w:rPr>
        <w:t xml:space="preserve">, Income Statement, and </w:t>
      </w:r>
      <w:smartTag w:uri="urn:schemas-microsoft-com:office:smarttags" w:element="place">
        <w:smartTag w:uri="urn:schemas-microsoft-com:office:smarttags" w:element="City">
          <w:r>
            <w:rPr>
              <w:color w:val="000000"/>
            </w:rPr>
            <w:t>Schedule</w:t>
          </w:r>
        </w:smartTag>
        <w:r>
          <w:rPr>
            <w:color w:val="000000"/>
          </w:rPr>
          <w:t xml:space="preserve"> </w:t>
        </w:r>
        <w:smartTag w:uri="urn:schemas-microsoft-com:office:smarttags" w:element="State">
          <w:r>
            <w:rPr>
              <w:color w:val="000000"/>
            </w:rPr>
            <w:t>RI</w:t>
          </w:r>
        </w:smartTag>
      </w:smartTag>
      <w:r>
        <w:rPr>
          <w:color w:val="000000"/>
        </w:rPr>
        <w:t xml:space="preserve">-A, Changes in Equity Capital, to add or revise items to conform to FAS 160.  In </w:t>
      </w:r>
      <w:smartTag w:uri="urn:schemas-microsoft-com:office:smarttags" w:element="place">
        <w:smartTag w:uri="urn:schemas-microsoft-com:office:smarttags" w:element="City">
          <w:r>
            <w:rPr>
              <w:color w:val="000000"/>
            </w:rPr>
            <w:t>Schedule</w:t>
          </w:r>
        </w:smartTag>
        <w:r>
          <w:rPr>
            <w:color w:val="000000"/>
          </w:rPr>
          <w:t xml:space="preserve"> </w:t>
        </w:r>
        <w:smartTag w:uri="urn:schemas-microsoft-com:office:smarttags" w:element="State">
          <w:r>
            <w:rPr>
              <w:color w:val="000000"/>
            </w:rPr>
            <w:t>RI</w:t>
          </w:r>
        </w:smartTag>
      </w:smartTag>
      <w:r>
        <w:rPr>
          <w:color w:val="000000"/>
        </w:rPr>
        <w:t xml:space="preserve">, new items 12, “Net income (loss) attributable to bank and </w:t>
      </w:r>
      <w:proofErr w:type="spellStart"/>
      <w:r>
        <w:rPr>
          <w:color w:val="000000"/>
        </w:rPr>
        <w:t>noncontrolling</w:t>
      </w:r>
      <w:proofErr w:type="spellEnd"/>
      <w:r>
        <w:rPr>
          <w:color w:val="000000"/>
        </w:rPr>
        <w:t xml:space="preserve"> (minority) interests (sum of items 10 and 11),” and 13, “Less:  Net income (loss) attributable to </w:t>
      </w:r>
      <w:proofErr w:type="spellStart"/>
      <w:r>
        <w:rPr>
          <w:color w:val="000000"/>
        </w:rPr>
        <w:t>noncontrolling</w:t>
      </w:r>
      <w:proofErr w:type="spellEnd"/>
      <w:r>
        <w:rPr>
          <w:color w:val="000000"/>
        </w:rPr>
        <w:t xml:space="preserve"> (minority) interests,” will be added to identify the entity’s consolidated net income and segregate net income attributable to </w:t>
      </w:r>
      <w:proofErr w:type="spellStart"/>
      <w:r>
        <w:rPr>
          <w:color w:val="000000"/>
        </w:rPr>
        <w:t>noncontrolling</w:t>
      </w:r>
      <w:proofErr w:type="spellEnd"/>
      <w:r>
        <w:rPr>
          <w:color w:val="000000"/>
        </w:rPr>
        <w:t xml:space="preserve"> interests.  Current </w:t>
      </w:r>
      <w:smartTag w:uri="urn:schemas-microsoft-com:office:smarttags" w:element="place">
        <w:smartTag w:uri="urn:schemas-microsoft-com:office:smarttags" w:element="City">
          <w:r>
            <w:rPr>
              <w:color w:val="000000"/>
            </w:rPr>
            <w:t>Schedule</w:t>
          </w:r>
        </w:smartTag>
        <w:r>
          <w:rPr>
            <w:color w:val="000000"/>
          </w:rPr>
          <w:t xml:space="preserve"> </w:t>
        </w:r>
        <w:smartTag w:uri="urn:schemas-microsoft-com:office:smarttags" w:element="State">
          <w:r>
            <w:rPr>
              <w:color w:val="000000"/>
            </w:rPr>
            <w:t>RI</w:t>
          </w:r>
        </w:smartTag>
      </w:smartTag>
      <w:r>
        <w:rPr>
          <w:color w:val="000000"/>
        </w:rPr>
        <w:t xml:space="preserve">, item 12, “Net income (loss) (sum of items 10 and 11),” will be renumbered as item 14 and renamed “Net income (loss) attributable to bank (item 12 minus </w:t>
      </w:r>
      <w:proofErr w:type="gramStart"/>
      <w:r>
        <w:rPr>
          <w:color w:val="000000"/>
        </w:rPr>
        <w:t>item</w:t>
      </w:r>
      <w:proofErr w:type="gramEnd"/>
      <w:r>
        <w:rPr>
          <w:color w:val="000000"/>
        </w:rPr>
        <w:t xml:space="preserve"> 13).”  The instructions to </w:t>
      </w:r>
      <w:smartTag w:uri="urn:schemas-microsoft-com:office:smarttags" w:element="place">
        <w:smartTag w:uri="urn:schemas-microsoft-com:office:smarttags" w:element="City">
          <w:r>
            <w:rPr>
              <w:color w:val="000000"/>
            </w:rPr>
            <w:t>Schedule</w:t>
          </w:r>
        </w:smartTag>
        <w:r>
          <w:rPr>
            <w:color w:val="000000"/>
          </w:rPr>
          <w:t xml:space="preserve"> </w:t>
        </w:r>
        <w:smartTag w:uri="urn:schemas-microsoft-com:office:smarttags" w:element="State">
          <w:r>
            <w:rPr>
              <w:color w:val="000000"/>
            </w:rPr>
            <w:t>RI</w:t>
          </w:r>
        </w:smartTag>
      </w:smartTag>
      <w:r>
        <w:rPr>
          <w:color w:val="000000"/>
        </w:rPr>
        <w:t xml:space="preserve">, item 7.d, “Other noninterest expense,” will be amended to remove net income (or loss) attributable to </w:t>
      </w:r>
      <w:proofErr w:type="spellStart"/>
      <w:r>
        <w:rPr>
          <w:color w:val="000000"/>
        </w:rPr>
        <w:t>noncontrolling</w:t>
      </w:r>
      <w:proofErr w:type="spellEnd"/>
      <w:r>
        <w:rPr>
          <w:color w:val="000000"/>
        </w:rPr>
        <w:t xml:space="preserve"> (minority) interests from the current list of components of “Other noninterest expense.”  </w:t>
      </w:r>
    </w:p>
    <w:p w:rsidR="00F90733" w:rsidRDefault="00F90733" w:rsidP="00414C5D">
      <w:pPr>
        <w:ind w:firstLine="720"/>
        <w:jc w:val="both"/>
        <w:rPr>
          <w:color w:val="000000"/>
        </w:rPr>
      </w:pPr>
    </w:p>
    <w:p w:rsidR="00414C5D" w:rsidRDefault="00414C5D" w:rsidP="00414C5D">
      <w:pPr>
        <w:tabs>
          <w:tab w:val="left" w:pos="720"/>
        </w:tabs>
        <w:jc w:val="both"/>
        <w:rPr>
          <w:color w:val="000000"/>
        </w:rPr>
      </w:pPr>
      <w:r>
        <w:rPr>
          <w:color w:val="000000"/>
        </w:rPr>
        <w:tab/>
      </w:r>
      <w:smartTag w:uri="urn:schemas-microsoft-com:office:smarttags" w:element="place">
        <w:smartTag w:uri="urn:schemas-microsoft-com:office:smarttags" w:element="City">
          <w:r>
            <w:rPr>
              <w:color w:val="000000"/>
            </w:rPr>
            <w:t>Schedule</w:t>
          </w:r>
        </w:smartTag>
        <w:r>
          <w:rPr>
            <w:color w:val="000000"/>
          </w:rPr>
          <w:t xml:space="preserve"> </w:t>
        </w:r>
        <w:smartTag w:uri="urn:schemas-microsoft-com:office:smarttags" w:element="State">
          <w:r>
            <w:rPr>
              <w:color w:val="000000"/>
            </w:rPr>
            <w:t>RI</w:t>
          </w:r>
        </w:smartTag>
      </w:smartTag>
      <w:r>
        <w:rPr>
          <w:color w:val="000000"/>
        </w:rPr>
        <w:t xml:space="preserve">-A will be </w:t>
      </w:r>
      <w:proofErr w:type="spellStart"/>
      <w:r>
        <w:rPr>
          <w:color w:val="000000"/>
        </w:rPr>
        <w:t>retitled</w:t>
      </w:r>
      <w:proofErr w:type="spellEnd"/>
      <w:r>
        <w:rPr>
          <w:color w:val="000000"/>
        </w:rPr>
        <w:t xml:space="preserve"> Changes in Bank Equity Capital.  In Schedule RI</w:t>
      </w:r>
      <w:r>
        <w:rPr>
          <w:color w:val="000000"/>
        </w:rPr>
        <w:noBreakHyphen/>
        <w:t>A, the following changes will be made:</w:t>
      </w:r>
    </w:p>
    <w:p w:rsidR="00414C5D" w:rsidRDefault="00414C5D" w:rsidP="00BA5648">
      <w:pPr>
        <w:widowControl/>
        <w:numPr>
          <w:ilvl w:val="0"/>
          <w:numId w:val="11"/>
        </w:numPr>
        <w:tabs>
          <w:tab w:val="clear" w:pos="720"/>
          <w:tab w:val="left" w:pos="360"/>
        </w:tabs>
        <w:autoSpaceDE/>
        <w:autoSpaceDN/>
        <w:adjustRightInd/>
        <w:ind w:left="360"/>
        <w:jc w:val="both"/>
        <w:rPr>
          <w:color w:val="000000"/>
        </w:rPr>
      </w:pPr>
      <w:r>
        <w:rPr>
          <w:color w:val="000000"/>
        </w:rPr>
        <w:t>Current item 1, “</w:t>
      </w:r>
      <w:r w:rsidRPr="00AC5781">
        <w:rPr>
          <w:color w:val="000000"/>
        </w:rPr>
        <w:t xml:space="preserve">Total equity capital most recently reported </w:t>
      </w:r>
      <w:r>
        <w:rPr>
          <w:color w:val="000000"/>
        </w:rPr>
        <w:t>for the December 31, 20xx, [previous calendar year-end]</w:t>
      </w:r>
      <w:r w:rsidRPr="00AC5781">
        <w:rPr>
          <w:color w:val="000000"/>
        </w:rPr>
        <w:t xml:space="preserve"> Reports of Condition</w:t>
      </w:r>
      <w:r>
        <w:rPr>
          <w:color w:val="000000"/>
        </w:rPr>
        <w:t xml:space="preserve"> </w:t>
      </w:r>
      <w:r w:rsidRPr="00AC5781">
        <w:rPr>
          <w:color w:val="000000"/>
        </w:rPr>
        <w:t>and Income (i.e., after adjustments from amended Reports of Income)</w:t>
      </w:r>
      <w:r>
        <w:rPr>
          <w:color w:val="000000"/>
        </w:rPr>
        <w:t>,” will be renamed “</w:t>
      </w:r>
      <w:r w:rsidRPr="00AC5781">
        <w:rPr>
          <w:color w:val="000000"/>
        </w:rPr>
        <w:t xml:space="preserve">Total </w:t>
      </w:r>
      <w:r>
        <w:rPr>
          <w:color w:val="000000"/>
        </w:rPr>
        <w:t>bank equity capit</w:t>
      </w:r>
      <w:r w:rsidRPr="00AC5781">
        <w:rPr>
          <w:color w:val="000000"/>
        </w:rPr>
        <w:t>al most recently reported for the December 31, 20</w:t>
      </w:r>
      <w:r>
        <w:rPr>
          <w:color w:val="000000"/>
        </w:rPr>
        <w:t>xx</w:t>
      </w:r>
      <w:r w:rsidRPr="00AC5781">
        <w:rPr>
          <w:color w:val="000000"/>
        </w:rPr>
        <w:t>, Reports of Condition</w:t>
      </w:r>
      <w:r>
        <w:rPr>
          <w:color w:val="000000"/>
        </w:rPr>
        <w:t xml:space="preserve"> </w:t>
      </w:r>
      <w:r w:rsidRPr="00AC5781">
        <w:rPr>
          <w:color w:val="000000"/>
        </w:rPr>
        <w:t>and Income (i.e., after adjustments from amended Reports of Income)</w:t>
      </w:r>
      <w:r>
        <w:rPr>
          <w:color w:val="000000"/>
        </w:rPr>
        <w:t>;”</w:t>
      </w:r>
    </w:p>
    <w:p w:rsidR="00414C5D" w:rsidRDefault="00414C5D" w:rsidP="00BA5648">
      <w:pPr>
        <w:widowControl/>
        <w:numPr>
          <w:ilvl w:val="0"/>
          <w:numId w:val="10"/>
        </w:numPr>
        <w:tabs>
          <w:tab w:val="clear" w:pos="720"/>
          <w:tab w:val="left" w:pos="360"/>
        </w:tabs>
        <w:autoSpaceDE/>
        <w:autoSpaceDN/>
        <w:adjustRightInd/>
        <w:ind w:left="360"/>
        <w:jc w:val="both"/>
        <w:rPr>
          <w:color w:val="000000"/>
        </w:rPr>
      </w:pPr>
      <w:r>
        <w:rPr>
          <w:color w:val="000000"/>
        </w:rPr>
        <w:t xml:space="preserve">Current item 4, “Net income (loss) (must equal </w:t>
      </w:r>
      <w:smartTag w:uri="urn:schemas-microsoft-com:office:smarttags" w:element="place">
        <w:smartTag w:uri="urn:schemas-microsoft-com:office:smarttags" w:element="City">
          <w:r>
            <w:rPr>
              <w:color w:val="000000"/>
            </w:rPr>
            <w:t>Schedule</w:t>
          </w:r>
        </w:smartTag>
        <w:r>
          <w:rPr>
            <w:color w:val="000000"/>
          </w:rPr>
          <w:t> </w:t>
        </w:r>
        <w:smartTag w:uri="urn:schemas-microsoft-com:office:smarttags" w:element="State">
          <w:r>
            <w:rPr>
              <w:color w:val="000000"/>
            </w:rPr>
            <w:t>RI</w:t>
          </w:r>
        </w:smartTag>
      </w:smartTag>
      <w:r>
        <w:rPr>
          <w:color w:val="000000"/>
        </w:rPr>
        <w:t xml:space="preserve">, item 12),” will be renamed “Net income (loss) attributable to bank (must equal </w:t>
      </w:r>
      <w:smartTag w:uri="urn:schemas-microsoft-com:office:smarttags" w:element="place">
        <w:smartTag w:uri="urn:schemas-microsoft-com:office:smarttags" w:element="City">
          <w:r>
            <w:rPr>
              <w:color w:val="000000"/>
            </w:rPr>
            <w:t>Schedule</w:t>
          </w:r>
        </w:smartTag>
        <w:r>
          <w:rPr>
            <w:color w:val="000000"/>
          </w:rPr>
          <w:t xml:space="preserve"> </w:t>
        </w:r>
        <w:smartTag w:uri="urn:schemas-microsoft-com:office:smarttags" w:element="State">
          <w:r>
            <w:rPr>
              <w:color w:val="000000"/>
            </w:rPr>
            <w:t>RI</w:t>
          </w:r>
        </w:smartTag>
      </w:smartTag>
      <w:r>
        <w:rPr>
          <w:color w:val="000000"/>
        </w:rPr>
        <w:t>, item 14);” and</w:t>
      </w:r>
    </w:p>
    <w:p w:rsidR="00414C5D" w:rsidRDefault="00414C5D" w:rsidP="00BA5648">
      <w:pPr>
        <w:widowControl/>
        <w:numPr>
          <w:ilvl w:val="0"/>
          <w:numId w:val="10"/>
        </w:numPr>
        <w:tabs>
          <w:tab w:val="clear" w:pos="720"/>
          <w:tab w:val="left" w:pos="360"/>
        </w:tabs>
        <w:autoSpaceDE/>
        <w:autoSpaceDN/>
        <w:adjustRightInd/>
        <w:ind w:left="360"/>
        <w:jc w:val="both"/>
        <w:rPr>
          <w:color w:val="000000"/>
        </w:rPr>
      </w:pPr>
      <w:r>
        <w:rPr>
          <w:color w:val="000000"/>
        </w:rPr>
        <w:lastRenderedPageBreak/>
        <w:t>Current item 12, “</w:t>
      </w:r>
      <w:r w:rsidRPr="00AC5781">
        <w:rPr>
          <w:color w:val="000000"/>
        </w:rPr>
        <w:t>Total equity capital end of current period (sum of item</w:t>
      </w:r>
      <w:r>
        <w:rPr>
          <w:color w:val="000000"/>
        </w:rPr>
        <w:t>s 3 through </w:t>
      </w:r>
      <w:r w:rsidRPr="00AC5781">
        <w:rPr>
          <w:color w:val="000000"/>
        </w:rPr>
        <w:t>11) (must equal</w:t>
      </w:r>
      <w:r>
        <w:rPr>
          <w:color w:val="000000"/>
        </w:rPr>
        <w:t xml:space="preserve"> </w:t>
      </w:r>
      <w:r w:rsidRPr="00AC5781">
        <w:rPr>
          <w:color w:val="000000"/>
        </w:rPr>
        <w:t>Schedule RC, item 28)</w:t>
      </w:r>
      <w:r>
        <w:rPr>
          <w:color w:val="000000"/>
        </w:rPr>
        <w:t>,” will be renamed “</w:t>
      </w:r>
      <w:r w:rsidRPr="00AC5781">
        <w:rPr>
          <w:color w:val="000000"/>
        </w:rPr>
        <w:t xml:space="preserve">Total </w:t>
      </w:r>
      <w:r>
        <w:rPr>
          <w:color w:val="000000"/>
        </w:rPr>
        <w:t xml:space="preserve">bank </w:t>
      </w:r>
      <w:r w:rsidRPr="00AC5781">
        <w:rPr>
          <w:color w:val="000000"/>
        </w:rPr>
        <w:t>equity capital end of current period (sum of items 3 through 11) (must equal</w:t>
      </w:r>
      <w:r>
        <w:rPr>
          <w:color w:val="000000"/>
        </w:rPr>
        <w:t xml:space="preserve"> Schedule </w:t>
      </w:r>
      <w:r w:rsidRPr="00AC5781">
        <w:rPr>
          <w:color w:val="000000"/>
        </w:rPr>
        <w:t>RC, item 2</w:t>
      </w:r>
      <w:r>
        <w:rPr>
          <w:color w:val="000000"/>
        </w:rPr>
        <w:t>7.a</w:t>
      </w:r>
      <w:r w:rsidRPr="00AC5781">
        <w:rPr>
          <w:color w:val="000000"/>
        </w:rPr>
        <w:t>)</w:t>
      </w:r>
      <w:r>
        <w:rPr>
          <w:color w:val="000000"/>
        </w:rPr>
        <w:t>.”</w:t>
      </w:r>
    </w:p>
    <w:p w:rsidR="00F90733" w:rsidRDefault="00F90733" w:rsidP="00F90733">
      <w:pPr>
        <w:widowControl/>
        <w:tabs>
          <w:tab w:val="left" w:pos="360"/>
        </w:tabs>
        <w:autoSpaceDE/>
        <w:autoSpaceDN/>
        <w:adjustRightInd/>
        <w:jc w:val="both"/>
        <w:rPr>
          <w:color w:val="000000"/>
        </w:rPr>
      </w:pPr>
    </w:p>
    <w:p w:rsidR="00414C5D" w:rsidRDefault="00414C5D" w:rsidP="00414C5D">
      <w:pPr>
        <w:tabs>
          <w:tab w:val="left" w:pos="360"/>
        </w:tabs>
        <w:jc w:val="both"/>
        <w:rPr>
          <w:color w:val="000000"/>
        </w:rPr>
      </w:pPr>
      <w:r>
        <w:rPr>
          <w:color w:val="000000"/>
        </w:rPr>
        <w:t xml:space="preserve">The instructions to </w:t>
      </w:r>
      <w:smartTag w:uri="urn:schemas-microsoft-com:office:smarttags" w:element="place">
        <w:smartTag w:uri="urn:schemas-microsoft-com:office:smarttags" w:element="City">
          <w:r>
            <w:rPr>
              <w:color w:val="000000"/>
            </w:rPr>
            <w:t>Schedule</w:t>
          </w:r>
        </w:smartTag>
        <w:r>
          <w:rPr>
            <w:color w:val="000000"/>
          </w:rPr>
          <w:t xml:space="preserve"> </w:t>
        </w:r>
        <w:smartTag w:uri="urn:schemas-microsoft-com:office:smarttags" w:element="State">
          <w:r>
            <w:rPr>
              <w:color w:val="000000"/>
            </w:rPr>
            <w:t>RI</w:t>
          </w:r>
        </w:smartTag>
      </w:smartTag>
      <w:r>
        <w:rPr>
          <w:color w:val="000000"/>
        </w:rPr>
        <w:t>-A, item 5, “</w:t>
      </w:r>
      <w:smartTag w:uri="urn:schemas-microsoft-com:office:smarttags" w:element="City">
        <w:smartTag w:uri="urn:schemas-microsoft-com:office:smarttags" w:element="place">
          <w:r w:rsidRPr="001C1EDE">
            <w:rPr>
              <w:color w:val="000000"/>
            </w:rPr>
            <w:t>Sale</w:t>
          </w:r>
        </w:smartTag>
      </w:smartTag>
      <w:r w:rsidRPr="001C1EDE">
        <w:rPr>
          <w:color w:val="000000"/>
        </w:rPr>
        <w:t>, conversion, acquisition, or retirement of capital stock, net</w:t>
      </w:r>
      <w:r>
        <w:rPr>
          <w:color w:val="000000"/>
        </w:rPr>
        <w:t>,” will be amended to state that increases and decreases in bank equity capital resulting from changes in a bank’s ownership interest in a subsidiary while it retains its controlling financial interest in the subsidiary should be reported in item 5.</w:t>
      </w:r>
    </w:p>
    <w:p w:rsidR="00414C5D" w:rsidRDefault="00414C5D" w:rsidP="00414C5D">
      <w:pPr>
        <w:jc w:val="both"/>
        <w:rPr>
          <w:color w:val="000000"/>
          <w:u w:val="single"/>
        </w:rPr>
      </w:pPr>
    </w:p>
    <w:p w:rsidR="00414C5D" w:rsidRPr="001A04B3" w:rsidRDefault="00414C5D" w:rsidP="00414C5D">
      <w:pPr>
        <w:jc w:val="both"/>
        <w:rPr>
          <w:color w:val="000000"/>
          <w:u w:val="single"/>
        </w:rPr>
      </w:pPr>
      <w:r>
        <w:rPr>
          <w:color w:val="000000"/>
          <w:u w:val="single"/>
        </w:rPr>
        <w:t>C</w:t>
      </w:r>
      <w:r w:rsidRPr="001A04B3">
        <w:rPr>
          <w:color w:val="000000"/>
          <w:u w:val="single"/>
        </w:rPr>
        <w:t xml:space="preserve">.  Clarification of </w:t>
      </w:r>
      <w:r>
        <w:rPr>
          <w:color w:val="000000"/>
          <w:u w:val="single"/>
        </w:rPr>
        <w:t xml:space="preserve">the </w:t>
      </w:r>
      <w:r w:rsidRPr="001A04B3">
        <w:rPr>
          <w:color w:val="000000"/>
          <w:u w:val="single"/>
        </w:rPr>
        <w:t>Definition of Loan Secured by Real Estate</w:t>
      </w:r>
    </w:p>
    <w:p w:rsidR="00414C5D" w:rsidRDefault="00414C5D" w:rsidP="00414C5D">
      <w:pPr>
        <w:ind w:firstLine="720"/>
        <w:jc w:val="both"/>
        <w:rPr>
          <w:color w:val="000000"/>
        </w:rPr>
      </w:pPr>
    </w:p>
    <w:p w:rsidR="00414C5D" w:rsidRDefault="00414C5D" w:rsidP="00414C5D">
      <w:pPr>
        <w:ind w:firstLine="720"/>
        <w:jc w:val="both"/>
        <w:rPr>
          <w:color w:val="000000"/>
        </w:rPr>
      </w:pPr>
      <w:r>
        <w:rPr>
          <w:color w:val="000000"/>
        </w:rPr>
        <w:t xml:space="preserve">The agencies have found that the definition of a “loan secured by real estate” in the Glossary section of the Call Report instructions has been interpreted differently by Call Report preparers and users.  This has led to inconsistent reporting of loans collateralized by real estate in the loan schedule (Schedule RC-C) and other schedules of the Call Report that collect loan data.  As a result, the agencies are proposing to clarify the definition by explaining that the estimated value of the real estate collateral must be greater than 50 percent of the principal amount of the loan at origination in order for the loan to be considered secured by real estate.  Banks should apply this clarified definition prospectively and they need not reevaluate and, if appropriate, </w:t>
      </w:r>
      <w:proofErr w:type="spellStart"/>
      <w:r>
        <w:rPr>
          <w:color w:val="000000"/>
        </w:rPr>
        <w:t>recategorize</w:t>
      </w:r>
      <w:proofErr w:type="spellEnd"/>
      <w:r>
        <w:rPr>
          <w:color w:val="000000"/>
        </w:rPr>
        <w:t xml:space="preserve"> loans that they currently report as loans secured by real estate into other loan categories on the Call Report loan schedule. </w:t>
      </w:r>
    </w:p>
    <w:p w:rsidR="00414C5D" w:rsidRDefault="00414C5D" w:rsidP="00414C5D">
      <w:pPr>
        <w:ind w:firstLine="720"/>
        <w:jc w:val="both"/>
        <w:rPr>
          <w:color w:val="000000"/>
        </w:rPr>
      </w:pPr>
      <w:r>
        <w:rPr>
          <w:color w:val="000000"/>
        </w:rPr>
        <w:t>The revised definition of a “loan secured by real estate” would read as follows:</w:t>
      </w:r>
    </w:p>
    <w:p w:rsidR="00414C5D" w:rsidRDefault="00414C5D" w:rsidP="00414C5D">
      <w:pPr>
        <w:ind w:firstLine="720"/>
        <w:jc w:val="both"/>
        <w:rPr>
          <w:color w:val="000000"/>
        </w:rPr>
      </w:pPr>
    </w:p>
    <w:p w:rsidR="00414C5D" w:rsidRPr="001A04B3" w:rsidRDefault="00414C5D" w:rsidP="00414C5D">
      <w:pPr>
        <w:ind w:left="720" w:firstLine="720"/>
        <w:jc w:val="both"/>
        <w:rPr>
          <w:color w:val="000000"/>
        </w:rPr>
      </w:pPr>
      <w:r w:rsidRPr="001A04B3">
        <w:rPr>
          <w:color w:val="000000"/>
        </w:rPr>
        <w:t xml:space="preserve">For purposes of these reports, </w:t>
      </w:r>
      <w:r>
        <w:rPr>
          <w:color w:val="000000"/>
        </w:rPr>
        <w:t xml:space="preserve">a </w:t>
      </w:r>
      <w:r w:rsidRPr="001A04B3">
        <w:rPr>
          <w:color w:val="000000"/>
        </w:rPr>
        <w:t xml:space="preserve">loan secured by real estate </w:t>
      </w:r>
      <w:r>
        <w:rPr>
          <w:color w:val="000000"/>
        </w:rPr>
        <w:t>i</w:t>
      </w:r>
      <w:r w:rsidRPr="001A04B3">
        <w:rPr>
          <w:color w:val="000000"/>
        </w:rPr>
        <w:t xml:space="preserve">s a loan secured wholly or substantially by a lien </w:t>
      </w:r>
      <w:r>
        <w:rPr>
          <w:color w:val="000000"/>
        </w:rPr>
        <w:t xml:space="preserve">or liens </w:t>
      </w:r>
      <w:r w:rsidRPr="001A04B3">
        <w:rPr>
          <w:color w:val="000000"/>
        </w:rPr>
        <w:t xml:space="preserve">on real property for which the lien </w:t>
      </w:r>
      <w:r>
        <w:rPr>
          <w:color w:val="000000"/>
        </w:rPr>
        <w:t>or liens are</w:t>
      </w:r>
      <w:r w:rsidRPr="001A04B3">
        <w:rPr>
          <w:color w:val="000000"/>
        </w:rPr>
        <w:t xml:space="preserve"> central to the extension of the credit</w:t>
      </w:r>
      <w:r>
        <w:rPr>
          <w:color w:val="000000"/>
        </w:rPr>
        <w:t xml:space="preserve"> – </w:t>
      </w:r>
      <w:r w:rsidRPr="001A04B3">
        <w:rPr>
          <w:color w:val="000000"/>
        </w:rPr>
        <w:t xml:space="preserve">that is, the borrower would not have been extended credit in the same amount or on terms as favorable without the lien </w:t>
      </w:r>
      <w:r>
        <w:rPr>
          <w:color w:val="000000"/>
        </w:rPr>
        <w:t xml:space="preserve">or liens </w:t>
      </w:r>
      <w:r w:rsidRPr="001A04B3">
        <w:rPr>
          <w:color w:val="000000"/>
        </w:rPr>
        <w:t xml:space="preserve">on real property.  </w:t>
      </w:r>
      <w:r>
        <w:rPr>
          <w:color w:val="000000"/>
        </w:rPr>
        <w:t xml:space="preserve">To be considered wholly or substantially secured by a lien or liens on real property, the estimated value of the real estate collateral (after deducting any more senior liens) must be greater than 50 percent of the principal amount of the loan at origination.  </w:t>
      </w:r>
      <w:r w:rsidRPr="001A04B3">
        <w:rPr>
          <w:color w:val="000000"/>
        </w:rPr>
        <w:t>A loan satisfying the criteria above</w:t>
      </w:r>
      <w:r>
        <w:rPr>
          <w:color w:val="000000"/>
        </w:rPr>
        <w:t>, except a loan to a s</w:t>
      </w:r>
      <w:r w:rsidRPr="00D576E4">
        <w:rPr>
          <w:color w:val="000000"/>
        </w:rPr>
        <w:t>tate</w:t>
      </w:r>
      <w:r>
        <w:rPr>
          <w:color w:val="000000"/>
        </w:rPr>
        <w:t xml:space="preserve"> or </w:t>
      </w:r>
      <w:r w:rsidRPr="00D576E4">
        <w:rPr>
          <w:color w:val="000000"/>
        </w:rPr>
        <w:t>political subdivisions in the U.S</w:t>
      </w:r>
      <w:r>
        <w:rPr>
          <w:color w:val="000000"/>
        </w:rPr>
        <w:t>.,</w:t>
      </w:r>
      <w:r w:rsidRPr="001A04B3">
        <w:rPr>
          <w:color w:val="000000"/>
        </w:rPr>
        <w:t xml:space="preserve"> </w:t>
      </w:r>
      <w:r>
        <w:rPr>
          <w:color w:val="000000"/>
        </w:rPr>
        <w:t>is</w:t>
      </w:r>
      <w:r w:rsidRPr="001A04B3">
        <w:rPr>
          <w:color w:val="000000"/>
        </w:rPr>
        <w:t xml:space="preserve"> to be reported </w:t>
      </w:r>
      <w:r>
        <w:rPr>
          <w:color w:val="000000"/>
        </w:rPr>
        <w:t>as a loan secured by real estate in the Reports of Condition and Income</w:t>
      </w:r>
      <w:r w:rsidRPr="001A04B3">
        <w:rPr>
          <w:color w:val="000000"/>
        </w:rPr>
        <w:t xml:space="preserve">, </w:t>
      </w:r>
      <w:r>
        <w:rPr>
          <w:color w:val="000000"/>
        </w:rPr>
        <w:t xml:space="preserve">(1) </w:t>
      </w:r>
      <w:r w:rsidRPr="001A04B3">
        <w:rPr>
          <w:color w:val="000000"/>
        </w:rPr>
        <w:t>regardless of</w:t>
      </w:r>
      <w:r>
        <w:rPr>
          <w:color w:val="000000"/>
        </w:rPr>
        <w:t xml:space="preserve"> </w:t>
      </w:r>
      <w:r w:rsidRPr="001A04B3">
        <w:rPr>
          <w:color w:val="000000"/>
        </w:rPr>
        <w:t xml:space="preserve">whether </w:t>
      </w:r>
      <w:r>
        <w:rPr>
          <w:color w:val="000000"/>
        </w:rPr>
        <w:t xml:space="preserve">the loan is </w:t>
      </w:r>
      <w:r w:rsidRPr="001A04B3">
        <w:rPr>
          <w:color w:val="000000"/>
        </w:rPr>
        <w:t xml:space="preserve">secured by </w:t>
      </w:r>
      <w:r>
        <w:rPr>
          <w:color w:val="000000"/>
        </w:rPr>
        <w:t xml:space="preserve">a </w:t>
      </w:r>
      <w:r w:rsidRPr="001A04B3">
        <w:rPr>
          <w:color w:val="000000"/>
        </w:rPr>
        <w:t>first or</w:t>
      </w:r>
      <w:r>
        <w:rPr>
          <w:color w:val="000000"/>
        </w:rPr>
        <w:t xml:space="preserve"> a </w:t>
      </w:r>
      <w:r w:rsidRPr="001A04B3">
        <w:rPr>
          <w:color w:val="000000"/>
        </w:rPr>
        <w:t>junior lien</w:t>
      </w:r>
      <w:r>
        <w:rPr>
          <w:color w:val="000000"/>
        </w:rPr>
        <w:t>; (2)</w:t>
      </w:r>
      <w:r w:rsidRPr="001A04B3">
        <w:rPr>
          <w:color w:val="000000"/>
        </w:rPr>
        <w:t xml:space="preserve"> regardless of the department within the bank or ban</w:t>
      </w:r>
      <w:r>
        <w:rPr>
          <w:color w:val="000000"/>
        </w:rPr>
        <w:t xml:space="preserve">k subsidiary that made the loan; (3) </w:t>
      </w:r>
      <w:r w:rsidRPr="001A04B3">
        <w:rPr>
          <w:color w:val="000000"/>
        </w:rPr>
        <w:t xml:space="preserve">regardless of how the loan </w:t>
      </w:r>
      <w:r>
        <w:rPr>
          <w:color w:val="000000"/>
        </w:rPr>
        <w:t>is</w:t>
      </w:r>
      <w:r w:rsidRPr="001A04B3">
        <w:rPr>
          <w:color w:val="000000"/>
        </w:rPr>
        <w:t xml:space="preserve"> categorized in the bank</w:t>
      </w:r>
      <w:r>
        <w:rPr>
          <w:color w:val="000000"/>
        </w:rPr>
        <w:t>’</w:t>
      </w:r>
      <w:r w:rsidRPr="001A04B3">
        <w:rPr>
          <w:color w:val="000000"/>
        </w:rPr>
        <w:t>s records</w:t>
      </w:r>
      <w:r>
        <w:rPr>
          <w:color w:val="000000"/>
        </w:rPr>
        <w:t>; (4)</w:t>
      </w:r>
      <w:r w:rsidRPr="001A04B3">
        <w:rPr>
          <w:color w:val="000000"/>
        </w:rPr>
        <w:t xml:space="preserve"> and regardless of the purpose of the financing.  Only in </w:t>
      </w:r>
      <w:r>
        <w:rPr>
          <w:color w:val="000000"/>
        </w:rPr>
        <w:t>a transaction</w:t>
      </w:r>
      <w:r w:rsidRPr="001A04B3">
        <w:rPr>
          <w:color w:val="000000"/>
        </w:rPr>
        <w:t xml:space="preserve"> where a lien</w:t>
      </w:r>
      <w:r>
        <w:rPr>
          <w:color w:val="000000"/>
        </w:rPr>
        <w:t xml:space="preserve"> or liens on real property (with an estimated collateral value greater than 50 percent of the loan’s principal amount at origination) have</w:t>
      </w:r>
      <w:r w:rsidRPr="001A04B3">
        <w:rPr>
          <w:color w:val="000000"/>
        </w:rPr>
        <w:t xml:space="preserve"> been taken as collateral solely through an abundance of caution and where the </w:t>
      </w:r>
      <w:r>
        <w:rPr>
          <w:color w:val="000000"/>
        </w:rPr>
        <w:t xml:space="preserve">loan </w:t>
      </w:r>
      <w:r w:rsidRPr="001A04B3">
        <w:rPr>
          <w:color w:val="000000"/>
        </w:rPr>
        <w:t>terms as a consequence have not been made more favorable than they would have been in the absence of the lien</w:t>
      </w:r>
      <w:r>
        <w:rPr>
          <w:color w:val="000000"/>
        </w:rPr>
        <w:t xml:space="preserve"> or liens</w:t>
      </w:r>
      <w:r w:rsidRPr="001A04B3">
        <w:rPr>
          <w:color w:val="000000"/>
        </w:rPr>
        <w:t xml:space="preserve">, would the loan </w:t>
      </w:r>
      <w:r w:rsidRPr="001A04B3">
        <w:rPr>
          <w:color w:val="000000"/>
          <w:u w:val="single"/>
        </w:rPr>
        <w:t>not</w:t>
      </w:r>
      <w:r w:rsidRPr="001A04B3">
        <w:rPr>
          <w:color w:val="000000"/>
        </w:rPr>
        <w:t xml:space="preserve"> be considered </w:t>
      </w:r>
      <w:r>
        <w:rPr>
          <w:color w:val="000000"/>
        </w:rPr>
        <w:t xml:space="preserve">a </w:t>
      </w:r>
      <w:r w:rsidRPr="001A04B3">
        <w:rPr>
          <w:color w:val="000000"/>
        </w:rPr>
        <w:t xml:space="preserve">loan secured by real estate </w:t>
      </w:r>
      <w:r>
        <w:rPr>
          <w:color w:val="000000"/>
        </w:rPr>
        <w:t>for purposes of</w:t>
      </w:r>
      <w:r w:rsidRPr="001A04B3">
        <w:rPr>
          <w:color w:val="000000"/>
        </w:rPr>
        <w:t xml:space="preserve"> the Report</w:t>
      </w:r>
      <w:r>
        <w:rPr>
          <w:color w:val="000000"/>
        </w:rPr>
        <w:t>s</w:t>
      </w:r>
      <w:r w:rsidRPr="001A04B3">
        <w:rPr>
          <w:color w:val="000000"/>
        </w:rPr>
        <w:t xml:space="preserve"> of Condition</w:t>
      </w:r>
      <w:r>
        <w:rPr>
          <w:color w:val="000000"/>
        </w:rPr>
        <w:t xml:space="preserve"> and Income</w:t>
      </w:r>
      <w:r w:rsidRPr="001A04B3">
        <w:rPr>
          <w:color w:val="000000"/>
        </w:rPr>
        <w:t>.</w:t>
      </w:r>
      <w:r>
        <w:rPr>
          <w:color w:val="000000"/>
        </w:rPr>
        <w:t xml:space="preserve">  In addition, when a loan is partially secured by a lien or liens on real property, but the estimated value of the real estate collateral (after deducting any more senior liens) is 50 percent or less of the principal amount of the loan at origination, the loan should not be categorized as a loan secured by real estate.  Instead, the loan should be reported in one of the other loan categories used in these reports based on the purpose of the loan.</w:t>
      </w:r>
    </w:p>
    <w:p w:rsidR="00414C5D" w:rsidRDefault="00414C5D" w:rsidP="00414C5D">
      <w:pPr>
        <w:ind w:firstLine="720"/>
        <w:jc w:val="both"/>
        <w:rPr>
          <w:color w:val="000000"/>
        </w:rPr>
      </w:pPr>
    </w:p>
    <w:p w:rsidR="00414C5D" w:rsidRPr="000139FC" w:rsidRDefault="00F90733" w:rsidP="00414C5D">
      <w:pPr>
        <w:pStyle w:val="BodyText"/>
        <w:widowControl/>
        <w:tabs>
          <w:tab w:val="left" w:pos="360"/>
        </w:tabs>
        <w:spacing w:line="240" w:lineRule="auto"/>
        <w:rPr>
          <w:snapToGrid/>
          <w:szCs w:val="24"/>
          <w:u w:val="single"/>
        </w:rPr>
      </w:pPr>
      <w:r>
        <w:rPr>
          <w:snapToGrid/>
          <w:szCs w:val="24"/>
          <w:u w:val="single"/>
        </w:rPr>
        <w:lastRenderedPageBreak/>
        <w:t>D</w:t>
      </w:r>
      <w:r w:rsidR="00414C5D" w:rsidRPr="000139FC">
        <w:rPr>
          <w:snapToGrid/>
          <w:szCs w:val="24"/>
          <w:u w:val="single"/>
        </w:rPr>
        <w:t>.  Fiscal Year-End Date</w:t>
      </w:r>
    </w:p>
    <w:p w:rsidR="00414C5D" w:rsidRDefault="00414C5D" w:rsidP="00414C5D">
      <w:pPr>
        <w:pStyle w:val="BodyText"/>
        <w:widowControl/>
        <w:spacing w:line="240" w:lineRule="auto"/>
        <w:rPr>
          <w:snapToGrid/>
          <w:szCs w:val="24"/>
        </w:rPr>
      </w:pPr>
    </w:p>
    <w:p w:rsidR="00414C5D" w:rsidRDefault="00414C5D" w:rsidP="00414C5D">
      <w:pPr>
        <w:pStyle w:val="BodyText"/>
        <w:widowControl/>
        <w:spacing w:line="240" w:lineRule="auto"/>
        <w:ind w:firstLine="720"/>
        <w:rPr>
          <w:snapToGrid/>
          <w:szCs w:val="24"/>
        </w:rPr>
      </w:pPr>
      <w:r>
        <w:rPr>
          <w:snapToGrid/>
          <w:szCs w:val="24"/>
        </w:rPr>
        <w:t xml:space="preserve">Although most banks have a calendar year fiscal year, many banks do not.  The agencies currently do not have a systematic means for identifying the fiscal year-end dates of banks.  In contrast, savings associations report their fiscal year-ends to the Office of Thrift Supervision in the Thrift Financial Report.  </w:t>
      </w:r>
    </w:p>
    <w:p w:rsidR="00F90733" w:rsidRDefault="00F90733" w:rsidP="00414C5D">
      <w:pPr>
        <w:pStyle w:val="BodyText"/>
        <w:widowControl/>
        <w:spacing w:line="240" w:lineRule="auto"/>
        <w:ind w:firstLine="720"/>
        <w:rPr>
          <w:snapToGrid/>
          <w:szCs w:val="24"/>
        </w:rPr>
      </w:pPr>
    </w:p>
    <w:p w:rsidR="00414C5D" w:rsidRDefault="00414C5D" w:rsidP="00414C5D">
      <w:pPr>
        <w:pStyle w:val="BodyText"/>
        <w:spacing w:line="240" w:lineRule="auto"/>
        <w:ind w:firstLine="720"/>
        <w:rPr>
          <w:szCs w:val="24"/>
        </w:rPr>
      </w:pPr>
      <w:r>
        <w:rPr>
          <w:snapToGrid/>
          <w:szCs w:val="24"/>
        </w:rPr>
        <w:t>New accounting standards typically take effect for fiscal years beginning on or after a date specified in the standard and banks are expected to adopt new standards for Call Report purposes in accordance with their effective date.  Thus, individual banks must adopt new standards in different quarterly Call Reports based on their fiscal year-end dates.  In addition, the applicability of certain regulations is based on a bank’s fiscal year.  For example, the annual audit and reporting requirements of Part 363 of the FDIC’s regulations apply to insured institutions with $500 million or more in total assets as of the beginning of their fiscal year.  As another example, b</w:t>
      </w:r>
      <w:r w:rsidRPr="00223B62">
        <w:rPr>
          <w:snapToGrid/>
          <w:szCs w:val="24"/>
        </w:rPr>
        <w:t xml:space="preserve">anks do not have to start complying with </w:t>
      </w:r>
      <w:r w:rsidRPr="00B55DCE">
        <w:rPr>
          <w:szCs w:val="24"/>
        </w:rPr>
        <w:t>Regulation R</w:t>
      </w:r>
      <w:r>
        <w:rPr>
          <w:szCs w:val="24"/>
        </w:rPr>
        <w:t xml:space="preserve"> – </w:t>
      </w:r>
      <w:r w:rsidRPr="00B55DCE">
        <w:rPr>
          <w:szCs w:val="24"/>
        </w:rPr>
        <w:t>E</w:t>
      </w:r>
      <w:r>
        <w:rPr>
          <w:szCs w:val="24"/>
        </w:rPr>
        <w:t xml:space="preserve">xceptions for Banks from the Definition of Broker in the Securities Exchange Act of </w:t>
      </w:r>
      <w:r w:rsidRPr="00B55DCE">
        <w:rPr>
          <w:szCs w:val="24"/>
        </w:rPr>
        <w:t>1934</w:t>
      </w:r>
      <w:r>
        <w:rPr>
          <w:szCs w:val="24"/>
        </w:rPr>
        <w:t xml:space="preserve"> (12 CFR part 218),</w:t>
      </w:r>
      <w:r w:rsidRPr="00B55DCE">
        <w:rPr>
          <w:szCs w:val="24"/>
        </w:rPr>
        <w:t xml:space="preserve"> which the </w:t>
      </w:r>
      <w:r>
        <w:rPr>
          <w:szCs w:val="24"/>
        </w:rPr>
        <w:t xml:space="preserve">Board and the Securities and Exchange Commission (SEC) </w:t>
      </w:r>
      <w:r w:rsidRPr="00B55DCE">
        <w:rPr>
          <w:szCs w:val="24"/>
        </w:rPr>
        <w:t xml:space="preserve">jointly adopted in </w:t>
      </w:r>
      <w:r w:rsidRPr="00223B62">
        <w:rPr>
          <w:snapToGrid/>
          <w:szCs w:val="24"/>
        </w:rPr>
        <w:t xml:space="preserve">September 2007, </w:t>
      </w:r>
      <w:r w:rsidRPr="00223B62">
        <w:rPr>
          <w:szCs w:val="24"/>
        </w:rPr>
        <w:t>and the “broker” exceptions in section 3(a</w:t>
      </w:r>
      <w:proofErr w:type="gramStart"/>
      <w:r w:rsidRPr="00223B62">
        <w:rPr>
          <w:szCs w:val="24"/>
        </w:rPr>
        <w:t>)(</w:t>
      </w:r>
      <w:proofErr w:type="gramEnd"/>
      <w:r w:rsidRPr="00223B62">
        <w:rPr>
          <w:szCs w:val="24"/>
        </w:rPr>
        <w:t xml:space="preserve">4) of the Securities Exchange Act of 1934 </w:t>
      </w:r>
      <w:r w:rsidRPr="00223B62">
        <w:rPr>
          <w:color w:val="000000"/>
          <w:szCs w:val="24"/>
        </w:rPr>
        <w:t>until the first day of their fiscal year commencing after September 30, 2008</w:t>
      </w:r>
      <w:r w:rsidRPr="00223B62">
        <w:rPr>
          <w:szCs w:val="24"/>
        </w:rPr>
        <w:t>.</w:t>
      </w:r>
      <w:r>
        <w:rPr>
          <w:szCs w:val="24"/>
        </w:rPr>
        <w:t xml:space="preserve">  </w:t>
      </w:r>
    </w:p>
    <w:p w:rsidR="00F90733" w:rsidRDefault="00F90733" w:rsidP="00414C5D">
      <w:pPr>
        <w:pStyle w:val="BodyText"/>
        <w:spacing w:line="240" w:lineRule="auto"/>
        <w:ind w:firstLine="720"/>
        <w:rPr>
          <w:szCs w:val="24"/>
        </w:rPr>
      </w:pPr>
    </w:p>
    <w:p w:rsidR="00414C5D" w:rsidRPr="00223B62" w:rsidRDefault="00414C5D" w:rsidP="00414C5D">
      <w:pPr>
        <w:pStyle w:val="BodyText"/>
        <w:widowControl/>
        <w:spacing w:line="240" w:lineRule="auto"/>
        <w:ind w:firstLine="720"/>
        <w:rPr>
          <w:szCs w:val="24"/>
        </w:rPr>
      </w:pPr>
      <w:r>
        <w:rPr>
          <w:szCs w:val="24"/>
        </w:rPr>
        <w:t xml:space="preserve">To facilitate the agencies’ ability to determine when individual banks should be implementing accounting standards and regulations and to assess their compliance, the agencies are proposing to add a Memorandum item to the Call Report balance sheet in which banks would report their fiscal year-end date.  This item would be collected annually as of each March 31.  </w:t>
      </w:r>
    </w:p>
    <w:p w:rsidR="00414C5D" w:rsidRDefault="00414C5D" w:rsidP="00414C5D">
      <w:pPr>
        <w:pStyle w:val="BodyText"/>
        <w:spacing w:line="240" w:lineRule="auto"/>
        <w:rPr>
          <w:snapToGrid/>
          <w:szCs w:val="24"/>
        </w:rPr>
      </w:pPr>
    </w:p>
    <w:p w:rsidR="00414C5D" w:rsidRDefault="00F90733" w:rsidP="00414C5D">
      <w:pPr>
        <w:pStyle w:val="BodyText"/>
        <w:widowControl/>
        <w:tabs>
          <w:tab w:val="left" w:pos="360"/>
        </w:tabs>
        <w:spacing w:line="240" w:lineRule="auto"/>
        <w:rPr>
          <w:b/>
          <w:snapToGrid/>
          <w:szCs w:val="24"/>
        </w:rPr>
      </w:pPr>
      <w:r>
        <w:rPr>
          <w:szCs w:val="24"/>
          <w:u w:val="single"/>
        </w:rPr>
        <w:t>E</w:t>
      </w:r>
      <w:r w:rsidR="00414C5D" w:rsidRPr="00360135">
        <w:rPr>
          <w:szCs w:val="24"/>
          <w:u w:val="single"/>
        </w:rPr>
        <w:t xml:space="preserve">.  </w:t>
      </w:r>
      <w:r w:rsidR="00414C5D">
        <w:rPr>
          <w:szCs w:val="24"/>
          <w:u w:val="single"/>
        </w:rPr>
        <w:t>Exemptions from Reporting for Certain Existing Call Report Items</w:t>
      </w:r>
    </w:p>
    <w:p w:rsidR="00414C5D" w:rsidRDefault="00414C5D" w:rsidP="00414C5D">
      <w:pPr>
        <w:pStyle w:val="BodyText"/>
        <w:widowControl/>
        <w:tabs>
          <w:tab w:val="left" w:pos="360"/>
        </w:tabs>
        <w:spacing w:line="240" w:lineRule="auto"/>
        <w:rPr>
          <w:snapToGrid/>
          <w:szCs w:val="24"/>
        </w:rPr>
      </w:pPr>
    </w:p>
    <w:p w:rsidR="00414C5D" w:rsidRDefault="00414C5D" w:rsidP="00414C5D">
      <w:pPr>
        <w:pStyle w:val="BodyText"/>
        <w:widowControl/>
        <w:spacing w:line="240" w:lineRule="auto"/>
        <w:rPr>
          <w:snapToGrid/>
          <w:szCs w:val="24"/>
        </w:rPr>
      </w:pPr>
      <w:r>
        <w:rPr>
          <w:snapToGrid/>
          <w:szCs w:val="24"/>
        </w:rPr>
        <w:tab/>
        <w:t xml:space="preserve">The agencies have identified certain Call Report items for which the reported data are of lesser usefulness for banks with less than $1 billion in total assets.  Accordingly, the agencies are proposing to exempt such banks from completing the following Call Report items effective </w:t>
      </w:r>
      <w:smartTag w:uri="urn:schemas-microsoft-com:office:smarttags" w:element="date">
        <w:smartTagPr>
          <w:attr w:name="Year" w:val="2009"/>
          <w:attr w:name="Day" w:val="31"/>
          <w:attr w:name="Month" w:val="3"/>
        </w:smartTagPr>
        <w:r>
          <w:rPr>
            <w:snapToGrid/>
            <w:szCs w:val="24"/>
          </w:rPr>
          <w:t>March 31, 2009</w:t>
        </w:r>
      </w:smartTag>
      <w:r>
        <w:rPr>
          <w:snapToGrid/>
          <w:szCs w:val="24"/>
        </w:rPr>
        <w:t>:</w:t>
      </w:r>
    </w:p>
    <w:p w:rsidR="00414C5D" w:rsidRDefault="00414C5D" w:rsidP="00BA5648">
      <w:pPr>
        <w:pStyle w:val="BodyText"/>
        <w:widowControl/>
        <w:numPr>
          <w:ilvl w:val="0"/>
          <w:numId w:val="6"/>
        </w:numPr>
        <w:tabs>
          <w:tab w:val="clear" w:pos="-720"/>
          <w:tab w:val="clear" w:pos="134"/>
          <w:tab w:val="clear" w:pos="432"/>
          <w:tab w:val="clear" w:pos="864"/>
          <w:tab w:val="clear" w:pos="4320"/>
          <w:tab w:val="clear" w:pos="5040"/>
          <w:tab w:val="clear" w:pos="5760"/>
        </w:tabs>
        <w:suppressAutoHyphens w:val="0"/>
        <w:spacing w:line="240" w:lineRule="auto"/>
        <w:rPr>
          <w:snapToGrid/>
          <w:szCs w:val="24"/>
        </w:rPr>
      </w:pPr>
      <w:smartTag w:uri="urn:schemas-microsoft-com:office:smarttags" w:element="place">
        <w:smartTag w:uri="urn:schemas-microsoft-com:office:smarttags" w:element="City">
          <w:r>
            <w:rPr>
              <w:snapToGrid/>
              <w:szCs w:val="24"/>
            </w:rPr>
            <w:t>Schedule</w:t>
          </w:r>
        </w:smartTag>
        <w:r>
          <w:rPr>
            <w:snapToGrid/>
            <w:szCs w:val="24"/>
          </w:rPr>
          <w:t xml:space="preserve"> </w:t>
        </w:r>
        <w:smartTag w:uri="urn:schemas-microsoft-com:office:smarttags" w:element="State">
          <w:r>
            <w:rPr>
              <w:snapToGrid/>
              <w:szCs w:val="24"/>
            </w:rPr>
            <w:t>RI</w:t>
          </w:r>
        </w:smartTag>
      </w:smartTag>
      <w:r>
        <w:rPr>
          <w:snapToGrid/>
          <w:szCs w:val="24"/>
        </w:rPr>
        <w:t>, Memorandum item 2, “</w:t>
      </w:r>
      <w:r w:rsidRPr="0001608C">
        <w:rPr>
          <w:snapToGrid/>
          <w:szCs w:val="24"/>
        </w:rPr>
        <w:t>Income from the sale and servicing of mutual funds and annuities (in domestic offices)</w:t>
      </w:r>
      <w:r>
        <w:rPr>
          <w:snapToGrid/>
          <w:szCs w:val="24"/>
        </w:rPr>
        <w:t>;”</w:t>
      </w:r>
    </w:p>
    <w:p w:rsidR="00414C5D" w:rsidRDefault="00414C5D" w:rsidP="00BA5648">
      <w:pPr>
        <w:pStyle w:val="BodyText"/>
        <w:widowControl/>
        <w:numPr>
          <w:ilvl w:val="0"/>
          <w:numId w:val="6"/>
        </w:numPr>
        <w:tabs>
          <w:tab w:val="clear" w:pos="-720"/>
          <w:tab w:val="clear" w:pos="134"/>
          <w:tab w:val="clear" w:pos="432"/>
          <w:tab w:val="clear" w:pos="864"/>
          <w:tab w:val="clear" w:pos="4320"/>
          <w:tab w:val="clear" w:pos="5040"/>
          <w:tab w:val="clear" w:pos="5760"/>
        </w:tabs>
        <w:suppressAutoHyphens w:val="0"/>
        <w:spacing w:line="240" w:lineRule="auto"/>
        <w:rPr>
          <w:snapToGrid/>
          <w:szCs w:val="24"/>
        </w:rPr>
      </w:pPr>
      <w:r>
        <w:rPr>
          <w:snapToGrid/>
          <w:szCs w:val="24"/>
        </w:rPr>
        <w:t>Schedule RC-B, Memorandum items 5.a through 5.f, “Asset-backed securities,” on the FFIEC 031 report;</w:t>
      </w:r>
      <w:r w:rsidRPr="00F90733">
        <w:rPr>
          <w:rStyle w:val="FootnoteReference"/>
          <w:snapToGrid/>
          <w:szCs w:val="24"/>
          <w:vertAlign w:val="superscript"/>
        </w:rPr>
        <w:footnoteReference w:id="3"/>
      </w:r>
    </w:p>
    <w:p w:rsidR="00414C5D" w:rsidRDefault="00414C5D" w:rsidP="00BA5648">
      <w:pPr>
        <w:pStyle w:val="BodyText"/>
        <w:widowControl/>
        <w:numPr>
          <w:ilvl w:val="0"/>
          <w:numId w:val="6"/>
        </w:numPr>
        <w:tabs>
          <w:tab w:val="clear" w:pos="-720"/>
          <w:tab w:val="clear" w:pos="134"/>
          <w:tab w:val="clear" w:pos="432"/>
          <w:tab w:val="clear" w:pos="864"/>
          <w:tab w:val="clear" w:pos="4320"/>
          <w:tab w:val="clear" w:pos="5040"/>
          <w:tab w:val="clear" w:pos="5760"/>
        </w:tabs>
        <w:suppressAutoHyphens w:val="0"/>
        <w:spacing w:line="240" w:lineRule="auto"/>
        <w:rPr>
          <w:snapToGrid/>
          <w:szCs w:val="24"/>
        </w:rPr>
      </w:pPr>
      <w:r>
        <w:rPr>
          <w:snapToGrid/>
          <w:szCs w:val="24"/>
        </w:rPr>
        <w:t>Schedule RC-L, item 2.a, “</w:t>
      </w:r>
      <w:r w:rsidRPr="00AA7B7E">
        <w:rPr>
          <w:snapToGrid/>
          <w:szCs w:val="24"/>
        </w:rPr>
        <w:t>Amount of financial standby letters of credit conveyed to others</w:t>
      </w:r>
      <w:r>
        <w:rPr>
          <w:snapToGrid/>
          <w:szCs w:val="24"/>
        </w:rPr>
        <w:t>;” and</w:t>
      </w:r>
    </w:p>
    <w:p w:rsidR="00414C5D" w:rsidRDefault="00414C5D" w:rsidP="00BA5648">
      <w:pPr>
        <w:pStyle w:val="BodyText"/>
        <w:widowControl/>
        <w:numPr>
          <w:ilvl w:val="0"/>
          <w:numId w:val="6"/>
        </w:numPr>
        <w:tabs>
          <w:tab w:val="clear" w:pos="-720"/>
          <w:tab w:val="clear" w:pos="134"/>
          <w:tab w:val="clear" w:pos="432"/>
          <w:tab w:val="clear" w:pos="864"/>
          <w:tab w:val="clear" w:pos="4320"/>
          <w:tab w:val="clear" w:pos="5040"/>
          <w:tab w:val="clear" w:pos="5760"/>
        </w:tabs>
        <w:suppressAutoHyphens w:val="0"/>
        <w:spacing w:line="240" w:lineRule="auto"/>
        <w:rPr>
          <w:snapToGrid/>
          <w:szCs w:val="24"/>
        </w:rPr>
      </w:pPr>
      <w:r>
        <w:rPr>
          <w:snapToGrid/>
          <w:szCs w:val="24"/>
        </w:rPr>
        <w:t>Schedule RC-L, item 3.a, “</w:t>
      </w:r>
      <w:r w:rsidRPr="00AA7B7E">
        <w:rPr>
          <w:snapToGrid/>
          <w:szCs w:val="24"/>
        </w:rPr>
        <w:t xml:space="preserve">Amount of </w:t>
      </w:r>
      <w:r>
        <w:rPr>
          <w:snapToGrid/>
          <w:szCs w:val="24"/>
        </w:rPr>
        <w:t>performance</w:t>
      </w:r>
      <w:r w:rsidRPr="00AA7B7E">
        <w:rPr>
          <w:snapToGrid/>
          <w:szCs w:val="24"/>
        </w:rPr>
        <w:t xml:space="preserve"> standby letters of credit conveyed to others</w:t>
      </w:r>
      <w:r>
        <w:rPr>
          <w:snapToGrid/>
          <w:szCs w:val="24"/>
        </w:rPr>
        <w:t xml:space="preserve">.” </w:t>
      </w:r>
      <w:r w:rsidRPr="00AA7B7E">
        <w:rPr>
          <w:snapToGrid/>
          <w:szCs w:val="24"/>
        </w:rPr>
        <w:t xml:space="preserve"> </w:t>
      </w:r>
    </w:p>
    <w:p w:rsidR="00414C5D" w:rsidRDefault="00414C5D" w:rsidP="00414C5D">
      <w:pPr>
        <w:pStyle w:val="BodyText"/>
        <w:widowControl/>
        <w:tabs>
          <w:tab w:val="left" w:pos="360"/>
        </w:tabs>
        <w:spacing w:line="240" w:lineRule="auto"/>
        <w:rPr>
          <w:snapToGrid/>
          <w:szCs w:val="24"/>
        </w:rPr>
      </w:pPr>
    </w:p>
    <w:p w:rsidR="00414C5D" w:rsidRDefault="00F90733" w:rsidP="00414C5D">
      <w:pPr>
        <w:pStyle w:val="BodyText"/>
        <w:widowControl/>
        <w:tabs>
          <w:tab w:val="left" w:pos="360"/>
        </w:tabs>
        <w:spacing w:line="240" w:lineRule="auto"/>
        <w:rPr>
          <w:b/>
          <w:snapToGrid/>
          <w:szCs w:val="24"/>
        </w:rPr>
      </w:pPr>
      <w:r>
        <w:rPr>
          <w:szCs w:val="24"/>
          <w:u w:val="single"/>
        </w:rPr>
        <w:t>F</w:t>
      </w:r>
      <w:r w:rsidR="00414C5D" w:rsidRPr="00360135">
        <w:rPr>
          <w:szCs w:val="24"/>
          <w:u w:val="single"/>
        </w:rPr>
        <w:t>.  Quantifying Misstatements in the Call Report</w:t>
      </w:r>
    </w:p>
    <w:p w:rsidR="00414C5D" w:rsidRDefault="00414C5D" w:rsidP="00414C5D">
      <w:pPr>
        <w:pStyle w:val="BodyText"/>
        <w:widowControl/>
        <w:tabs>
          <w:tab w:val="left" w:pos="360"/>
        </w:tabs>
        <w:spacing w:line="240" w:lineRule="auto"/>
        <w:rPr>
          <w:snapToGrid/>
          <w:szCs w:val="24"/>
        </w:rPr>
      </w:pPr>
    </w:p>
    <w:p w:rsidR="00414C5D" w:rsidRDefault="00414C5D" w:rsidP="00414C5D">
      <w:pPr>
        <w:pStyle w:val="BodyText"/>
        <w:widowControl/>
        <w:tabs>
          <w:tab w:val="left" w:pos="360"/>
        </w:tabs>
        <w:spacing w:line="240" w:lineRule="auto"/>
        <w:rPr>
          <w:snapToGrid/>
          <w:szCs w:val="24"/>
        </w:rPr>
      </w:pPr>
      <w:r>
        <w:rPr>
          <w:snapToGrid/>
          <w:szCs w:val="24"/>
        </w:rPr>
        <w:tab/>
      </w:r>
      <w:r>
        <w:rPr>
          <w:snapToGrid/>
          <w:szCs w:val="24"/>
        </w:rPr>
        <w:tab/>
        <w:t>The General Instructions section of the Call Report instructions discusses the filing of amended Call Reports.  In this regard, the instructions state that</w:t>
      </w:r>
    </w:p>
    <w:p w:rsidR="00414C5D" w:rsidRDefault="00414C5D" w:rsidP="00414C5D">
      <w:pPr>
        <w:pStyle w:val="BodyText"/>
        <w:widowControl/>
        <w:tabs>
          <w:tab w:val="left" w:pos="360"/>
        </w:tabs>
        <w:spacing w:line="240" w:lineRule="auto"/>
        <w:rPr>
          <w:snapToGrid/>
          <w:szCs w:val="24"/>
        </w:rPr>
      </w:pPr>
    </w:p>
    <w:p w:rsidR="00414C5D" w:rsidRDefault="00414C5D" w:rsidP="00414C5D">
      <w:pPr>
        <w:pStyle w:val="BodyText"/>
        <w:widowControl/>
        <w:tabs>
          <w:tab w:val="left" w:pos="360"/>
        </w:tabs>
        <w:spacing w:line="240" w:lineRule="auto"/>
        <w:ind w:left="720"/>
        <w:rPr>
          <w:rStyle w:val="text"/>
          <w:rFonts w:ascii="Times New Roman" w:hAnsi="Times New Roman"/>
          <w:szCs w:val="24"/>
        </w:rPr>
      </w:pPr>
      <w:r w:rsidRPr="002563D1">
        <w:rPr>
          <w:rStyle w:val="text"/>
          <w:rFonts w:ascii="Times New Roman" w:hAnsi="Times New Roman"/>
          <w:szCs w:val="24"/>
        </w:rPr>
        <w:t>When dealing with the recognition and measurement of events and transactions in the Call Report, amended reports may be required if a bank</w:t>
      </w:r>
      <w:r>
        <w:rPr>
          <w:rStyle w:val="text"/>
          <w:rFonts w:ascii="Times New Roman" w:hAnsi="Times New Roman"/>
          <w:szCs w:val="24"/>
        </w:rPr>
        <w:t>’</w:t>
      </w:r>
      <w:r w:rsidRPr="002563D1">
        <w:rPr>
          <w:rStyle w:val="text"/>
          <w:rFonts w:ascii="Times New Roman" w:hAnsi="Times New Roman"/>
          <w:szCs w:val="24"/>
        </w:rPr>
        <w:t xml:space="preserve">s primary federal bank supervisory authority determines that the reports as previously submitted contain errors that are material for the reporting bank.  Materiality is a qualitative characteristic of accounting information which is defined in Financial Accounting Standards Board (FASB) Concepts Statement No. 2 as </w:t>
      </w:r>
      <w:r>
        <w:rPr>
          <w:rStyle w:val="text"/>
          <w:rFonts w:ascii="Times New Roman" w:hAnsi="Times New Roman"/>
          <w:szCs w:val="24"/>
        </w:rPr>
        <w:t>“</w:t>
      </w:r>
      <w:r w:rsidRPr="002563D1">
        <w:rPr>
          <w:rStyle w:val="text"/>
          <w:rFonts w:ascii="Times New Roman" w:hAnsi="Times New Roman"/>
          <w:szCs w:val="24"/>
        </w:rPr>
        <w:t>the magnitude of an omission or misstatement of accounting information that, in the light of surrounding circumstances, makes it probable that the judgment of a reasonable person relying on the information would have been changed or influenced by the omission or misstatement.</w:t>
      </w:r>
      <w:r>
        <w:rPr>
          <w:rStyle w:val="text"/>
          <w:rFonts w:ascii="Times New Roman" w:hAnsi="Times New Roman"/>
          <w:szCs w:val="24"/>
        </w:rPr>
        <w:t>”</w:t>
      </w:r>
    </w:p>
    <w:p w:rsidR="00414C5D" w:rsidRDefault="00414C5D" w:rsidP="00414C5D">
      <w:pPr>
        <w:pStyle w:val="BodyText"/>
        <w:widowControl/>
        <w:tabs>
          <w:tab w:val="left" w:pos="360"/>
        </w:tabs>
        <w:spacing w:line="240" w:lineRule="auto"/>
        <w:rPr>
          <w:rStyle w:val="text"/>
          <w:rFonts w:ascii="Times New Roman" w:hAnsi="Times New Roman"/>
          <w:szCs w:val="24"/>
        </w:rPr>
      </w:pPr>
    </w:p>
    <w:p w:rsidR="00414C5D" w:rsidRDefault="00414C5D" w:rsidP="00414C5D">
      <w:pPr>
        <w:ind w:firstLine="720"/>
        <w:jc w:val="both"/>
        <w:rPr>
          <w:color w:val="000000"/>
        </w:rPr>
      </w:pPr>
      <w:r w:rsidRPr="00EB5C8A">
        <w:rPr>
          <w:color w:val="000000"/>
        </w:rPr>
        <w:t xml:space="preserve">FASB Statement No. 154, </w:t>
      </w:r>
      <w:r w:rsidRPr="00EB5C8A">
        <w:rPr>
          <w:i/>
          <w:iCs/>
          <w:color w:val="000000"/>
        </w:rPr>
        <w:t>Accounting Changes and Error Corrections</w:t>
      </w:r>
      <w:r>
        <w:rPr>
          <w:i/>
          <w:iCs/>
          <w:color w:val="000000"/>
        </w:rPr>
        <w:t xml:space="preserve"> </w:t>
      </w:r>
      <w:r>
        <w:rPr>
          <w:iCs/>
          <w:color w:val="000000"/>
        </w:rPr>
        <w:t>(FAS 154),</w:t>
      </w:r>
      <w:r w:rsidRPr="00EB5C8A">
        <w:rPr>
          <w:i/>
          <w:iCs/>
          <w:color w:val="000000"/>
        </w:rPr>
        <w:t xml:space="preserve"> </w:t>
      </w:r>
      <w:r w:rsidRPr="00EB5C8A">
        <w:rPr>
          <w:color w:val="000000"/>
        </w:rPr>
        <w:t xml:space="preserve">provides guidance for reporting the correction of an error </w:t>
      </w:r>
      <w:r>
        <w:rPr>
          <w:color w:val="000000"/>
        </w:rPr>
        <w:t xml:space="preserve">or misstatement </w:t>
      </w:r>
      <w:r w:rsidRPr="00EB5C8A">
        <w:rPr>
          <w:color w:val="000000"/>
        </w:rPr>
        <w:t xml:space="preserve">in previously issued financial statements. </w:t>
      </w:r>
      <w:r>
        <w:rPr>
          <w:color w:val="000000"/>
        </w:rPr>
        <w:t xml:space="preserve"> </w:t>
      </w:r>
      <w:r w:rsidRPr="00EB5C8A">
        <w:rPr>
          <w:color w:val="000000"/>
        </w:rPr>
        <w:t xml:space="preserve">An error </w:t>
      </w:r>
      <w:r>
        <w:rPr>
          <w:color w:val="000000"/>
        </w:rPr>
        <w:t xml:space="preserve">or misstatement </w:t>
      </w:r>
      <w:r w:rsidRPr="00EB5C8A">
        <w:rPr>
          <w:color w:val="000000"/>
        </w:rPr>
        <w:t xml:space="preserve">can result from mathematical mistakes, mistakes in the application of generally accepted accounting principles, or oversight or misuse of facts that existed at the time the financial statements were prepared, and includes a change from an accounting principle that is not generally accepted to one that is generally accepted. </w:t>
      </w:r>
      <w:r>
        <w:rPr>
          <w:color w:val="000000"/>
        </w:rPr>
        <w:t xml:space="preserve"> The Glossary entry for “Accounting Changes” in the Call Report instructions includes a section on “Corrections of Accounting Errors” that provides guidance on reporting such corrections that is consistent with FAS 154.  </w:t>
      </w:r>
      <w:r w:rsidRPr="00EB5C8A">
        <w:rPr>
          <w:color w:val="000000"/>
        </w:rPr>
        <w:t xml:space="preserve">However, </w:t>
      </w:r>
      <w:r>
        <w:rPr>
          <w:color w:val="000000"/>
        </w:rPr>
        <w:t>neither FAS</w:t>
      </w:r>
      <w:r w:rsidRPr="00EB5C8A">
        <w:rPr>
          <w:color w:val="000000"/>
        </w:rPr>
        <w:t xml:space="preserve"> 154 </w:t>
      </w:r>
      <w:r>
        <w:rPr>
          <w:color w:val="000000"/>
        </w:rPr>
        <w:t xml:space="preserve">nor the Glossary entry for “Accounting Changes” </w:t>
      </w:r>
      <w:r w:rsidRPr="00EB5C8A">
        <w:rPr>
          <w:color w:val="000000"/>
        </w:rPr>
        <w:t>specif</w:t>
      </w:r>
      <w:r>
        <w:rPr>
          <w:color w:val="000000"/>
        </w:rPr>
        <w:t>ies</w:t>
      </w:r>
      <w:r w:rsidRPr="00EB5C8A">
        <w:rPr>
          <w:color w:val="000000"/>
        </w:rPr>
        <w:t xml:space="preserve"> the appropriate method to quantify </w:t>
      </w:r>
      <w:r>
        <w:rPr>
          <w:color w:val="000000"/>
        </w:rPr>
        <w:t>an error or</w:t>
      </w:r>
      <w:r w:rsidRPr="00EB5C8A">
        <w:rPr>
          <w:color w:val="000000"/>
        </w:rPr>
        <w:t xml:space="preserve"> misstatement </w:t>
      </w:r>
      <w:r>
        <w:rPr>
          <w:color w:val="000000"/>
        </w:rPr>
        <w:t xml:space="preserve">for purposes of </w:t>
      </w:r>
      <w:r w:rsidRPr="00EB5C8A">
        <w:rPr>
          <w:color w:val="000000"/>
        </w:rPr>
        <w:t xml:space="preserve">evaluating materiality. </w:t>
      </w:r>
    </w:p>
    <w:p w:rsidR="00F90733" w:rsidRPr="00EB5C8A" w:rsidRDefault="00F90733" w:rsidP="00414C5D">
      <w:pPr>
        <w:ind w:firstLine="720"/>
        <w:jc w:val="both"/>
        <w:rPr>
          <w:color w:val="000000"/>
        </w:rPr>
      </w:pPr>
    </w:p>
    <w:p w:rsidR="00414C5D" w:rsidRDefault="00414C5D" w:rsidP="00414C5D">
      <w:pPr>
        <w:pStyle w:val="NormalWeb"/>
        <w:spacing w:before="0" w:beforeAutospacing="0" w:after="0" w:afterAutospacing="0"/>
        <w:ind w:firstLine="720"/>
        <w:jc w:val="both"/>
      </w:pPr>
      <w:r>
        <w:rPr>
          <w:rStyle w:val="text"/>
        </w:rPr>
        <w:t>In September 2006, t</w:t>
      </w:r>
      <w:r w:rsidRPr="002B53E0">
        <w:rPr>
          <w:rStyle w:val="text"/>
        </w:rPr>
        <w:t xml:space="preserve">he </w:t>
      </w:r>
      <w:r>
        <w:rPr>
          <w:rStyle w:val="text"/>
        </w:rPr>
        <w:t xml:space="preserve">SEC </w:t>
      </w:r>
      <w:r w:rsidRPr="002B53E0">
        <w:rPr>
          <w:rStyle w:val="text"/>
        </w:rPr>
        <w:t xml:space="preserve">staff </w:t>
      </w:r>
      <w:r>
        <w:rPr>
          <w:rStyle w:val="text"/>
        </w:rPr>
        <w:t xml:space="preserve">noted </w:t>
      </w:r>
      <w:r w:rsidRPr="002B53E0">
        <w:rPr>
          <w:rStyle w:val="text"/>
        </w:rPr>
        <w:t xml:space="preserve">in Staff Accounting Bulletin No. 108, </w:t>
      </w:r>
      <w:r w:rsidRPr="002B53E0">
        <w:rPr>
          <w:i/>
        </w:rPr>
        <w:t>Considering the Effects of Prior Year Misstatements when Quantifying Misstatements in Current Year Financial Statements</w:t>
      </w:r>
      <w:r w:rsidRPr="002B53E0">
        <w:t xml:space="preserve"> (SAB 108),</w:t>
      </w:r>
      <w:r w:rsidRPr="00F90733">
        <w:rPr>
          <w:rStyle w:val="FootnoteReference"/>
          <w:vertAlign w:val="superscript"/>
        </w:rPr>
        <w:footnoteReference w:id="4"/>
      </w:r>
      <w:r w:rsidRPr="00F90733">
        <w:t xml:space="preserve"> </w:t>
      </w:r>
      <w:r>
        <w:t xml:space="preserve">that </w:t>
      </w:r>
    </w:p>
    <w:p w:rsidR="00414C5D" w:rsidRPr="00736A9C" w:rsidRDefault="00414C5D" w:rsidP="00414C5D">
      <w:pPr>
        <w:pStyle w:val="NormalWeb"/>
        <w:spacing w:before="0" w:beforeAutospacing="0" w:after="0" w:afterAutospacing="0"/>
        <w:jc w:val="both"/>
      </w:pPr>
    </w:p>
    <w:p w:rsidR="00414C5D" w:rsidRDefault="00414C5D" w:rsidP="00414C5D">
      <w:pPr>
        <w:pStyle w:val="NormalWeb"/>
        <w:spacing w:before="0" w:beforeAutospacing="0" w:after="0" w:afterAutospacing="0"/>
        <w:ind w:left="720"/>
        <w:jc w:val="both"/>
        <w:rPr>
          <w:color w:val="454545"/>
        </w:rPr>
      </w:pPr>
      <w:r w:rsidRPr="00736A9C">
        <w:t xml:space="preserve">in describing the concept of materiality, FASB Concepts Statement No. 2, </w:t>
      </w:r>
      <w:r w:rsidRPr="00736A9C">
        <w:rPr>
          <w:i/>
          <w:iCs/>
        </w:rPr>
        <w:t>Qualitative Characteristics of Accounting Information</w:t>
      </w:r>
      <w:r w:rsidRPr="00736A9C">
        <w:t xml:space="preserve">, indicates that materiality determinations are based on whether “it is probable that the judgment of a reasonable person relying upon the report would have been changed or influenced </w:t>
      </w:r>
      <w:r w:rsidRPr="00736A9C">
        <w:rPr>
          <w:i/>
          <w:iCs/>
        </w:rPr>
        <w:t>by the inclusion or correction of the item</w:t>
      </w:r>
      <w:r w:rsidRPr="00736A9C">
        <w:t>” (emphasis added).  The staff believes registrants must quantify the impact of correcting all misstatements, including both the carryover and reversing effects of prior year misstatements, on the current year financial statements</w:t>
      </w:r>
      <w:r w:rsidRPr="002B53E0">
        <w:rPr>
          <w:color w:val="454545"/>
        </w:rPr>
        <w:t xml:space="preserve">. </w:t>
      </w:r>
      <w:r>
        <w:rPr>
          <w:color w:val="454545"/>
        </w:rPr>
        <w:t xml:space="preserve"> </w:t>
      </w:r>
    </w:p>
    <w:p w:rsidR="00414C5D" w:rsidRDefault="00414C5D" w:rsidP="00414C5D">
      <w:pPr>
        <w:pStyle w:val="NormalWeb"/>
        <w:spacing w:before="0" w:beforeAutospacing="0" w:after="0" w:afterAutospacing="0"/>
        <w:ind w:left="720"/>
        <w:jc w:val="both"/>
        <w:rPr>
          <w:color w:val="454545"/>
        </w:rPr>
      </w:pPr>
    </w:p>
    <w:p w:rsidR="00414C5D" w:rsidRDefault="00414C5D" w:rsidP="00414C5D">
      <w:pPr>
        <w:pStyle w:val="Default"/>
        <w:widowControl/>
        <w:jc w:val="both"/>
        <w:rPr>
          <w:rFonts w:ascii="Times New Roman" w:hAnsi="Times New Roman" w:cs="Times New Roman"/>
        </w:rPr>
      </w:pPr>
      <w:r>
        <w:rPr>
          <w:rFonts w:ascii="Times New Roman" w:hAnsi="Times New Roman" w:cs="Times New Roman"/>
        </w:rPr>
        <w:tab/>
      </w:r>
      <w:r w:rsidRPr="0032144D">
        <w:rPr>
          <w:rFonts w:ascii="Times New Roman" w:hAnsi="Times New Roman" w:cs="Times New Roman"/>
        </w:rPr>
        <w:t>SAB 108 describes two approaches, generally referred to as “rollover” and “iron curtain,” that have been commonly</w:t>
      </w:r>
      <w:r>
        <w:rPr>
          <w:rFonts w:ascii="Times New Roman" w:hAnsi="Times New Roman" w:cs="Times New Roman"/>
        </w:rPr>
        <w:t xml:space="preserve"> </w:t>
      </w:r>
      <w:r w:rsidRPr="0032144D">
        <w:rPr>
          <w:rFonts w:ascii="Times New Roman" w:hAnsi="Times New Roman" w:cs="Times New Roman"/>
        </w:rPr>
        <w:t xml:space="preserve">used to accumulate and quantify misstatements.  The rollover approach “quantifies a misstatement based on the amount of the error originating in the current year income statement,” which “ignores the ‘carryover effects’ of prior year misstatements.”  In contrast, the “iron curtain approach quantifies a misstatement based on the effects of correcting the misstatement existing in the balance sheet at the end of the current year, irrespective of the misstatement’s year(s) of origination.”  Because each of these approaches has its weaknesses, SAB 108 advises that the impact of correcting all </w:t>
      </w:r>
      <w:r>
        <w:rPr>
          <w:rFonts w:ascii="Times New Roman" w:hAnsi="Times New Roman" w:cs="Times New Roman"/>
        </w:rPr>
        <w:t xml:space="preserve">misstatements on </w:t>
      </w:r>
      <w:r w:rsidRPr="0032144D">
        <w:rPr>
          <w:rFonts w:ascii="Times New Roman" w:hAnsi="Times New Roman" w:cs="Times New Roman"/>
        </w:rPr>
        <w:t xml:space="preserve">current year financial statements should be accomplished by quantifying an error under both the rollover and iron </w:t>
      </w:r>
      <w:r w:rsidRPr="0032144D">
        <w:rPr>
          <w:rFonts w:ascii="Times New Roman" w:hAnsi="Times New Roman" w:cs="Times New Roman"/>
        </w:rPr>
        <w:lastRenderedPageBreak/>
        <w:t xml:space="preserve">curtain approaches and by evaluating the error measured under each approach.  When either approach results in a misstatement that is material, after considering all relevant quantitative and qualitative factors, an adjustment to the financial statements </w:t>
      </w:r>
      <w:r w:rsidRPr="00A05618">
        <w:rPr>
          <w:rFonts w:ascii="Times New Roman" w:hAnsi="Times New Roman" w:cs="Times New Roman"/>
        </w:rPr>
        <w:t xml:space="preserve">would be required.  Guidance on the consideration of all relevant factors when assessing the materiality of misstatements is provided in the SEC’s Staff Accounting Bulletin No. 99, </w:t>
      </w:r>
      <w:r w:rsidRPr="00A05618">
        <w:rPr>
          <w:rFonts w:ascii="Times New Roman" w:hAnsi="Times New Roman" w:cs="Times New Roman"/>
          <w:i/>
        </w:rPr>
        <w:t>Materiality</w:t>
      </w:r>
      <w:r w:rsidRPr="00A05618">
        <w:rPr>
          <w:rFonts w:ascii="Times New Roman" w:hAnsi="Times New Roman" w:cs="Times New Roman"/>
        </w:rPr>
        <w:t xml:space="preserve"> (SAB 99).</w:t>
      </w:r>
      <w:r w:rsidRPr="00A05618">
        <w:rPr>
          <w:rStyle w:val="FootnoteReference"/>
          <w:rFonts w:ascii="Times New Roman" w:hAnsi="Times New Roman" w:cs="Times New Roman"/>
        </w:rPr>
        <w:footnoteReference w:id="5"/>
      </w:r>
      <w:r w:rsidRPr="00A05618">
        <w:rPr>
          <w:rFonts w:ascii="Times New Roman" w:hAnsi="Times New Roman" w:cs="Times New Roman"/>
        </w:rPr>
        <w:t xml:space="preserve">  SAB</w:t>
      </w:r>
      <w:r>
        <w:rPr>
          <w:rFonts w:ascii="Times New Roman" w:hAnsi="Times New Roman" w:cs="Times New Roman"/>
        </w:rPr>
        <w:t> </w:t>
      </w:r>
      <w:r w:rsidRPr="00A05618">
        <w:rPr>
          <w:rFonts w:ascii="Times New Roman" w:hAnsi="Times New Roman" w:cs="Times New Roman"/>
        </w:rPr>
        <w:t>108 observes that when the correction of an error in the current year would materially misstate the current year’s financial statements because the correction includes the effect of the prior year misstatements, the prior year financial statements should be corrected.</w:t>
      </w:r>
    </w:p>
    <w:p w:rsidR="00F90733" w:rsidRDefault="00F90733" w:rsidP="00414C5D">
      <w:pPr>
        <w:pStyle w:val="Default"/>
        <w:widowControl/>
        <w:jc w:val="both"/>
        <w:rPr>
          <w:rFonts w:ascii="Times New Roman" w:hAnsi="Times New Roman" w:cs="Times New Roman"/>
        </w:rPr>
      </w:pPr>
    </w:p>
    <w:p w:rsidR="00414C5D" w:rsidRDefault="00414C5D" w:rsidP="00414C5D">
      <w:pPr>
        <w:pStyle w:val="Default"/>
        <w:ind w:firstLine="720"/>
        <w:jc w:val="both"/>
        <w:rPr>
          <w:rFonts w:ascii="Times New Roman" w:hAnsi="Times New Roman" w:cs="Times New Roman"/>
        </w:rPr>
      </w:pPr>
      <w:r>
        <w:rPr>
          <w:rFonts w:ascii="Times New Roman" w:hAnsi="Times New Roman" w:cs="Times New Roman"/>
        </w:rPr>
        <w:t>The agencies have advised banks that, f</w:t>
      </w:r>
      <w:r w:rsidRPr="00A05618">
        <w:rPr>
          <w:rFonts w:ascii="Times New Roman" w:hAnsi="Times New Roman" w:cs="Times New Roman"/>
        </w:rPr>
        <w:t xml:space="preserve">or Call Report purposes, a bank that is a public company or a subsidiary of a public company should apply the guidance from </w:t>
      </w:r>
      <w:r>
        <w:rPr>
          <w:rFonts w:ascii="Times New Roman" w:hAnsi="Times New Roman" w:cs="Times New Roman"/>
        </w:rPr>
        <w:t>SAB 108 and SAB </w:t>
      </w:r>
      <w:r w:rsidRPr="00A05618">
        <w:rPr>
          <w:rFonts w:ascii="Times New Roman" w:hAnsi="Times New Roman" w:cs="Times New Roman"/>
        </w:rPr>
        <w:t>99 when quantifying the impact of correcting misstatements, including both the carryover and reversing effects of prior year misstatements, on their current year Call Reports.</w:t>
      </w:r>
      <w:r w:rsidRPr="00F90733">
        <w:rPr>
          <w:rStyle w:val="FootnoteReference"/>
          <w:rFonts w:ascii="Times New Roman" w:hAnsi="Times New Roman" w:cs="Times New Roman"/>
          <w:vertAlign w:val="superscript"/>
        </w:rPr>
        <w:footnoteReference w:id="6"/>
      </w:r>
      <w:r w:rsidRPr="00F90733">
        <w:rPr>
          <w:rFonts w:ascii="Times New Roman" w:hAnsi="Times New Roman" w:cs="Times New Roman"/>
          <w:vertAlign w:val="superscript"/>
        </w:rPr>
        <w:t xml:space="preserve"> </w:t>
      </w:r>
      <w:r>
        <w:rPr>
          <w:rFonts w:ascii="Times New Roman" w:hAnsi="Times New Roman" w:cs="Times New Roman"/>
        </w:rPr>
        <w:t xml:space="preserve"> The agencies believe that the guidance in SAB 108 and SAB 99 represents sound accounting practices that all banks, including those that are not public companies, should follow for purposes of quantifying misstatements and considering all relevant factors when assessing the materiality of missta</w:t>
      </w:r>
      <w:r w:rsidR="00F90733">
        <w:rPr>
          <w:rFonts w:ascii="Times New Roman" w:hAnsi="Times New Roman" w:cs="Times New Roman"/>
        </w:rPr>
        <w:t xml:space="preserve">tements in their Call Reports. </w:t>
      </w:r>
      <w:r>
        <w:rPr>
          <w:rFonts w:ascii="Times New Roman" w:hAnsi="Times New Roman" w:cs="Times New Roman"/>
        </w:rPr>
        <w:t>Accordingly, the agencies are proposing to incorporate the guidance in these two Staff Accounting Bulletins into the section of the “Accounting Changes” Glossary entry on error corrections, thereby establishing a single approach for quantifying misstatements in the Call Report that would be applicable to all banks.  The Glossary entry would explain that t</w:t>
      </w:r>
      <w:r w:rsidRPr="0032144D">
        <w:rPr>
          <w:rFonts w:ascii="Times New Roman" w:hAnsi="Times New Roman" w:cs="Times New Roman"/>
        </w:rPr>
        <w:t xml:space="preserve">he impact of correcting all </w:t>
      </w:r>
      <w:r>
        <w:rPr>
          <w:rFonts w:ascii="Times New Roman" w:hAnsi="Times New Roman" w:cs="Times New Roman"/>
        </w:rPr>
        <w:t xml:space="preserve">misstatements on </w:t>
      </w:r>
      <w:r w:rsidRPr="0032144D">
        <w:rPr>
          <w:rFonts w:ascii="Times New Roman" w:hAnsi="Times New Roman" w:cs="Times New Roman"/>
        </w:rPr>
        <w:t xml:space="preserve">current year </w:t>
      </w:r>
      <w:r>
        <w:rPr>
          <w:rFonts w:ascii="Times New Roman" w:hAnsi="Times New Roman" w:cs="Times New Roman"/>
        </w:rPr>
        <w:t>Call Reports should</w:t>
      </w:r>
      <w:r w:rsidRPr="0032144D">
        <w:rPr>
          <w:rFonts w:ascii="Times New Roman" w:hAnsi="Times New Roman" w:cs="Times New Roman"/>
        </w:rPr>
        <w:t xml:space="preserve"> be accomplished by quantifying an error under both the rollover and iron curtain approaches and by evaluating the error measured under each approach.  When either approach results in a misstatement that is material, after considering all relevant quantitative and qualitative factors, </w:t>
      </w:r>
      <w:r>
        <w:rPr>
          <w:rFonts w:ascii="Times New Roman" w:hAnsi="Times New Roman" w:cs="Times New Roman"/>
        </w:rPr>
        <w:t>appropriate</w:t>
      </w:r>
      <w:r w:rsidRPr="0032144D">
        <w:rPr>
          <w:rFonts w:ascii="Times New Roman" w:hAnsi="Times New Roman" w:cs="Times New Roman"/>
        </w:rPr>
        <w:t xml:space="preserve"> adjustment</w:t>
      </w:r>
      <w:r>
        <w:rPr>
          <w:rFonts w:ascii="Times New Roman" w:hAnsi="Times New Roman" w:cs="Times New Roman"/>
        </w:rPr>
        <w:t>s</w:t>
      </w:r>
      <w:r w:rsidRPr="0032144D">
        <w:rPr>
          <w:rFonts w:ascii="Times New Roman" w:hAnsi="Times New Roman" w:cs="Times New Roman"/>
        </w:rPr>
        <w:t xml:space="preserve"> to </w:t>
      </w:r>
      <w:r>
        <w:rPr>
          <w:rFonts w:ascii="Times New Roman" w:hAnsi="Times New Roman" w:cs="Times New Roman"/>
        </w:rPr>
        <w:t>Call Reports</w:t>
      </w:r>
      <w:r w:rsidRPr="0032144D">
        <w:rPr>
          <w:rFonts w:ascii="Times New Roman" w:hAnsi="Times New Roman" w:cs="Times New Roman"/>
        </w:rPr>
        <w:t xml:space="preserve"> </w:t>
      </w:r>
      <w:r w:rsidRPr="00A05618">
        <w:rPr>
          <w:rFonts w:ascii="Times New Roman" w:hAnsi="Times New Roman" w:cs="Times New Roman"/>
        </w:rPr>
        <w:t xml:space="preserve">would be required.  </w:t>
      </w:r>
      <w:r>
        <w:rPr>
          <w:rFonts w:ascii="Times New Roman" w:hAnsi="Times New Roman" w:cs="Times New Roman"/>
        </w:rPr>
        <w:t xml:space="preserve">  </w:t>
      </w:r>
      <w:r w:rsidRPr="00A05618">
        <w:rPr>
          <w:rFonts w:ascii="Times New Roman" w:hAnsi="Times New Roman" w:cs="Times New Roman"/>
        </w:rPr>
        <w:t xml:space="preserve">    </w:t>
      </w:r>
    </w:p>
    <w:p w:rsidR="00414C5D" w:rsidRPr="009F7E4B" w:rsidRDefault="00414C5D" w:rsidP="00414C5D">
      <w:pPr>
        <w:pStyle w:val="Default"/>
        <w:ind w:firstLine="720"/>
        <w:jc w:val="both"/>
        <w:rPr>
          <w:rFonts w:ascii="Times New Roman" w:hAnsi="Times New Roman" w:cs="Times New Roman"/>
        </w:rPr>
      </w:pPr>
    </w:p>
    <w:p w:rsidR="00414C5D" w:rsidRPr="009F7E4B" w:rsidRDefault="00F90733" w:rsidP="00414C5D">
      <w:pPr>
        <w:pStyle w:val="Default"/>
        <w:jc w:val="both"/>
        <w:rPr>
          <w:rFonts w:ascii="Times New Roman" w:hAnsi="Times New Roman" w:cs="Times New Roman"/>
          <w:u w:val="single"/>
        </w:rPr>
      </w:pPr>
      <w:r>
        <w:rPr>
          <w:rFonts w:ascii="Times New Roman" w:hAnsi="Times New Roman" w:cs="Times New Roman"/>
          <w:u w:val="single"/>
        </w:rPr>
        <w:t>G</w:t>
      </w:r>
      <w:r w:rsidR="00414C5D" w:rsidRPr="009F7E4B">
        <w:rPr>
          <w:rFonts w:ascii="Times New Roman" w:hAnsi="Times New Roman" w:cs="Times New Roman"/>
          <w:u w:val="single"/>
        </w:rPr>
        <w:t xml:space="preserve">.  Eliminating Confidential Treatment for </w:t>
      </w:r>
      <w:r w:rsidR="00414C5D">
        <w:rPr>
          <w:rFonts w:ascii="Times New Roman" w:hAnsi="Times New Roman" w:cs="Times New Roman"/>
          <w:u w:val="single"/>
        </w:rPr>
        <w:t>Fiduciary Income, Expense, and Loss</w:t>
      </w:r>
      <w:r w:rsidR="00414C5D" w:rsidRPr="009F7E4B">
        <w:rPr>
          <w:rFonts w:ascii="Times New Roman" w:hAnsi="Times New Roman" w:cs="Times New Roman"/>
          <w:u w:val="single"/>
        </w:rPr>
        <w:t xml:space="preserve"> Data</w:t>
      </w:r>
      <w:r w:rsidR="00414C5D" w:rsidRPr="009F7E4B">
        <w:rPr>
          <w:rFonts w:ascii="Times New Roman" w:hAnsi="Times New Roman" w:cs="Times New Roman"/>
          <w:u w:val="single"/>
        </w:rPr>
        <w:br/>
      </w:r>
    </w:p>
    <w:p w:rsidR="00414C5D" w:rsidRDefault="00414C5D" w:rsidP="00414C5D">
      <w:pPr>
        <w:pStyle w:val="Default"/>
        <w:ind w:firstLine="720"/>
        <w:jc w:val="both"/>
        <w:rPr>
          <w:rFonts w:ascii="Times New Roman" w:hAnsi="Times New Roman" w:cs="Times New Roman"/>
        </w:rPr>
      </w:pPr>
      <w:r w:rsidRPr="009F7E4B">
        <w:rPr>
          <w:rFonts w:ascii="Times New Roman" w:hAnsi="Times New Roman" w:cs="Times New Roman"/>
        </w:rPr>
        <w:t xml:space="preserve">An important public policy issue for the agencies has been how to use market discipline to complement supervisory resources. </w:t>
      </w:r>
      <w:r>
        <w:rPr>
          <w:rFonts w:ascii="Times New Roman" w:hAnsi="Times New Roman" w:cs="Times New Roman"/>
        </w:rPr>
        <w:t xml:space="preserve"> </w:t>
      </w:r>
      <w:r w:rsidRPr="009F7E4B">
        <w:rPr>
          <w:rFonts w:ascii="Times New Roman" w:hAnsi="Times New Roman" w:cs="Times New Roman"/>
        </w:rPr>
        <w:t xml:space="preserve">Market discipline relies on market participants having </w:t>
      </w:r>
      <w:r>
        <w:rPr>
          <w:rFonts w:ascii="Times New Roman" w:hAnsi="Times New Roman" w:cs="Times New Roman"/>
        </w:rPr>
        <w:t xml:space="preserve">sufficient appropriate </w:t>
      </w:r>
      <w:r w:rsidRPr="009F7E4B">
        <w:rPr>
          <w:rFonts w:ascii="Times New Roman" w:hAnsi="Times New Roman" w:cs="Times New Roman"/>
        </w:rPr>
        <w:t xml:space="preserve">information about the financial condition </w:t>
      </w:r>
      <w:r>
        <w:rPr>
          <w:rFonts w:ascii="Times New Roman" w:hAnsi="Times New Roman" w:cs="Times New Roman"/>
        </w:rPr>
        <w:t xml:space="preserve">and risks </w:t>
      </w:r>
      <w:r w:rsidRPr="009F7E4B">
        <w:rPr>
          <w:rFonts w:ascii="Times New Roman" w:hAnsi="Times New Roman" w:cs="Times New Roman"/>
        </w:rPr>
        <w:t>of bank</w:t>
      </w:r>
      <w:r>
        <w:rPr>
          <w:rFonts w:ascii="Times New Roman" w:hAnsi="Times New Roman" w:cs="Times New Roman"/>
        </w:rPr>
        <w:t>s</w:t>
      </w:r>
      <w:r w:rsidRPr="009F7E4B">
        <w:rPr>
          <w:rFonts w:ascii="Times New Roman" w:hAnsi="Times New Roman" w:cs="Times New Roman"/>
        </w:rPr>
        <w:t xml:space="preserve">. </w:t>
      </w:r>
      <w:r>
        <w:rPr>
          <w:rFonts w:ascii="Times New Roman" w:hAnsi="Times New Roman" w:cs="Times New Roman"/>
        </w:rPr>
        <w:t xml:space="preserve"> </w:t>
      </w:r>
      <w:r w:rsidRPr="009F7E4B">
        <w:rPr>
          <w:rFonts w:ascii="Times New Roman" w:hAnsi="Times New Roman" w:cs="Times New Roman"/>
        </w:rPr>
        <w:t xml:space="preserve">The Call Report, in particular, is widely used by securities analysts, rating agencies, and large institutional investors as sources of bank-specific data. </w:t>
      </w:r>
      <w:r>
        <w:rPr>
          <w:rFonts w:ascii="Times New Roman" w:hAnsi="Times New Roman" w:cs="Times New Roman"/>
        </w:rPr>
        <w:t xml:space="preserve"> </w:t>
      </w:r>
      <w:r w:rsidRPr="009F7E4B">
        <w:rPr>
          <w:rFonts w:ascii="Times New Roman" w:hAnsi="Times New Roman" w:cs="Times New Roman"/>
        </w:rPr>
        <w:t xml:space="preserve">Disclosure that increases </w:t>
      </w:r>
      <w:r>
        <w:rPr>
          <w:rFonts w:ascii="Times New Roman" w:hAnsi="Times New Roman" w:cs="Times New Roman"/>
        </w:rPr>
        <w:t>t</w:t>
      </w:r>
      <w:r w:rsidRPr="009F7E4B">
        <w:rPr>
          <w:rFonts w:ascii="Times New Roman" w:hAnsi="Times New Roman" w:cs="Times New Roman"/>
        </w:rPr>
        <w:t xml:space="preserve">ransparency should lead to more accurate market assessments of </w:t>
      </w:r>
      <w:r>
        <w:rPr>
          <w:rFonts w:ascii="Times New Roman" w:hAnsi="Times New Roman" w:cs="Times New Roman"/>
        </w:rPr>
        <w:t xml:space="preserve">individual banks’ performance and </w:t>
      </w:r>
      <w:r w:rsidRPr="009F7E4B">
        <w:rPr>
          <w:rFonts w:ascii="Times New Roman" w:hAnsi="Times New Roman" w:cs="Times New Roman"/>
        </w:rPr>
        <w:t>risk</w:t>
      </w:r>
      <w:r>
        <w:rPr>
          <w:rFonts w:ascii="Times New Roman" w:hAnsi="Times New Roman" w:cs="Times New Roman"/>
        </w:rPr>
        <w:t>s</w:t>
      </w:r>
      <w:r w:rsidRPr="009F7E4B">
        <w:rPr>
          <w:rFonts w:ascii="Times New Roman" w:hAnsi="Times New Roman" w:cs="Times New Roman"/>
        </w:rPr>
        <w:t xml:space="preserve">. </w:t>
      </w:r>
      <w:r>
        <w:rPr>
          <w:rFonts w:ascii="Times New Roman" w:hAnsi="Times New Roman" w:cs="Times New Roman"/>
        </w:rPr>
        <w:t xml:space="preserve"> </w:t>
      </w:r>
      <w:r w:rsidRPr="009F7E4B">
        <w:rPr>
          <w:rFonts w:ascii="Times New Roman" w:hAnsi="Times New Roman" w:cs="Times New Roman"/>
        </w:rPr>
        <w:t>This, in turn, should result in more effective market discipline on bank</w:t>
      </w:r>
      <w:r>
        <w:rPr>
          <w:rFonts w:ascii="Times New Roman" w:hAnsi="Times New Roman" w:cs="Times New Roman"/>
        </w:rPr>
        <w:t>s</w:t>
      </w:r>
      <w:r w:rsidRPr="009F7E4B">
        <w:rPr>
          <w:rFonts w:ascii="Times New Roman" w:hAnsi="Times New Roman" w:cs="Times New Roman"/>
        </w:rPr>
        <w:t>.</w:t>
      </w:r>
    </w:p>
    <w:p w:rsidR="00F90733" w:rsidRDefault="00F90733" w:rsidP="00414C5D">
      <w:pPr>
        <w:pStyle w:val="Default"/>
        <w:ind w:firstLine="720"/>
        <w:jc w:val="both"/>
        <w:rPr>
          <w:rFonts w:ascii="Times New Roman" w:hAnsi="Times New Roman" w:cs="Times New Roman"/>
        </w:rPr>
      </w:pPr>
    </w:p>
    <w:p w:rsidR="00414C5D" w:rsidRDefault="00414C5D" w:rsidP="00414C5D">
      <w:pPr>
        <w:pStyle w:val="Default"/>
        <w:widowControl/>
        <w:ind w:firstLine="720"/>
        <w:jc w:val="both"/>
        <w:rPr>
          <w:rFonts w:ascii="Times New Roman" w:hAnsi="Times New Roman" w:cs="Times New Roman"/>
        </w:rPr>
      </w:pPr>
      <w:r w:rsidRPr="009F7E4B">
        <w:rPr>
          <w:rFonts w:ascii="Times New Roman" w:hAnsi="Times New Roman" w:cs="Times New Roman"/>
        </w:rPr>
        <w:t xml:space="preserve">Despite this emphasis on market discipline, the FFIEC and the agencies currently accord confidential treatment to the information </w:t>
      </w:r>
      <w:r>
        <w:rPr>
          <w:rFonts w:ascii="Times New Roman" w:hAnsi="Times New Roman" w:cs="Times New Roman"/>
        </w:rPr>
        <w:t>that certain institutions</w:t>
      </w:r>
      <w:r w:rsidRPr="009F7E4B">
        <w:rPr>
          <w:rFonts w:ascii="Times New Roman" w:hAnsi="Times New Roman" w:cs="Times New Roman"/>
        </w:rPr>
        <w:t xml:space="preserve"> report in </w:t>
      </w:r>
      <w:r>
        <w:rPr>
          <w:rFonts w:ascii="Times New Roman" w:hAnsi="Times New Roman" w:cs="Times New Roman"/>
        </w:rPr>
        <w:t xml:space="preserve">Call Report </w:t>
      </w:r>
      <w:r w:rsidRPr="009F7E4B">
        <w:rPr>
          <w:rFonts w:ascii="Times New Roman" w:hAnsi="Times New Roman" w:cs="Times New Roman"/>
        </w:rPr>
        <w:t>Schedule RC-</w:t>
      </w:r>
      <w:r>
        <w:rPr>
          <w:rFonts w:ascii="Times New Roman" w:hAnsi="Times New Roman" w:cs="Times New Roman"/>
        </w:rPr>
        <w:t>T, Fiduciary and Related Services,</w:t>
      </w:r>
      <w:r w:rsidRPr="009F7E4B">
        <w:rPr>
          <w:rFonts w:ascii="Times New Roman" w:hAnsi="Times New Roman" w:cs="Times New Roman"/>
        </w:rPr>
        <w:t xml:space="preserve"> o</w:t>
      </w:r>
      <w:r>
        <w:rPr>
          <w:rFonts w:ascii="Times New Roman" w:hAnsi="Times New Roman" w:cs="Times New Roman"/>
        </w:rPr>
        <w:t>n fiduciary and related services income, expenses, and losses (items 12 through 18, items 19.a through 23, and Memorandum item 4)</w:t>
      </w:r>
      <w:r w:rsidRPr="009F7E4B">
        <w:rPr>
          <w:rFonts w:ascii="Times New Roman" w:hAnsi="Times New Roman" w:cs="Times New Roman"/>
        </w:rPr>
        <w:t xml:space="preserve">. </w:t>
      </w:r>
      <w:r>
        <w:rPr>
          <w:rFonts w:ascii="Times New Roman" w:hAnsi="Times New Roman" w:cs="Times New Roman"/>
        </w:rPr>
        <w:t xml:space="preserve"> Approximately 400 i</w:t>
      </w:r>
      <w:r w:rsidRPr="003F39BD">
        <w:rPr>
          <w:rFonts w:ascii="Times New Roman" w:hAnsi="Times New Roman" w:cs="Times New Roman"/>
        </w:rPr>
        <w:t xml:space="preserve">nstitutions that exercise fiduciary powers and have </w:t>
      </w:r>
      <w:r>
        <w:rPr>
          <w:rFonts w:ascii="Times New Roman" w:hAnsi="Times New Roman" w:cs="Times New Roman"/>
        </w:rPr>
        <w:t xml:space="preserve">either </w:t>
      </w:r>
      <w:r w:rsidRPr="003F39BD">
        <w:rPr>
          <w:rFonts w:ascii="Times New Roman" w:hAnsi="Times New Roman" w:cs="Times New Roman"/>
        </w:rPr>
        <w:t xml:space="preserve">total fiduciary assets greater than </w:t>
      </w:r>
      <w:r w:rsidRPr="003F39BD">
        <w:rPr>
          <w:rFonts w:ascii="Times New Roman" w:hAnsi="Times New Roman" w:cs="Times New Roman"/>
        </w:rPr>
        <w:lastRenderedPageBreak/>
        <w:t xml:space="preserve">$250 million or gross fiduciary and related services income greater than 10 percent of </w:t>
      </w:r>
      <w:r>
        <w:rPr>
          <w:rFonts w:ascii="Times New Roman" w:hAnsi="Times New Roman" w:cs="Times New Roman"/>
        </w:rPr>
        <w:t>revenue</w:t>
      </w:r>
      <w:r w:rsidRPr="003F39BD">
        <w:rPr>
          <w:rFonts w:ascii="Times New Roman" w:hAnsi="Times New Roman" w:cs="Times New Roman"/>
        </w:rPr>
        <w:t xml:space="preserve"> report their fiduciary and related services income</w:t>
      </w:r>
      <w:r>
        <w:rPr>
          <w:rFonts w:ascii="Times New Roman" w:hAnsi="Times New Roman" w:cs="Times New Roman"/>
        </w:rPr>
        <w:t xml:space="preserve"> </w:t>
      </w:r>
      <w:r w:rsidRPr="009256B2">
        <w:rPr>
          <w:rFonts w:ascii="Times New Roman" w:hAnsi="Times New Roman" w:cs="Times New Roman"/>
        </w:rPr>
        <w:t>quarterly and expenses and losses annually as of year-end</w:t>
      </w:r>
      <w:r>
        <w:rPr>
          <w:rFonts w:ascii="Times New Roman" w:hAnsi="Times New Roman" w:cs="Times New Roman"/>
        </w:rPr>
        <w:t>.  Around 200 </w:t>
      </w:r>
      <w:r w:rsidRPr="009256B2">
        <w:rPr>
          <w:rFonts w:ascii="Times New Roman" w:hAnsi="Times New Roman" w:cs="Times New Roman"/>
        </w:rPr>
        <w:t>institutions that exercise fiduciary powers</w:t>
      </w:r>
      <w:r>
        <w:rPr>
          <w:rFonts w:ascii="Times New Roman" w:hAnsi="Times New Roman" w:cs="Times New Roman"/>
        </w:rPr>
        <w:t>,</w:t>
      </w:r>
      <w:r w:rsidRPr="009256B2">
        <w:rPr>
          <w:rFonts w:ascii="Times New Roman" w:hAnsi="Times New Roman" w:cs="Times New Roman"/>
        </w:rPr>
        <w:t xml:space="preserve"> have total fiduciary assets greater than $100</w:t>
      </w:r>
      <w:r>
        <w:rPr>
          <w:rFonts w:ascii="Times New Roman" w:hAnsi="Times New Roman" w:cs="Times New Roman"/>
        </w:rPr>
        <w:t> </w:t>
      </w:r>
      <w:r w:rsidRPr="009256B2">
        <w:rPr>
          <w:rFonts w:ascii="Times New Roman" w:hAnsi="Times New Roman" w:cs="Times New Roman"/>
        </w:rPr>
        <w:t>million but less than or equal to $250 million</w:t>
      </w:r>
      <w:r>
        <w:rPr>
          <w:rFonts w:ascii="Times New Roman" w:hAnsi="Times New Roman" w:cs="Times New Roman"/>
        </w:rPr>
        <w:t>, and</w:t>
      </w:r>
      <w:r w:rsidRPr="009256B2">
        <w:rPr>
          <w:rFonts w:ascii="Times New Roman" w:hAnsi="Times New Roman" w:cs="Times New Roman"/>
        </w:rPr>
        <w:t xml:space="preserve"> do not meet the fiduciary income test mentioned above report their fiduciary and related services income, expenses, and losses annually as of year-end.  An additional 1,000 institutions that exercise fiduciary powers</w:t>
      </w:r>
      <w:r>
        <w:rPr>
          <w:rFonts w:ascii="Times New Roman" w:hAnsi="Times New Roman" w:cs="Times New Roman"/>
        </w:rPr>
        <w:t>,</w:t>
      </w:r>
      <w:r w:rsidRPr="009256B2">
        <w:rPr>
          <w:rFonts w:ascii="Times New Roman" w:hAnsi="Times New Roman" w:cs="Times New Roman"/>
        </w:rPr>
        <w:t xml:space="preserve"> have total fiduciary assets of $100 million or less</w:t>
      </w:r>
      <w:r>
        <w:rPr>
          <w:rFonts w:ascii="Times New Roman" w:hAnsi="Times New Roman" w:cs="Times New Roman"/>
        </w:rPr>
        <w:t>, and</w:t>
      </w:r>
      <w:r w:rsidRPr="009256B2">
        <w:rPr>
          <w:rFonts w:ascii="Times New Roman" w:hAnsi="Times New Roman" w:cs="Times New Roman"/>
        </w:rPr>
        <w:t xml:space="preserve"> do not meet the fiduciary income test mentioned above </w:t>
      </w:r>
      <w:r>
        <w:rPr>
          <w:rFonts w:ascii="Times New Roman" w:hAnsi="Times New Roman" w:cs="Times New Roman"/>
        </w:rPr>
        <w:t>are exempt from reporting their</w:t>
      </w:r>
      <w:r w:rsidRPr="009256B2">
        <w:rPr>
          <w:rFonts w:ascii="Times New Roman" w:hAnsi="Times New Roman" w:cs="Times New Roman"/>
        </w:rPr>
        <w:t xml:space="preserve"> fiduciary </w:t>
      </w:r>
      <w:r>
        <w:rPr>
          <w:rFonts w:ascii="Times New Roman" w:hAnsi="Times New Roman" w:cs="Times New Roman"/>
        </w:rPr>
        <w:t xml:space="preserve">and related services </w:t>
      </w:r>
      <w:r w:rsidRPr="009256B2">
        <w:rPr>
          <w:rFonts w:ascii="Times New Roman" w:hAnsi="Times New Roman" w:cs="Times New Roman"/>
        </w:rPr>
        <w:t>income</w:t>
      </w:r>
      <w:r>
        <w:rPr>
          <w:rFonts w:ascii="Times New Roman" w:hAnsi="Times New Roman" w:cs="Times New Roman"/>
        </w:rPr>
        <w:t>, expenses,</w:t>
      </w:r>
      <w:r w:rsidRPr="009256B2">
        <w:rPr>
          <w:rFonts w:ascii="Times New Roman" w:hAnsi="Times New Roman" w:cs="Times New Roman"/>
        </w:rPr>
        <w:t xml:space="preserve"> and losses.</w:t>
      </w:r>
      <w:r>
        <w:rPr>
          <w:rFonts w:ascii="Times New Roman" w:hAnsi="Times New Roman" w:cs="Times New Roman"/>
        </w:rPr>
        <w:t xml:space="preserve">  </w:t>
      </w:r>
    </w:p>
    <w:p w:rsidR="00F90733" w:rsidRDefault="00F90733" w:rsidP="00414C5D">
      <w:pPr>
        <w:pStyle w:val="Default"/>
        <w:ind w:firstLine="720"/>
        <w:jc w:val="both"/>
        <w:rPr>
          <w:rFonts w:ascii="Times New Roman" w:hAnsi="Times New Roman" w:cs="Times New Roman"/>
        </w:rPr>
      </w:pPr>
    </w:p>
    <w:p w:rsidR="00414C5D" w:rsidRDefault="00414C5D" w:rsidP="00414C5D">
      <w:pPr>
        <w:pStyle w:val="Default"/>
        <w:ind w:firstLine="720"/>
        <w:jc w:val="both"/>
        <w:rPr>
          <w:rFonts w:ascii="Times New Roman" w:hAnsi="Times New Roman" w:cs="Times New Roman"/>
        </w:rPr>
      </w:pPr>
      <w:r>
        <w:rPr>
          <w:rFonts w:ascii="Times New Roman" w:hAnsi="Times New Roman" w:cs="Times New Roman"/>
        </w:rPr>
        <w:t>Data on fiduciary and related services income, expenses, and losses (except for gross fiduciary and related services income, which is also reported in each institution’s Call Report income statement) are</w:t>
      </w:r>
      <w:r w:rsidRPr="009F7E4B">
        <w:rPr>
          <w:rFonts w:ascii="Times New Roman" w:hAnsi="Times New Roman" w:cs="Times New Roman"/>
        </w:rPr>
        <w:t xml:space="preserve"> the only financial information currently collected on the Call Report that is treated as confidential on an individual </w:t>
      </w:r>
      <w:r>
        <w:rPr>
          <w:rFonts w:ascii="Times New Roman" w:hAnsi="Times New Roman" w:cs="Times New Roman"/>
        </w:rPr>
        <w:t>institution</w:t>
      </w:r>
      <w:r w:rsidRPr="009F7E4B">
        <w:rPr>
          <w:rFonts w:ascii="Times New Roman" w:hAnsi="Times New Roman" w:cs="Times New Roman"/>
        </w:rPr>
        <w:t xml:space="preserve"> basis.</w:t>
      </w:r>
      <w:r>
        <w:rPr>
          <w:rFonts w:ascii="Times New Roman" w:hAnsi="Times New Roman" w:cs="Times New Roman"/>
        </w:rPr>
        <w:t xml:space="preserve">  Nevertheless, t</w:t>
      </w:r>
      <w:r w:rsidRPr="009F7E4B">
        <w:rPr>
          <w:rFonts w:ascii="Times New Roman" w:hAnsi="Times New Roman" w:cs="Times New Roman"/>
        </w:rPr>
        <w:t xml:space="preserve">he agencies publish aggregate data derived from these confidential items. </w:t>
      </w:r>
      <w:r>
        <w:rPr>
          <w:rFonts w:ascii="Times New Roman" w:hAnsi="Times New Roman" w:cs="Times New Roman"/>
        </w:rPr>
        <w:t xml:space="preserve">The agencies have accorded confidential treatment to the </w:t>
      </w:r>
      <w:r w:rsidRPr="00065188">
        <w:rPr>
          <w:rFonts w:ascii="Times New Roman" w:hAnsi="Times New Roman" w:cs="Times New Roman"/>
        </w:rPr>
        <w:t xml:space="preserve">fiduciary services income data </w:t>
      </w:r>
      <w:r>
        <w:rPr>
          <w:rFonts w:ascii="Times New Roman" w:hAnsi="Times New Roman" w:cs="Times New Roman"/>
        </w:rPr>
        <w:t xml:space="preserve">for individual institutions since it </w:t>
      </w:r>
      <w:r w:rsidRPr="00065188">
        <w:rPr>
          <w:rFonts w:ascii="Times New Roman" w:hAnsi="Times New Roman" w:cs="Times New Roman"/>
        </w:rPr>
        <w:t xml:space="preserve">began </w:t>
      </w:r>
      <w:r>
        <w:rPr>
          <w:rFonts w:ascii="Times New Roman" w:hAnsi="Times New Roman" w:cs="Times New Roman"/>
        </w:rPr>
        <w:t xml:space="preserve">to be collected </w:t>
      </w:r>
      <w:r w:rsidRPr="00065188">
        <w:rPr>
          <w:rFonts w:ascii="Times New Roman" w:hAnsi="Times New Roman" w:cs="Times New Roman"/>
        </w:rPr>
        <w:t xml:space="preserve">in 1997 </w:t>
      </w:r>
      <w:r>
        <w:rPr>
          <w:rFonts w:ascii="Times New Roman" w:hAnsi="Times New Roman" w:cs="Times New Roman"/>
        </w:rPr>
        <w:t xml:space="preserve">in a separate report, the Annual Report of Trust Assets (FFIEC 001).  Confidential treatment was retained when the reporting of trust data was </w:t>
      </w:r>
      <w:r w:rsidRPr="00433165">
        <w:rPr>
          <w:rFonts w:ascii="Times New Roman" w:hAnsi="Times New Roman" w:cs="Times New Roman"/>
        </w:rPr>
        <w:t>incorporated into the Call Report and the separate trust report was eliminated in 2001.  However, the agencies do not preclude institutions</w:t>
      </w:r>
      <w:r w:rsidRPr="009F7E4B">
        <w:rPr>
          <w:rFonts w:ascii="Times New Roman" w:hAnsi="Times New Roman" w:cs="Times New Roman"/>
        </w:rPr>
        <w:t xml:space="preserve"> from publicly disclosing the </w:t>
      </w:r>
      <w:r>
        <w:rPr>
          <w:rFonts w:ascii="Times New Roman" w:hAnsi="Times New Roman" w:cs="Times New Roman"/>
        </w:rPr>
        <w:t>fiduciary and related services income, expense, and loss</w:t>
      </w:r>
      <w:r w:rsidRPr="009F7E4B">
        <w:rPr>
          <w:rFonts w:ascii="Times New Roman" w:hAnsi="Times New Roman" w:cs="Times New Roman"/>
        </w:rPr>
        <w:t xml:space="preserve"> data that the agencies treat as confidential</w:t>
      </w:r>
      <w:r>
        <w:rPr>
          <w:rFonts w:ascii="Times New Roman" w:hAnsi="Times New Roman" w:cs="Times New Roman"/>
        </w:rPr>
        <w:t>.</w:t>
      </w:r>
    </w:p>
    <w:p w:rsidR="00F90733" w:rsidRDefault="00F90733" w:rsidP="00414C5D">
      <w:pPr>
        <w:pStyle w:val="Default"/>
        <w:ind w:firstLine="720"/>
        <w:jc w:val="both"/>
        <w:rPr>
          <w:rFonts w:ascii="Times New Roman" w:hAnsi="Times New Roman" w:cs="Times New Roman"/>
        </w:rPr>
      </w:pPr>
    </w:p>
    <w:p w:rsidR="00414C5D" w:rsidRDefault="00414C5D" w:rsidP="00414C5D">
      <w:pPr>
        <w:pStyle w:val="Default"/>
        <w:ind w:firstLine="720"/>
        <w:jc w:val="both"/>
        <w:rPr>
          <w:rFonts w:ascii="Times New Roman" w:hAnsi="Times New Roman" w:cs="Times New Roman"/>
        </w:rPr>
      </w:pPr>
      <w:r w:rsidRPr="00433165">
        <w:rPr>
          <w:rFonts w:ascii="Times New Roman" w:hAnsi="Times New Roman" w:cs="Times New Roman"/>
        </w:rPr>
        <w:t xml:space="preserve">The agencies </w:t>
      </w:r>
      <w:r>
        <w:rPr>
          <w:rFonts w:ascii="Times New Roman" w:hAnsi="Times New Roman" w:cs="Times New Roman"/>
        </w:rPr>
        <w:t>originally</w:t>
      </w:r>
      <w:r w:rsidRPr="00433165">
        <w:rPr>
          <w:rFonts w:ascii="Times New Roman" w:hAnsi="Times New Roman" w:cs="Times New Roman"/>
        </w:rPr>
        <w:t xml:space="preserve"> applied</w:t>
      </w:r>
      <w:r>
        <w:rPr>
          <w:rFonts w:ascii="Times New Roman" w:hAnsi="Times New Roman" w:cs="Times New Roman"/>
        </w:rPr>
        <w:t xml:space="preserve"> </w:t>
      </w:r>
      <w:r w:rsidRPr="00433165">
        <w:rPr>
          <w:rFonts w:ascii="Times New Roman" w:hAnsi="Times New Roman" w:cs="Times New Roman"/>
        </w:rPr>
        <w:t>this confidential treatment to th</w:t>
      </w:r>
      <w:r>
        <w:rPr>
          <w:rFonts w:ascii="Times New Roman" w:hAnsi="Times New Roman" w:cs="Times New Roman"/>
        </w:rPr>
        <w:t>e</w:t>
      </w:r>
      <w:r w:rsidRPr="00433165">
        <w:rPr>
          <w:rFonts w:ascii="Times New Roman" w:hAnsi="Times New Roman" w:cs="Times New Roman"/>
        </w:rPr>
        <w:t xml:space="preserve"> </w:t>
      </w:r>
      <w:r>
        <w:rPr>
          <w:rFonts w:ascii="Times New Roman" w:hAnsi="Times New Roman" w:cs="Times New Roman"/>
        </w:rPr>
        <w:t xml:space="preserve">fiduciary and related services </w:t>
      </w:r>
      <w:r w:rsidRPr="00433165">
        <w:rPr>
          <w:rFonts w:ascii="Times New Roman" w:hAnsi="Times New Roman" w:cs="Times New Roman"/>
        </w:rPr>
        <w:t>income</w:t>
      </w:r>
      <w:r>
        <w:rPr>
          <w:rFonts w:ascii="Times New Roman" w:hAnsi="Times New Roman" w:cs="Times New Roman"/>
        </w:rPr>
        <w:t>, expense,</w:t>
      </w:r>
      <w:r w:rsidRPr="00433165">
        <w:rPr>
          <w:rFonts w:ascii="Times New Roman" w:hAnsi="Times New Roman" w:cs="Times New Roman"/>
        </w:rPr>
        <w:t xml:space="preserve"> and loss information because</w:t>
      </w:r>
      <w:r>
        <w:rPr>
          <w:rFonts w:ascii="Times New Roman" w:hAnsi="Times New Roman" w:cs="Times New Roman"/>
        </w:rPr>
        <w:t xml:space="preserve"> </w:t>
      </w:r>
      <w:r w:rsidRPr="00433165">
        <w:rPr>
          <w:rFonts w:ascii="Times New Roman" w:hAnsi="Times New Roman" w:cs="Times New Roman"/>
        </w:rPr>
        <w:t>these data generally pertain to only a</w:t>
      </w:r>
      <w:r>
        <w:rPr>
          <w:rFonts w:ascii="Times New Roman" w:hAnsi="Times New Roman" w:cs="Times New Roman"/>
        </w:rPr>
        <w:t xml:space="preserve"> </w:t>
      </w:r>
      <w:r w:rsidRPr="00433165">
        <w:rPr>
          <w:rFonts w:ascii="Times New Roman" w:hAnsi="Times New Roman" w:cs="Times New Roman"/>
        </w:rPr>
        <w:t>portion of a reporting institution’s total</w:t>
      </w:r>
      <w:r>
        <w:rPr>
          <w:rFonts w:ascii="Times New Roman" w:hAnsi="Times New Roman" w:cs="Times New Roman"/>
        </w:rPr>
        <w:t xml:space="preserve"> </w:t>
      </w:r>
      <w:r w:rsidRPr="00433165">
        <w:rPr>
          <w:rFonts w:ascii="Times New Roman" w:hAnsi="Times New Roman" w:cs="Times New Roman"/>
        </w:rPr>
        <w:t>operations and not to the institution as</w:t>
      </w:r>
      <w:r>
        <w:rPr>
          <w:rFonts w:ascii="Times New Roman" w:hAnsi="Times New Roman" w:cs="Times New Roman"/>
        </w:rPr>
        <w:t xml:space="preserve"> </w:t>
      </w:r>
      <w:r w:rsidRPr="00433165">
        <w:rPr>
          <w:rFonts w:ascii="Times New Roman" w:hAnsi="Times New Roman" w:cs="Times New Roman"/>
        </w:rPr>
        <w:t>a whole.</w:t>
      </w:r>
      <w:r>
        <w:rPr>
          <w:rFonts w:ascii="Times New Roman" w:hAnsi="Times New Roman" w:cs="Times New Roman"/>
        </w:rPr>
        <w:t xml:space="preserve">  However, the agencies make publicly available on an individual bank basis the Call Report data they collect on income and expenses from foreign offices from banks with such offices where foreign activities exceed certain levels even though these data pertain to only a portion of these banks’ total operations.  </w:t>
      </w:r>
    </w:p>
    <w:p w:rsidR="00F90733" w:rsidRDefault="00F90733" w:rsidP="00414C5D">
      <w:pPr>
        <w:pStyle w:val="Default"/>
        <w:widowControl/>
        <w:ind w:firstLine="720"/>
        <w:jc w:val="both"/>
        <w:rPr>
          <w:rFonts w:ascii="Times New Roman" w:hAnsi="Times New Roman" w:cs="Times New Roman"/>
        </w:rPr>
      </w:pPr>
    </w:p>
    <w:p w:rsidR="00414C5D" w:rsidRDefault="00414C5D" w:rsidP="00414C5D">
      <w:pPr>
        <w:pStyle w:val="Default"/>
        <w:widowControl/>
        <w:ind w:firstLine="720"/>
        <w:jc w:val="both"/>
        <w:rPr>
          <w:rFonts w:ascii="Times New Roman" w:hAnsi="Times New Roman" w:cs="Times New Roman"/>
        </w:rPr>
      </w:pPr>
      <w:r>
        <w:rPr>
          <w:rFonts w:ascii="Times New Roman" w:hAnsi="Times New Roman" w:cs="Times New Roman"/>
        </w:rPr>
        <w:t xml:space="preserve">In addition, under the Uniform Interagency Trust Rating System, the agencies assign a rating to the earnings of an institution’s fiduciary activities at those institutions with fiduciary assets of more than $100 million, which are also the institutions that report their fiduciary and related services income, expenses, and losses in Call Report Schedule RC-T.  The agencies’ evaluation of an institution’s trust earnings considers such factors as the profitability of fiduciary activities in relation to the size and scope of those activities and the institution’s overall business, taking this into account by functions and product lines.  Although the agencies’ ratings for individual institutions are not publicly available, the reason for rating the trust earnings of institutions with more than $100 million in fiduciary assets – its effect on the financial condition of the institution – means that fiduciary and related services income, expense, and loss information for these institutions is also relevant to market participants and others in the public as they seek to evaluate the financial condition and performance of individual institutions.  Increasing the transparency of institutions’ fiduciary activities by making individual institutions’ fiduciary income, expense, and loss data available to the public should improve the market’s ability to assess these institutions’ performance and risks and thereby enhance market discipline.  Accordingly, the agencies </w:t>
      </w:r>
      <w:r w:rsidRPr="009F7E4B">
        <w:rPr>
          <w:rFonts w:ascii="Times New Roman" w:hAnsi="Times New Roman" w:cs="Times New Roman"/>
        </w:rPr>
        <w:t xml:space="preserve">are proposing to eliminate the confidential treatment for the </w:t>
      </w:r>
      <w:r>
        <w:rPr>
          <w:rFonts w:ascii="Times New Roman" w:hAnsi="Times New Roman" w:cs="Times New Roman"/>
        </w:rPr>
        <w:t xml:space="preserve">data on fiduciary and related services income, expenses, and losses that are reported in Schedule RC-T </w:t>
      </w:r>
      <w:r w:rsidRPr="009F7E4B">
        <w:rPr>
          <w:rFonts w:ascii="Times New Roman" w:hAnsi="Times New Roman" w:cs="Times New Roman"/>
        </w:rPr>
        <w:lastRenderedPageBreak/>
        <w:t xml:space="preserve">beginning with the amounts reported as of </w:t>
      </w:r>
      <w:smartTag w:uri="urn:schemas-microsoft-com:office:smarttags" w:element="date">
        <w:smartTagPr>
          <w:attr w:name="Year" w:val="2009"/>
          <w:attr w:name="Day" w:val="31"/>
          <w:attr w:name="Month" w:val="3"/>
        </w:smartTagPr>
        <w:r w:rsidRPr="009F7E4B">
          <w:rPr>
            <w:rFonts w:ascii="Times New Roman" w:hAnsi="Times New Roman" w:cs="Times New Roman"/>
          </w:rPr>
          <w:t>March 31, 200</w:t>
        </w:r>
        <w:r>
          <w:rPr>
            <w:rFonts w:ascii="Times New Roman" w:hAnsi="Times New Roman" w:cs="Times New Roman"/>
          </w:rPr>
          <w:t>9</w:t>
        </w:r>
      </w:smartTag>
      <w:r w:rsidRPr="009F7E4B">
        <w:rPr>
          <w:rFonts w:ascii="Times New Roman" w:hAnsi="Times New Roman" w:cs="Times New Roman"/>
        </w:rPr>
        <w:t>.</w:t>
      </w:r>
      <w:r>
        <w:rPr>
          <w:rFonts w:ascii="Times New Roman" w:hAnsi="Times New Roman" w:cs="Times New Roman"/>
        </w:rPr>
        <w:t xml:space="preserve">  Fiduciary and related services income, expense, and loss data reported in Schedule RC-T for report dates prior to </w:t>
      </w:r>
      <w:smartTag w:uri="urn:schemas-microsoft-com:office:smarttags" w:element="date">
        <w:smartTagPr>
          <w:attr w:name="Year" w:val="2009"/>
          <w:attr w:name="Day" w:val="31"/>
          <w:attr w:name="Month" w:val="3"/>
        </w:smartTagPr>
        <w:r>
          <w:rPr>
            <w:rFonts w:ascii="Times New Roman" w:hAnsi="Times New Roman" w:cs="Times New Roman"/>
          </w:rPr>
          <w:t>March 31, 2009</w:t>
        </w:r>
      </w:smartTag>
      <w:r>
        <w:rPr>
          <w:rFonts w:ascii="Times New Roman" w:hAnsi="Times New Roman" w:cs="Times New Roman"/>
        </w:rPr>
        <w:t>, would remain confidential.</w:t>
      </w:r>
    </w:p>
    <w:p w:rsidR="00414C5D" w:rsidRDefault="00414C5D" w:rsidP="00414C5D">
      <w:pPr>
        <w:pStyle w:val="Default"/>
        <w:ind w:firstLine="720"/>
        <w:jc w:val="both"/>
        <w:rPr>
          <w:rFonts w:ascii="Times New Roman" w:hAnsi="Times New Roman" w:cs="Times New Roman"/>
        </w:rPr>
      </w:pPr>
    </w:p>
    <w:p w:rsidR="00414C5D" w:rsidRPr="005F3E61" w:rsidRDefault="00414C5D" w:rsidP="00F90733">
      <w:pPr>
        <w:jc w:val="center"/>
        <w:rPr>
          <w:b/>
        </w:rPr>
      </w:pPr>
      <w:r>
        <w:rPr>
          <w:b/>
        </w:rPr>
        <w:t>June 2009</w:t>
      </w:r>
    </w:p>
    <w:p w:rsidR="00414C5D" w:rsidRDefault="00414C5D" w:rsidP="00414C5D">
      <w:pPr>
        <w:jc w:val="both"/>
        <w:rPr>
          <w:noProof/>
        </w:rPr>
      </w:pPr>
    </w:p>
    <w:p w:rsidR="00414C5D" w:rsidRPr="00AC07C1" w:rsidRDefault="00414C5D" w:rsidP="00414C5D">
      <w:pPr>
        <w:jc w:val="both"/>
        <w:rPr>
          <w:noProof/>
          <w:u w:val="single"/>
        </w:rPr>
      </w:pPr>
      <w:r w:rsidRPr="00AC07C1">
        <w:rPr>
          <w:noProof/>
          <w:u w:val="single"/>
        </w:rPr>
        <w:t>A.  Construction and Development Loans with Interest Reserves</w:t>
      </w:r>
    </w:p>
    <w:p w:rsidR="00414C5D" w:rsidRDefault="00414C5D" w:rsidP="00414C5D">
      <w:pPr>
        <w:jc w:val="both"/>
        <w:rPr>
          <w:noProof/>
        </w:rPr>
      </w:pPr>
    </w:p>
    <w:p w:rsidR="00414C5D" w:rsidRDefault="00414C5D" w:rsidP="00414C5D">
      <w:pPr>
        <w:ind w:firstLine="720"/>
        <w:jc w:val="both"/>
        <w:rPr>
          <w:noProof/>
        </w:rPr>
      </w:pPr>
      <w:r>
        <w:rPr>
          <w:noProof/>
        </w:rPr>
        <w:t>In</w:t>
      </w:r>
      <w:r w:rsidRPr="00AC07C1">
        <w:rPr>
          <w:noProof/>
        </w:rPr>
        <w:t xml:space="preserve"> December 2006, the agencies issu</w:t>
      </w:r>
      <w:r>
        <w:rPr>
          <w:noProof/>
        </w:rPr>
        <w:t>ed</w:t>
      </w:r>
      <w:r w:rsidRPr="00AC07C1">
        <w:rPr>
          <w:noProof/>
        </w:rPr>
        <w:t xml:space="preserve"> </w:t>
      </w:r>
      <w:r w:rsidRPr="0066609C">
        <w:rPr>
          <w:noProof/>
        </w:rPr>
        <w:t>final guidance on commercial real estate (CRE) loans, including construction</w:t>
      </w:r>
      <w:r>
        <w:rPr>
          <w:noProof/>
        </w:rPr>
        <w:t>, l</w:t>
      </w:r>
      <w:r w:rsidRPr="0066609C">
        <w:rPr>
          <w:noProof/>
        </w:rPr>
        <w:t>and development</w:t>
      </w:r>
      <w:r>
        <w:rPr>
          <w:noProof/>
        </w:rPr>
        <w:t xml:space="preserve">, and other land </w:t>
      </w:r>
      <w:r w:rsidRPr="0066609C">
        <w:rPr>
          <w:noProof/>
        </w:rPr>
        <w:t>(C&amp;D)</w:t>
      </w:r>
      <w:r>
        <w:rPr>
          <w:noProof/>
        </w:rPr>
        <w:t xml:space="preserve"> loans</w:t>
      </w:r>
      <w:r w:rsidRPr="0066609C">
        <w:rPr>
          <w:noProof/>
        </w:rPr>
        <w:t xml:space="preserve">, entitled </w:t>
      </w:r>
      <w:r w:rsidRPr="0066609C">
        <w:rPr>
          <w:i/>
          <w:iCs/>
          <w:noProof/>
        </w:rPr>
        <w:t xml:space="preserve">Concentrations in Commercial Real Estate Lending, Sound Risk Management Practices </w:t>
      </w:r>
      <w:r w:rsidRPr="0066609C">
        <w:rPr>
          <w:noProof/>
        </w:rPr>
        <w:t>(CRE Guidance).</w:t>
      </w:r>
      <w:r w:rsidRPr="00F90733">
        <w:rPr>
          <w:rStyle w:val="FootnoteReference"/>
          <w:noProof/>
          <w:vertAlign w:val="superscript"/>
        </w:rPr>
        <w:footnoteReference w:id="7"/>
      </w:r>
      <w:r w:rsidRPr="00F90733">
        <w:rPr>
          <w:noProof/>
          <w:vertAlign w:val="superscript"/>
        </w:rPr>
        <w:t xml:space="preserve"> </w:t>
      </w:r>
      <w:r w:rsidRPr="0066609C">
        <w:rPr>
          <w:noProof/>
        </w:rPr>
        <w:t xml:space="preserve"> </w:t>
      </w:r>
      <w:r w:rsidRPr="0066609C">
        <w:t xml:space="preserve">This </w:t>
      </w:r>
      <w:r>
        <w:t>g</w:t>
      </w:r>
      <w:r w:rsidRPr="0066609C">
        <w:t xml:space="preserve">uidance </w:t>
      </w:r>
      <w:r>
        <w:t>w</w:t>
      </w:r>
      <w:r w:rsidRPr="0066609C">
        <w:t>as developed to reinforce sound risk management practices for institutions with high and increasing concentrations of commercial real estate loans on their balance sheets.</w:t>
      </w:r>
      <w:r>
        <w:t xml:space="preserve">  It</w:t>
      </w:r>
      <w:r>
        <w:rPr>
          <w:noProof/>
        </w:rPr>
        <w:t xml:space="preserve"> provides</w:t>
      </w:r>
      <w:r w:rsidRPr="0066609C">
        <w:rPr>
          <w:noProof/>
        </w:rPr>
        <w:t xml:space="preserve"> a framework for assessing CRE concentrations; risk management, including board and management</w:t>
      </w:r>
      <w:r w:rsidRPr="00AC07C1">
        <w:rPr>
          <w:noProof/>
        </w:rPr>
        <w:t xml:space="preserve"> oversight, portfolio management, management information systems, </w:t>
      </w:r>
      <w:r w:rsidRPr="0066609C">
        <w:rPr>
          <w:noProof/>
        </w:rPr>
        <w:t xml:space="preserve">market analysis and stress testing, underwriting and credit risk review; and supervisory oversight, including CRE concentration management and an assessment of capital adequacy.  </w:t>
      </w:r>
    </w:p>
    <w:p w:rsidR="001E6FA6" w:rsidRDefault="001E6FA6" w:rsidP="00414C5D">
      <w:pPr>
        <w:ind w:firstLine="720"/>
        <w:jc w:val="both"/>
        <w:rPr>
          <w:noProof/>
        </w:rPr>
      </w:pPr>
    </w:p>
    <w:p w:rsidR="00414C5D" w:rsidRDefault="00414C5D" w:rsidP="00414C5D">
      <w:pPr>
        <w:ind w:firstLine="720"/>
        <w:jc w:val="both"/>
      </w:pPr>
      <w:r w:rsidRPr="0066609C">
        <w:rPr>
          <w:noProof/>
        </w:rPr>
        <w:t>In issuing the CRE Guidance, t</w:t>
      </w:r>
      <w:r w:rsidRPr="0066609C">
        <w:t xml:space="preserve">he agencies noted that CRE concentrations had been rising over the past several years and had reached levels that could create safety and soundness concerns in the event of a significant economic downturn. </w:t>
      </w:r>
      <w:r w:rsidRPr="0066609C">
        <w:rPr>
          <w:noProof/>
        </w:rPr>
        <w:t xml:space="preserve"> </w:t>
      </w:r>
      <w:r w:rsidRPr="0066609C">
        <w:t xml:space="preserve">As </w:t>
      </w:r>
      <w:r>
        <w:t xml:space="preserve">a consequence, the CRE Guidance explains that, as </w:t>
      </w:r>
      <w:r w:rsidRPr="0066609C">
        <w:t xml:space="preserve">part of their ongoing supervisory monitoring processes, the </w:t>
      </w:r>
      <w:r>
        <w:t>a</w:t>
      </w:r>
      <w:r w:rsidRPr="0066609C">
        <w:t>gencies w</w:t>
      </w:r>
      <w:r>
        <w:t>ould</w:t>
      </w:r>
      <w:r w:rsidRPr="0066609C">
        <w:t xml:space="preserve"> use certain criteria to identify institutions that are potentially exposed to significant CRE concentration risk.  </w:t>
      </w:r>
      <w:r>
        <w:t>Thus, the CRE Guidance states in part that a</w:t>
      </w:r>
      <w:r w:rsidRPr="0066609C">
        <w:t xml:space="preserve">n institution </w:t>
      </w:r>
      <w:r>
        <w:t xml:space="preserve">whose total </w:t>
      </w:r>
      <w:r w:rsidRPr="0066609C">
        <w:t xml:space="preserve">reported construction, land development, and other land </w:t>
      </w:r>
      <w:r>
        <w:t xml:space="preserve">loans is approaching or exceeds </w:t>
      </w:r>
      <w:r w:rsidRPr="0066609C">
        <w:t xml:space="preserve">100 </w:t>
      </w:r>
      <w:r w:rsidRPr="00B066C2">
        <w:t xml:space="preserve">percent or more of the institution’s total </w:t>
      </w:r>
      <w:r>
        <w:t xml:space="preserve">risk-based </w:t>
      </w:r>
      <w:r w:rsidRPr="00B066C2">
        <w:t>capital may be identified for further supervisory analysis of the level and nature of its CRE concentration risk.</w:t>
      </w:r>
      <w:r>
        <w:t xml:space="preserve">  As of </w:t>
      </w:r>
      <w:smartTag w:uri="urn:schemas-microsoft-com:office:smarttags" w:element="date">
        <w:smartTagPr>
          <w:attr w:name="Year" w:val="2008"/>
          <w:attr w:name="Day" w:val="31"/>
          <w:attr w:name="Month" w:val="3"/>
        </w:smartTagPr>
        <w:r>
          <w:t>March 31, 2008</w:t>
        </w:r>
      </w:smartTag>
      <w:r>
        <w:t>, approximately 28 percent of all banks held C&amp;D loans in excess of 100 percent of their total risk-based capital.</w:t>
      </w:r>
    </w:p>
    <w:p w:rsidR="001E6FA6" w:rsidRDefault="001E6FA6" w:rsidP="00414C5D">
      <w:pPr>
        <w:ind w:firstLine="720"/>
        <w:jc w:val="both"/>
      </w:pPr>
    </w:p>
    <w:p w:rsidR="00414C5D" w:rsidRDefault="00414C5D" w:rsidP="00414C5D">
      <w:pPr>
        <w:pStyle w:val="body"/>
        <w:spacing w:before="0" w:beforeAutospacing="0" w:after="0" w:afterAutospacing="0"/>
        <w:ind w:firstLine="720"/>
        <w:jc w:val="both"/>
      </w:pPr>
      <w:r>
        <w:t>A practice that is common in C&amp;D lending is the</w:t>
      </w:r>
      <w:r w:rsidRPr="00B066C2">
        <w:t xml:space="preserve"> establish</w:t>
      </w:r>
      <w:r>
        <w:t>ment of</w:t>
      </w:r>
      <w:r w:rsidRPr="00B066C2">
        <w:t xml:space="preserve"> a</w:t>
      </w:r>
      <w:r>
        <w:t>n</w:t>
      </w:r>
      <w:r w:rsidRPr="00B066C2">
        <w:t xml:space="preserve"> interest reserve </w:t>
      </w:r>
      <w:r>
        <w:t xml:space="preserve">as part of the original underwriting of </w:t>
      </w:r>
      <w:r w:rsidRPr="00B066C2">
        <w:t>a</w:t>
      </w:r>
      <w:r>
        <w:t xml:space="preserve"> C&amp;D</w:t>
      </w:r>
      <w:r w:rsidRPr="00B066C2">
        <w:t xml:space="preserve"> loan</w:t>
      </w:r>
      <w:r>
        <w:t xml:space="preserve">.  </w:t>
      </w:r>
      <w:r w:rsidRPr="00B066C2">
        <w:t xml:space="preserve">The interest reserve account allows </w:t>
      </w:r>
      <w:r>
        <w:t>the</w:t>
      </w:r>
      <w:r w:rsidRPr="00B066C2">
        <w:t xml:space="preserve"> lender to periodically advance loan funds to pay interest charges on the outstanding balance of the loan. </w:t>
      </w:r>
      <w:r>
        <w:t xml:space="preserve"> </w:t>
      </w:r>
      <w:r w:rsidRPr="00B066C2">
        <w:t xml:space="preserve">The interest is capitalized and added to the loan balance. </w:t>
      </w:r>
      <w:r>
        <w:t xml:space="preserve"> </w:t>
      </w:r>
      <w:r w:rsidRPr="00B066C2">
        <w:t xml:space="preserve">Frequently, </w:t>
      </w:r>
      <w:r>
        <w:t>C&amp;D</w:t>
      </w:r>
      <w:r w:rsidRPr="00B066C2">
        <w:t xml:space="preserve"> loan budgets will include an interest reserve to carry the project from origination to completion and may cover the project’s anticipated sell-out or lease-up period.</w:t>
      </w:r>
      <w:r>
        <w:t xml:space="preserve">  Although potentially beneficial to the lender and the borrower, the use of interest reserves carries certain risks.  Of particular concern is the possibility that an interest reserve could disguise problems with a borrower’s willingness and ability to repay the debt consistent with the terms and conditions of the loan agreement.  For example, a C&amp;D loan for a project on which construction ceases before it has been completed or is not completed in a timely manner may appear to be performing if the continued capitalization of interest through the use of an interest reserve keeps the troubled loan </w:t>
      </w:r>
      <w:r w:rsidRPr="00760985">
        <w:t xml:space="preserve">current.  This practice can erode collateral protection and mask loans that </w:t>
      </w:r>
      <w:r>
        <w:t>sh</w:t>
      </w:r>
      <w:r w:rsidRPr="00760985">
        <w:t>ould otherwise be reported as delinquent</w:t>
      </w:r>
      <w:r>
        <w:t xml:space="preserve"> or in nonaccrual status</w:t>
      </w:r>
      <w:r w:rsidRPr="00760985">
        <w:t>.</w:t>
      </w:r>
      <w:r>
        <w:t xml:space="preserve">  </w:t>
      </w:r>
    </w:p>
    <w:p w:rsidR="001E6FA6" w:rsidRDefault="001E6FA6" w:rsidP="00414C5D">
      <w:pPr>
        <w:pStyle w:val="body"/>
        <w:spacing w:before="0" w:beforeAutospacing="0" w:after="0" w:afterAutospacing="0"/>
        <w:ind w:firstLine="720"/>
        <w:jc w:val="both"/>
      </w:pPr>
    </w:p>
    <w:p w:rsidR="00414C5D" w:rsidRDefault="00414C5D" w:rsidP="001E6FA6">
      <w:pPr>
        <w:pStyle w:val="body"/>
        <w:spacing w:before="0" w:beforeAutospacing="0" w:after="0" w:afterAutospacing="0"/>
        <w:ind w:firstLine="720"/>
        <w:jc w:val="both"/>
      </w:pPr>
      <w:r>
        <w:lastRenderedPageBreak/>
        <w:t>Si</w:t>
      </w:r>
      <w:r w:rsidRPr="00B066C2">
        <w:t>nce the CRE Guidance was issued, market conditions have weakened, most notably in the C&amp;D sector.</w:t>
      </w:r>
      <w:r>
        <w:t xml:space="preserve">  As this weakening has occurred, the agencies’ examiners are encountering C&amp;D loans on projects that are troubled, but where interest has been capitalized inappropriately, resulting in overstated income and understated volumes of past due and nonaccrual C&amp;D loans.  Therefore, to assist the agencies in monitoring </w:t>
      </w:r>
      <w:r w:rsidR="001E6FA6">
        <w:t xml:space="preserve"> </w:t>
      </w:r>
      <w:r>
        <w:t>C&amp;D lending activities at those banks with a concentration of such loans, i.e., C&amp;D loans (in domestic offices) that exceeded 100 percent of total risk-based capital as of the previous calendar year-end, the agencies are proposing to add two new Call Report items.  First, banks with such a concentration would report the amount of C&amp;D loans (in domestic offices) included in the Call Report loan schedule (Schedule RC-C) on which the use of interest reserves is provided for in the loan agreement.  Second, these banks would report the amount of capitalized interest included in the interest and fee income on loans during the quarter.  These data, together with information that banks currently report on the amount of past due and nonaccrual C&amp;D loans, will assist in identifying banks with C&amp;D loan concentrations that may be engaging in questionable interest capitalization practices for supervisory follow-up.</w:t>
      </w:r>
    </w:p>
    <w:p w:rsidR="00414C5D" w:rsidRDefault="00414C5D" w:rsidP="00414C5D">
      <w:pPr>
        <w:pStyle w:val="body"/>
        <w:spacing w:before="0" w:beforeAutospacing="0" w:after="0" w:afterAutospacing="0"/>
        <w:ind w:firstLine="720"/>
        <w:jc w:val="both"/>
      </w:pPr>
    </w:p>
    <w:p w:rsidR="00414C5D" w:rsidRPr="002F68A2" w:rsidRDefault="00414C5D" w:rsidP="00414C5D">
      <w:pPr>
        <w:jc w:val="both"/>
        <w:outlineLvl w:val="0"/>
        <w:rPr>
          <w:b/>
          <w:u w:val="single"/>
        </w:rPr>
      </w:pPr>
      <w:r>
        <w:rPr>
          <w:u w:val="single"/>
        </w:rPr>
        <w:t xml:space="preserve">B.  </w:t>
      </w:r>
      <w:r w:rsidRPr="006B79FD">
        <w:rPr>
          <w:u w:val="single"/>
        </w:rPr>
        <w:t>Structured Financial Products Carried in Securities and Trading Portfolios</w:t>
      </w:r>
      <w:r w:rsidRPr="002F68A2">
        <w:rPr>
          <w:b/>
          <w:u w:val="single"/>
        </w:rPr>
        <w:t xml:space="preserve">  </w:t>
      </w:r>
    </w:p>
    <w:p w:rsidR="00414C5D" w:rsidRPr="002F68A2" w:rsidRDefault="00414C5D" w:rsidP="00414C5D">
      <w:pPr>
        <w:ind w:firstLine="720"/>
        <w:jc w:val="both"/>
        <w:rPr>
          <w:b/>
          <w:u w:val="single"/>
        </w:rPr>
      </w:pPr>
    </w:p>
    <w:p w:rsidR="00414C5D" w:rsidRDefault="00414C5D" w:rsidP="00414C5D">
      <w:pPr>
        <w:ind w:firstLine="720"/>
        <w:jc w:val="both"/>
      </w:pPr>
      <w:r w:rsidRPr="002F68A2">
        <w:t xml:space="preserve">Structured financial products </w:t>
      </w:r>
      <w:r>
        <w:t xml:space="preserve">such as collateralized debt obligations (CDOs) </w:t>
      </w:r>
      <w:r w:rsidRPr="002F68A2">
        <w:t>have become increasingly more complex and the volume of these financial products has increased substantially in recent years.  Structured financial products generally convert a large pool of assets and other exposures (</w:t>
      </w:r>
      <w:r>
        <w:t xml:space="preserve">such as </w:t>
      </w:r>
      <w:r w:rsidRPr="002F68A2">
        <w:t>derivatives</w:t>
      </w:r>
      <w:r>
        <w:t xml:space="preserve"> and</w:t>
      </w:r>
      <w:r w:rsidRPr="002F68A2">
        <w:t xml:space="preserve"> third-party guarantees) into tradable capital market debt instruments.  Some of the more complex financial </w:t>
      </w:r>
      <w:r>
        <w:t xml:space="preserve">product </w:t>
      </w:r>
      <w:r w:rsidRPr="002F68A2">
        <w:t xml:space="preserve">structures mix asset classes in an attempt to create investment products that diversify risk. </w:t>
      </w:r>
    </w:p>
    <w:p w:rsidR="001E6FA6" w:rsidRDefault="001E6FA6" w:rsidP="00414C5D">
      <w:pPr>
        <w:ind w:firstLine="720"/>
        <w:jc w:val="both"/>
      </w:pPr>
    </w:p>
    <w:p w:rsidR="00414C5D" w:rsidRDefault="00414C5D" w:rsidP="00414C5D">
      <w:pPr>
        <w:ind w:firstLine="720"/>
        <w:jc w:val="both"/>
      </w:pPr>
      <w:r w:rsidRPr="002F68A2">
        <w:t xml:space="preserve">In recent years, </w:t>
      </w:r>
      <w:r>
        <w:t>increasingly complex structured financial products have become more widely held as investments and trading assets, allowing investors and traders to acquire positions in a pool of assets with varying risks and rewards depending on the underlying collateral or reference assets.  S</w:t>
      </w:r>
      <w:r w:rsidRPr="002F68A2">
        <w:t xml:space="preserve">ynthetic </w:t>
      </w:r>
      <w:r>
        <w:t>structured financial products</w:t>
      </w:r>
      <w:r w:rsidRPr="002F68A2">
        <w:t xml:space="preserve"> use credit derivatives and a reference pool of assets, </w:t>
      </w:r>
      <w:r>
        <w:t xml:space="preserve">which has led to the creation of </w:t>
      </w:r>
      <w:r w:rsidRPr="002F68A2">
        <w:t>hybrid products</w:t>
      </w:r>
      <w:r>
        <w:t>,</w:t>
      </w:r>
      <w:r w:rsidRPr="002F68A2">
        <w:t xml:space="preserve"> which are a combination of cash and synthetic </w:t>
      </w:r>
      <w:r>
        <w:t xml:space="preserve">structured </w:t>
      </w:r>
      <w:r w:rsidRPr="002F68A2">
        <w:t xml:space="preserve">financial products.  </w:t>
      </w:r>
      <w:r>
        <w:t>Further,</w:t>
      </w:r>
      <w:r w:rsidRPr="002F68A2">
        <w:t xml:space="preserve"> complex products </w:t>
      </w:r>
      <w:r>
        <w:t xml:space="preserve">known as </w:t>
      </w:r>
      <w:r w:rsidRPr="002F68A2">
        <w:t>CDO</w:t>
      </w:r>
      <w:r>
        <w:t>s “</w:t>
      </w:r>
      <w:r w:rsidRPr="002F68A2">
        <w:t>s</w:t>
      </w:r>
      <w:r>
        <w:t>quared,”</w:t>
      </w:r>
      <w:r w:rsidRPr="002F68A2">
        <w:t xml:space="preserve"> </w:t>
      </w:r>
      <w:r>
        <w:t xml:space="preserve">which are CDOs backed primarily by the tranches of other CDOs, have contributed to the opacity and inability of investors to understand the performance of these highly complex products.  </w:t>
      </w:r>
    </w:p>
    <w:p w:rsidR="001E6FA6" w:rsidRDefault="001E6FA6" w:rsidP="00414C5D">
      <w:pPr>
        <w:ind w:firstLine="720"/>
        <w:jc w:val="both"/>
      </w:pPr>
    </w:p>
    <w:p w:rsidR="00414C5D" w:rsidRDefault="00414C5D" w:rsidP="00414C5D">
      <w:pPr>
        <w:ind w:firstLine="720"/>
        <w:jc w:val="both"/>
      </w:pPr>
      <w:r>
        <w:t xml:space="preserve">Some holders of </w:t>
      </w:r>
      <w:r w:rsidRPr="002F68A2">
        <w:t xml:space="preserve">structured financial products have </w:t>
      </w:r>
      <w:r>
        <w:t>sustained</w:t>
      </w:r>
      <w:r w:rsidRPr="002F68A2">
        <w:t xml:space="preserve"> financial losses </w:t>
      </w:r>
      <w:r>
        <w:t xml:space="preserve">due to defaults and losses on the underlying assets and other exposures.  In addition, </w:t>
      </w:r>
      <w:r w:rsidRPr="002F68A2">
        <w:t xml:space="preserve">reduced market liquidity </w:t>
      </w:r>
      <w:r>
        <w:t>has contributed to significant fair value declines and lack of price transparency for other</w:t>
      </w:r>
      <w:r w:rsidRPr="002F68A2">
        <w:t xml:space="preserve"> structured financial products.  </w:t>
      </w:r>
      <w:r>
        <w:t>These recent</w:t>
      </w:r>
      <w:r w:rsidRPr="002F68A2">
        <w:t xml:space="preserve"> market events have demonstrated </w:t>
      </w:r>
      <w:r>
        <w:t>the</w:t>
      </w:r>
      <w:r w:rsidRPr="002F68A2">
        <w:t xml:space="preserve"> need </w:t>
      </w:r>
      <w:r>
        <w:t>for the agencies to collect</w:t>
      </w:r>
      <w:r w:rsidRPr="002F68A2">
        <w:t xml:space="preserve"> more </w:t>
      </w:r>
      <w:r>
        <w:t>comprehensive</w:t>
      </w:r>
      <w:r w:rsidRPr="002F68A2">
        <w:t xml:space="preserve"> information on investment products with significant market</w:t>
      </w:r>
      <w:r>
        <w:t>, credit, liquidity, and valuation</w:t>
      </w:r>
      <w:r w:rsidRPr="002F68A2">
        <w:t xml:space="preserve"> risk</w:t>
      </w:r>
      <w:r>
        <w:t>s in order to identify and monitor banks with exposures to these products and to track such exposures for the industry as a whole</w:t>
      </w:r>
      <w:r w:rsidRPr="002F68A2">
        <w:t xml:space="preserve">.  </w:t>
      </w:r>
    </w:p>
    <w:p w:rsidR="001E6FA6" w:rsidRPr="002F68A2" w:rsidRDefault="001E6FA6" w:rsidP="00414C5D">
      <w:pPr>
        <w:ind w:firstLine="720"/>
        <w:jc w:val="both"/>
      </w:pPr>
    </w:p>
    <w:p w:rsidR="00414C5D" w:rsidRDefault="00414C5D" w:rsidP="00414C5D">
      <w:pPr>
        <w:ind w:firstLine="720"/>
        <w:jc w:val="both"/>
      </w:pPr>
      <w:r w:rsidRPr="002F68A2">
        <w:t xml:space="preserve">Currently, banks </w:t>
      </w:r>
      <w:r>
        <w:t xml:space="preserve">separately </w:t>
      </w:r>
      <w:r w:rsidRPr="002F68A2">
        <w:t xml:space="preserve">report </w:t>
      </w:r>
      <w:r>
        <w:t xml:space="preserve">their holdings of </w:t>
      </w:r>
      <w:r w:rsidRPr="002F68A2">
        <w:t xml:space="preserve">regular </w:t>
      </w:r>
      <w:r>
        <w:t>m</w:t>
      </w:r>
      <w:r w:rsidRPr="002F68A2">
        <w:t>ortgage</w:t>
      </w:r>
      <w:r>
        <w:t>-b</w:t>
      </w:r>
      <w:r w:rsidRPr="002F68A2">
        <w:t xml:space="preserve">acked </w:t>
      </w:r>
      <w:r>
        <w:t>s</w:t>
      </w:r>
      <w:r w:rsidRPr="002F68A2">
        <w:t xml:space="preserve">ecurities (MBS) </w:t>
      </w:r>
      <w:r>
        <w:t>(</w:t>
      </w:r>
      <w:r w:rsidRPr="002F68A2">
        <w:t xml:space="preserve">such as </w:t>
      </w:r>
      <w:r>
        <w:t>mortgage-backed</w:t>
      </w:r>
      <w:r w:rsidRPr="002F68A2">
        <w:t xml:space="preserve"> pass</w:t>
      </w:r>
      <w:r>
        <w:noBreakHyphen/>
      </w:r>
      <w:r w:rsidRPr="002F68A2">
        <w:t>through</w:t>
      </w:r>
      <w:r>
        <w:t xml:space="preserve"> securities</w:t>
      </w:r>
      <w:r w:rsidRPr="002F68A2">
        <w:t xml:space="preserve">, </w:t>
      </w:r>
      <w:r>
        <w:t>collateralized mortgage obligations</w:t>
      </w:r>
      <w:r w:rsidRPr="002F68A2">
        <w:t xml:space="preserve">, </w:t>
      </w:r>
      <w:r>
        <w:t>and real estate mortgage investment conduits)</w:t>
      </w:r>
      <w:r w:rsidRPr="002F68A2">
        <w:t xml:space="preserve"> in the </w:t>
      </w:r>
      <w:r>
        <w:t xml:space="preserve">Call Report </w:t>
      </w:r>
      <w:r w:rsidRPr="002F68A2">
        <w:t>securities schedule (</w:t>
      </w:r>
      <w:r>
        <w:t xml:space="preserve">Schedule </w:t>
      </w:r>
      <w:r w:rsidRPr="002F68A2">
        <w:t xml:space="preserve">RC-B) </w:t>
      </w:r>
      <w:r>
        <w:t>or</w:t>
      </w:r>
      <w:r w:rsidRPr="002F68A2">
        <w:t xml:space="preserve"> trading schedule (</w:t>
      </w:r>
      <w:r>
        <w:t>Schedule </w:t>
      </w:r>
      <w:r w:rsidRPr="002F68A2">
        <w:t>RC</w:t>
      </w:r>
      <w:r>
        <w:noBreakHyphen/>
      </w:r>
      <w:r w:rsidRPr="002F68A2">
        <w:t>D)</w:t>
      </w:r>
      <w:r>
        <w:t xml:space="preserve">, as appropriate.  All banks separately report their </w:t>
      </w:r>
      <w:r>
        <w:lastRenderedPageBreak/>
        <w:t xml:space="preserve">holdings of held-to-maturity and available-for-sale asset-backed securities (ABS) in the securities schedule.  Those banks with large trading portfolios separately report their held-for-trading ABS in the trading schedule.  Banks’ holdings of all other debt securities not issued by governmental entities in the </w:t>
      </w:r>
      <w:smartTag w:uri="urn:schemas-microsoft-com:office:smarttags" w:element="country-region">
        <w:smartTag w:uri="urn:schemas-microsoft-com:office:smarttags" w:element="place">
          <w:r>
            <w:t>U.S.</w:t>
          </w:r>
        </w:smartTag>
      </w:smartTag>
      <w:r>
        <w:t xml:space="preserve"> are reported as “Other debt securities” in either the securities or trading schedule, as appropriate</w:t>
      </w:r>
      <w:r w:rsidRPr="002F68A2">
        <w:t xml:space="preserve">.  </w:t>
      </w:r>
      <w:r>
        <w:t>However, t</w:t>
      </w:r>
      <w:r w:rsidRPr="002F68A2">
        <w:t xml:space="preserve">he more complex structured financial products </w:t>
      </w:r>
      <w:r>
        <w:t xml:space="preserve">discussed above </w:t>
      </w:r>
      <w:r w:rsidRPr="002F68A2">
        <w:t xml:space="preserve">are not separately reported </w:t>
      </w:r>
      <w:r>
        <w:t>in Schedules RC-B and RC-D, but are currently reported in other line items within these two schedules</w:t>
      </w:r>
      <w:r w:rsidRPr="002F68A2">
        <w:t xml:space="preserve">.  </w:t>
      </w:r>
    </w:p>
    <w:p w:rsidR="001E6FA6" w:rsidRDefault="001E6FA6" w:rsidP="00414C5D">
      <w:pPr>
        <w:ind w:firstLine="720"/>
        <w:jc w:val="both"/>
      </w:pPr>
    </w:p>
    <w:p w:rsidR="00414C5D" w:rsidRDefault="00414C5D" w:rsidP="00414C5D">
      <w:pPr>
        <w:ind w:firstLine="720"/>
        <w:jc w:val="both"/>
      </w:pPr>
      <w:r w:rsidRPr="002F68A2">
        <w:t>The</w:t>
      </w:r>
      <w:r>
        <w:t>refore, the</w:t>
      </w:r>
      <w:r w:rsidRPr="002F68A2">
        <w:t xml:space="preserve"> agencies propose to separately collect certain structured financial product data in both the securities </w:t>
      </w:r>
      <w:r>
        <w:t xml:space="preserve">and trading </w:t>
      </w:r>
      <w:r w:rsidRPr="002F68A2">
        <w:t>schedule</w:t>
      </w:r>
      <w:r>
        <w:t>s of the Call Report</w:t>
      </w:r>
      <w:r w:rsidRPr="002F68A2">
        <w:t xml:space="preserve">.  </w:t>
      </w:r>
      <w:r>
        <w:t>First, t</w:t>
      </w:r>
      <w:r w:rsidRPr="002F68A2">
        <w:t xml:space="preserve">he agencies </w:t>
      </w:r>
      <w:r>
        <w:t>would</w:t>
      </w:r>
      <w:r w:rsidRPr="002F68A2">
        <w:t xml:space="preserve"> add line items to collect </w:t>
      </w:r>
      <w:r>
        <w:t>information on</w:t>
      </w:r>
      <w:r w:rsidRPr="002F68A2">
        <w:t xml:space="preserve"> certain structured financial products by type of structure (</w:t>
      </w:r>
      <w:r>
        <w:t>c</w:t>
      </w:r>
      <w:r w:rsidRPr="002F68A2">
        <w:t xml:space="preserve">ash, </w:t>
      </w:r>
      <w:r>
        <w:t>s</w:t>
      </w:r>
      <w:r w:rsidRPr="002F68A2">
        <w:t xml:space="preserve">ynthetic, and </w:t>
      </w:r>
      <w:r>
        <w:t>h</w:t>
      </w:r>
      <w:r w:rsidRPr="002F68A2">
        <w:t xml:space="preserve">ybrid).  </w:t>
      </w:r>
      <w:r>
        <w:t>Each of t</w:t>
      </w:r>
      <w:r w:rsidRPr="002F68A2">
        <w:t>he</w:t>
      </w:r>
      <w:r>
        <w:t xml:space="preserve">se three new line items would cover </w:t>
      </w:r>
      <w:r w:rsidRPr="002F68A2">
        <w:t xml:space="preserve">CDOs, </w:t>
      </w:r>
      <w:r>
        <w:t>c</w:t>
      </w:r>
      <w:r w:rsidRPr="002F68A2">
        <w:t xml:space="preserve">ollateralized </w:t>
      </w:r>
      <w:r>
        <w:t>l</w:t>
      </w:r>
      <w:r w:rsidRPr="002F68A2">
        <w:t xml:space="preserve">oan </w:t>
      </w:r>
      <w:r>
        <w:t>o</w:t>
      </w:r>
      <w:r w:rsidRPr="002F68A2">
        <w:t>bligations (CLOs),</w:t>
      </w:r>
      <w:r>
        <w:t xml:space="preserve"> c</w:t>
      </w:r>
      <w:r w:rsidRPr="002F68A2">
        <w:t xml:space="preserve">ollateralized </w:t>
      </w:r>
      <w:r>
        <w:t>b</w:t>
      </w:r>
      <w:r w:rsidRPr="002F68A2">
        <w:t xml:space="preserve">ond </w:t>
      </w:r>
      <w:r>
        <w:t>o</w:t>
      </w:r>
      <w:r w:rsidRPr="002F68A2">
        <w:t xml:space="preserve">bligations (CBOs), </w:t>
      </w:r>
      <w:r>
        <w:t>CDOs squared and cubed, and similar structured financial products.</w:t>
      </w:r>
      <w:r w:rsidRPr="001E6FA6">
        <w:rPr>
          <w:rStyle w:val="FootnoteReference"/>
          <w:vertAlign w:val="superscript"/>
        </w:rPr>
        <w:footnoteReference w:id="8"/>
      </w:r>
      <w:r w:rsidRPr="001E6FA6">
        <w:rPr>
          <w:vertAlign w:val="superscript"/>
        </w:rPr>
        <w:t xml:space="preserve"> </w:t>
      </w:r>
      <w:r>
        <w:t xml:space="preserve"> </w:t>
      </w:r>
      <w:r w:rsidRPr="002F68A2">
        <w:t>The</w:t>
      </w:r>
      <w:r>
        <w:t>se</w:t>
      </w:r>
      <w:r w:rsidRPr="002F68A2">
        <w:t xml:space="preserve"> new </w:t>
      </w:r>
      <w:r>
        <w:t xml:space="preserve">line </w:t>
      </w:r>
      <w:r w:rsidRPr="002F68A2">
        <w:t>items w</w:t>
      </w:r>
      <w:r>
        <w:t>ould</w:t>
      </w:r>
      <w:r w:rsidRPr="002F68A2">
        <w:t xml:space="preserve"> be added to the </w:t>
      </w:r>
      <w:r>
        <w:t xml:space="preserve">body of the </w:t>
      </w:r>
      <w:r w:rsidRPr="002F68A2">
        <w:t xml:space="preserve">securities schedule and </w:t>
      </w:r>
      <w:r>
        <w:t xml:space="preserve">the </w:t>
      </w:r>
      <w:r w:rsidRPr="002F68A2">
        <w:t xml:space="preserve">trading schedule.  </w:t>
      </w:r>
      <w:r>
        <w:t>In Schedule RC-B, t</w:t>
      </w:r>
      <w:r w:rsidRPr="002F68A2">
        <w:t xml:space="preserve">he </w:t>
      </w:r>
      <w:r>
        <w:t xml:space="preserve">amortized cost and fair value of these three types of </w:t>
      </w:r>
      <w:r w:rsidRPr="002F68A2">
        <w:t>structure</w:t>
      </w:r>
      <w:r>
        <w:t>s</w:t>
      </w:r>
      <w:r w:rsidRPr="002F68A2">
        <w:t xml:space="preserve"> will be reported </w:t>
      </w:r>
      <w:r>
        <w:t>using the current</w:t>
      </w:r>
      <w:r w:rsidRPr="002F68A2">
        <w:t xml:space="preserve"> four</w:t>
      </w:r>
      <w:r>
        <w:t>-</w:t>
      </w:r>
      <w:r w:rsidRPr="002F68A2">
        <w:t xml:space="preserve">column </w:t>
      </w:r>
      <w:r>
        <w:t>format that distinguishes between</w:t>
      </w:r>
      <w:r w:rsidRPr="002F68A2">
        <w:t xml:space="preserve"> held-to-maturity and available-for-sale </w:t>
      </w:r>
      <w:r>
        <w:t>securities</w:t>
      </w:r>
      <w:r w:rsidRPr="002F68A2">
        <w:t xml:space="preserve">.  </w:t>
      </w:r>
      <w:r>
        <w:t>In Schedule RC</w:t>
      </w:r>
      <w:r>
        <w:noBreakHyphen/>
        <w:t>D, the fair value of these three types of structures would be reported.</w:t>
      </w:r>
      <w:r w:rsidRPr="002F68A2">
        <w:t xml:space="preserve">  </w:t>
      </w:r>
      <w:r>
        <w:t>Since the new items on structured financial products would include CDOs, the agencies will delete existing Memorandum items 5.a and 5.b from the trading schedule (Schedule RC</w:t>
      </w:r>
      <w:r>
        <w:noBreakHyphen/>
        <w:t>D).</w:t>
      </w:r>
    </w:p>
    <w:p w:rsidR="001E6FA6" w:rsidRPr="002F68A2" w:rsidRDefault="001E6FA6" w:rsidP="00414C5D">
      <w:pPr>
        <w:ind w:firstLine="720"/>
        <w:jc w:val="both"/>
      </w:pPr>
    </w:p>
    <w:p w:rsidR="00414C5D" w:rsidRDefault="00414C5D" w:rsidP="00414C5D">
      <w:pPr>
        <w:ind w:firstLine="720"/>
        <w:jc w:val="both"/>
      </w:pPr>
      <w:r>
        <w:t>Second, t</w:t>
      </w:r>
      <w:r w:rsidRPr="002F68A2">
        <w:t xml:space="preserve">he agencies </w:t>
      </w:r>
      <w:r>
        <w:t>would</w:t>
      </w:r>
      <w:r w:rsidRPr="002F68A2">
        <w:t xml:space="preserve"> collect </w:t>
      </w:r>
      <w:r>
        <w:t>information on these</w:t>
      </w:r>
      <w:r w:rsidRPr="002F68A2">
        <w:t xml:space="preserve"> complex structured financial products by </w:t>
      </w:r>
      <w:r>
        <w:t xml:space="preserve">the predominant </w:t>
      </w:r>
      <w:r w:rsidRPr="002F68A2">
        <w:t>type of collateral supporting the structures</w:t>
      </w:r>
      <w:r>
        <w:t xml:space="preserve"> in new memorandum items in both Schedule RC-B and Schedule RC-D.  </w:t>
      </w:r>
      <w:r w:rsidRPr="002F68A2">
        <w:t>The collateral supporting these products ha</w:t>
      </w:r>
      <w:r>
        <w:t>s</w:t>
      </w:r>
      <w:r w:rsidRPr="002F68A2">
        <w:t xml:space="preserve"> distinct risk c</w:t>
      </w:r>
      <w:r>
        <w:t xml:space="preserve">haracteristics and the new information will provide the agencies with greater insight into the risks associated with the various </w:t>
      </w:r>
      <w:r w:rsidRPr="002F68A2">
        <w:t>collateralized structured financial products.</w:t>
      </w:r>
      <w:r>
        <w:t xml:space="preserve">  </w:t>
      </w:r>
      <w:r w:rsidRPr="002F68A2">
        <w:t>The</w:t>
      </w:r>
      <w:r>
        <w:t xml:space="preserve"> structured financial products</w:t>
      </w:r>
      <w:r w:rsidRPr="002F68A2">
        <w:t xml:space="preserve"> would be reported according to the following types</w:t>
      </w:r>
      <w:r>
        <w:t xml:space="preserve"> of collateral</w:t>
      </w:r>
      <w:r w:rsidRPr="002F68A2">
        <w:t>:</w:t>
      </w:r>
    </w:p>
    <w:p w:rsidR="00414C5D" w:rsidRDefault="00414C5D" w:rsidP="00BA5648">
      <w:pPr>
        <w:widowControl/>
        <w:numPr>
          <w:ilvl w:val="0"/>
          <w:numId w:val="12"/>
        </w:numPr>
        <w:tabs>
          <w:tab w:val="clear" w:pos="720"/>
          <w:tab w:val="num" w:pos="0"/>
        </w:tabs>
        <w:autoSpaceDE/>
        <w:autoSpaceDN/>
        <w:adjustRightInd/>
        <w:ind w:left="360"/>
        <w:jc w:val="both"/>
      </w:pPr>
      <w:r>
        <w:t>T</w:t>
      </w:r>
      <w:r w:rsidRPr="002F68A2">
        <w:t>rust preferred securities issued by financial institution</w:t>
      </w:r>
      <w:r>
        <w:t>s;</w:t>
      </w:r>
      <w:r w:rsidRPr="002F68A2">
        <w:t xml:space="preserve"> </w:t>
      </w:r>
    </w:p>
    <w:p w:rsidR="00414C5D" w:rsidRDefault="00414C5D" w:rsidP="00BA5648">
      <w:pPr>
        <w:widowControl/>
        <w:numPr>
          <w:ilvl w:val="0"/>
          <w:numId w:val="12"/>
        </w:numPr>
        <w:tabs>
          <w:tab w:val="clear" w:pos="720"/>
          <w:tab w:val="num" w:pos="0"/>
        </w:tabs>
        <w:autoSpaceDE/>
        <w:autoSpaceDN/>
        <w:adjustRightInd/>
        <w:ind w:left="360"/>
        <w:jc w:val="both"/>
      </w:pPr>
      <w:r>
        <w:t>Trust preferred securities issued by r</w:t>
      </w:r>
      <w:r w:rsidRPr="002F68A2">
        <w:t xml:space="preserve">eal </w:t>
      </w:r>
      <w:r>
        <w:t>e</w:t>
      </w:r>
      <w:r w:rsidRPr="002F68A2">
        <w:t xml:space="preserve">state </w:t>
      </w:r>
      <w:r>
        <w:t>i</w:t>
      </w:r>
      <w:r w:rsidRPr="002F68A2">
        <w:t xml:space="preserve">nvestment </w:t>
      </w:r>
      <w:r>
        <w:t>t</w:t>
      </w:r>
      <w:r w:rsidRPr="002F68A2">
        <w:t>rusts</w:t>
      </w:r>
      <w:r>
        <w:t>;</w:t>
      </w:r>
    </w:p>
    <w:p w:rsidR="00414C5D" w:rsidRDefault="00414C5D" w:rsidP="00BA5648">
      <w:pPr>
        <w:widowControl/>
        <w:numPr>
          <w:ilvl w:val="0"/>
          <w:numId w:val="12"/>
        </w:numPr>
        <w:tabs>
          <w:tab w:val="clear" w:pos="720"/>
          <w:tab w:val="num" w:pos="0"/>
        </w:tabs>
        <w:autoSpaceDE/>
        <w:autoSpaceDN/>
        <w:adjustRightInd/>
        <w:ind w:left="360"/>
        <w:jc w:val="both"/>
      </w:pPr>
      <w:r>
        <w:t>C</w:t>
      </w:r>
      <w:r w:rsidRPr="002F68A2">
        <w:t>o</w:t>
      </w:r>
      <w:r>
        <w:t>rporate</w:t>
      </w:r>
      <w:r w:rsidRPr="002F68A2">
        <w:t xml:space="preserve"> </w:t>
      </w:r>
      <w:r>
        <w:t xml:space="preserve">and similar </w:t>
      </w:r>
      <w:r w:rsidRPr="002F68A2">
        <w:t>loans</w:t>
      </w:r>
      <w:r>
        <w:t>;</w:t>
      </w:r>
      <w:r>
        <w:rPr>
          <w:rStyle w:val="FootnoteReference"/>
        </w:rPr>
        <w:footnoteReference w:id="9"/>
      </w:r>
      <w:r w:rsidRPr="002F68A2">
        <w:t xml:space="preserve"> </w:t>
      </w:r>
    </w:p>
    <w:p w:rsidR="00414C5D" w:rsidRPr="00F075BE" w:rsidRDefault="00414C5D" w:rsidP="00BA5648">
      <w:pPr>
        <w:widowControl/>
        <w:numPr>
          <w:ilvl w:val="0"/>
          <w:numId w:val="12"/>
        </w:numPr>
        <w:tabs>
          <w:tab w:val="clear" w:pos="720"/>
          <w:tab w:val="num" w:pos="0"/>
        </w:tabs>
        <w:autoSpaceDE/>
        <w:autoSpaceDN/>
        <w:adjustRightInd/>
        <w:ind w:hanging="720"/>
        <w:jc w:val="both"/>
        <w:rPr>
          <w:rStyle w:val="Emphasis"/>
          <w:i w:val="0"/>
          <w:iCs w:val="0"/>
        </w:rPr>
      </w:pPr>
      <w:r w:rsidRPr="002F68A2">
        <w:t xml:space="preserve">1-4 family residential </w:t>
      </w:r>
      <w:r>
        <w:t xml:space="preserve">MBS issued or </w:t>
      </w:r>
      <w:r w:rsidRPr="002F68A2">
        <w:t xml:space="preserve">guaranteed by </w:t>
      </w:r>
      <w:smartTag w:uri="urn:schemas-microsoft-com:office:smarttags" w:element="country-region">
        <w:smartTag w:uri="urn:schemas-microsoft-com:office:smarttags" w:element="place">
          <w:r>
            <w:t>U.S.</w:t>
          </w:r>
        </w:smartTag>
      </w:smartTag>
      <w:r>
        <w:t xml:space="preserve"> g</w:t>
      </w:r>
      <w:r w:rsidRPr="006B79FD">
        <w:rPr>
          <w:color w:val="000000"/>
        </w:rPr>
        <w:t>overnment</w:t>
      </w:r>
      <w:r>
        <w:rPr>
          <w:color w:val="000000"/>
        </w:rPr>
        <w:t>-s</w:t>
      </w:r>
      <w:r w:rsidRPr="006B79FD">
        <w:rPr>
          <w:color w:val="000000"/>
        </w:rPr>
        <w:t xml:space="preserve">ponsored </w:t>
      </w:r>
      <w:r>
        <w:rPr>
          <w:color w:val="000000"/>
        </w:rPr>
        <w:t>e</w:t>
      </w:r>
      <w:r w:rsidRPr="006B79FD">
        <w:rPr>
          <w:color w:val="000000"/>
        </w:rPr>
        <w:t>nterprises (</w:t>
      </w:r>
      <w:r w:rsidRPr="006B79FD">
        <w:rPr>
          <w:rStyle w:val="Emphasis"/>
          <w:i w:val="0"/>
          <w:color w:val="000000"/>
        </w:rPr>
        <w:t>GSEs)</w:t>
      </w:r>
      <w:r>
        <w:rPr>
          <w:rStyle w:val="Emphasis"/>
          <w:i w:val="0"/>
          <w:color w:val="000000"/>
        </w:rPr>
        <w:t>;</w:t>
      </w:r>
    </w:p>
    <w:p w:rsidR="00414C5D" w:rsidRDefault="00414C5D" w:rsidP="00BA5648">
      <w:pPr>
        <w:widowControl/>
        <w:numPr>
          <w:ilvl w:val="0"/>
          <w:numId w:val="12"/>
        </w:numPr>
        <w:tabs>
          <w:tab w:val="clear" w:pos="720"/>
          <w:tab w:val="num" w:pos="0"/>
        </w:tabs>
        <w:autoSpaceDE/>
        <w:autoSpaceDN/>
        <w:adjustRightInd/>
        <w:ind w:left="360"/>
        <w:jc w:val="both"/>
      </w:pPr>
      <w:r w:rsidRPr="006B79FD">
        <w:rPr>
          <w:rStyle w:val="Emphasis"/>
          <w:i w:val="0"/>
          <w:color w:val="000000"/>
        </w:rPr>
        <w:t xml:space="preserve">1-4 family residential </w:t>
      </w:r>
      <w:r>
        <w:rPr>
          <w:rStyle w:val="Emphasis"/>
          <w:i w:val="0"/>
          <w:color w:val="000000"/>
        </w:rPr>
        <w:t>MBS</w:t>
      </w:r>
      <w:r w:rsidRPr="001C69E7">
        <w:rPr>
          <w:rStyle w:val="Emphasis"/>
          <w:i w:val="0"/>
          <w:color w:val="000000"/>
        </w:rPr>
        <w:t xml:space="preserve"> </w:t>
      </w:r>
      <w:r w:rsidRPr="001C69E7">
        <w:t>not</w:t>
      </w:r>
      <w:r w:rsidRPr="002F68A2">
        <w:t xml:space="preserve"> </w:t>
      </w:r>
      <w:r>
        <w:t xml:space="preserve">issued or </w:t>
      </w:r>
      <w:r w:rsidRPr="002F68A2">
        <w:t>guaranteed by GSEs</w:t>
      </w:r>
      <w:r>
        <w:t>;</w:t>
      </w:r>
      <w:r w:rsidRPr="002F68A2">
        <w:t xml:space="preserve"> </w:t>
      </w:r>
    </w:p>
    <w:p w:rsidR="00414C5D" w:rsidRDefault="00414C5D" w:rsidP="00BA5648">
      <w:pPr>
        <w:widowControl/>
        <w:numPr>
          <w:ilvl w:val="0"/>
          <w:numId w:val="12"/>
        </w:numPr>
        <w:tabs>
          <w:tab w:val="clear" w:pos="720"/>
          <w:tab w:val="num" w:pos="0"/>
        </w:tabs>
        <w:autoSpaceDE/>
        <w:autoSpaceDN/>
        <w:adjustRightInd/>
        <w:ind w:hanging="720"/>
        <w:jc w:val="both"/>
      </w:pPr>
      <w:r>
        <w:t>D</w:t>
      </w:r>
      <w:r w:rsidRPr="002F68A2">
        <w:t>iversified (mixed) pool</w:t>
      </w:r>
      <w:r>
        <w:t>s</w:t>
      </w:r>
      <w:r w:rsidRPr="002F68A2">
        <w:t xml:space="preserve"> of structured financ</w:t>
      </w:r>
      <w:r>
        <w:t>ial</w:t>
      </w:r>
      <w:r w:rsidRPr="002F68A2">
        <w:t xml:space="preserve"> products </w:t>
      </w:r>
      <w:r>
        <w:t xml:space="preserve">such as </w:t>
      </w:r>
      <w:r w:rsidRPr="002F68A2">
        <w:t xml:space="preserve">CDOs </w:t>
      </w:r>
      <w:r>
        <w:t>squared and cubed</w:t>
      </w:r>
      <w:r w:rsidRPr="002F68A2">
        <w:t xml:space="preserve"> (</w:t>
      </w:r>
      <w:r>
        <w:t xml:space="preserve">also known as </w:t>
      </w:r>
      <w:r w:rsidRPr="002F68A2">
        <w:t>“pools of pools”)</w:t>
      </w:r>
      <w:r>
        <w:t>; and</w:t>
      </w:r>
    </w:p>
    <w:p w:rsidR="00414C5D" w:rsidRDefault="00414C5D" w:rsidP="00BA5648">
      <w:pPr>
        <w:widowControl/>
        <w:numPr>
          <w:ilvl w:val="0"/>
          <w:numId w:val="12"/>
        </w:numPr>
        <w:tabs>
          <w:tab w:val="clear" w:pos="720"/>
          <w:tab w:val="num" w:pos="0"/>
        </w:tabs>
        <w:autoSpaceDE/>
        <w:autoSpaceDN/>
        <w:adjustRightInd/>
        <w:ind w:left="360"/>
        <w:jc w:val="both"/>
      </w:pPr>
      <w:r>
        <w:t>O</w:t>
      </w:r>
      <w:r w:rsidRPr="002F68A2">
        <w:t xml:space="preserve">ther collateral.  </w:t>
      </w:r>
    </w:p>
    <w:p w:rsidR="001E6FA6" w:rsidRDefault="001E6FA6" w:rsidP="00414C5D">
      <w:pPr>
        <w:ind w:firstLine="720"/>
        <w:jc w:val="both"/>
      </w:pPr>
    </w:p>
    <w:p w:rsidR="00414C5D" w:rsidRPr="002F68A2" w:rsidRDefault="00414C5D" w:rsidP="00414C5D">
      <w:pPr>
        <w:ind w:firstLine="720"/>
        <w:jc w:val="both"/>
      </w:pPr>
      <w:r>
        <w:t>In Schedule RC</w:t>
      </w:r>
      <w:r>
        <w:noBreakHyphen/>
        <w:t>B, amortized cost and fair value would be reported by the predominant type of collateral supporting the structure based on whether the products are classified as</w:t>
      </w:r>
      <w:r w:rsidRPr="002F68A2">
        <w:t xml:space="preserve"> </w:t>
      </w:r>
      <w:r>
        <w:t>h</w:t>
      </w:r>
      <w:r w:rsidRPr="002F68A2">
        <w:t>eld</w:t>
      </w:r>
      <w:r>
        <w:t>-</w:t>
      </w:r>
      <w:r w:rsidRPr="002F68A2">
        <w:t>to</w:t>
      </w:r>
      <w:r>
        <w:t>-m</w:t>
      </w:r>
      <w:r w:rsidRPr="002F68A2">
        <w:t xml:space="preserve">aturity </w:t>
      </w:r>
      <w:r>
        <w:t>or a</w:t>
      </w:r>
      <w:r w:rsidRPr="002F68A2">
        <w:t>vailable-for-</w:t>
      </w:r>
      <w:r>
        <w:t>s</w:t>
      </w:r>
      <w:r w:rsidRPr="002F68A2">
        <w:t xml:space="preserve">ale.  </w:t>
      </w:r>
      <w:r>
        <w:t>In Schedule RC-D, the fair value of these products would be reported by predominant type of collateral supporting the structure.</w:t>
      </w:r>
      <w:r w:rsidRPr="002F68A2">
        <w:t xml:space="preserve">    </w:t>
      </w:r>
    </w:p>
    <w:p w:rsidR="00414C5D" w:rsidRDefault="00414C5D" w:rsidP="00414C5D">
      <w:pPr>
        <w:pStyle w:val="body"/>
        <w:spacing w:before="0" w:beforeAutospacing="0" w:after="0" w:afterAutospacing="0"/>
        <w:jc w:val="both"/>
      </w:pPr>
    </w:p>
    <w:p w:rsidR="00414C5D" w:rsidRDefault="00414C5D" w:rsidP="00414C5D">
      <w:pPr>
        <w:pStyle w:val="body"/>
        <w:spacing w:before="0" w:beforeAutospacing="0" w:after="0" w:afterAutospacing="0"/>
        <w:jc w:val="both"/>
        <w:rPr>
          <w:u w:val="single"/>
        </w:rPr>
      </w:pPr>
      <w:r>
        <w:rPr>
          <w:u w:val="single"/>
        </w:rPr>
        <w:lastRenderedPageBreak/>
        <w:t>C.  Holdings of Commercial Mortgage-Backed Securities</w:t>
      </w:r>
    </w:p>
    <w:p w:rsidR="00414C5D" w:rsidRDefault="00414C5D" w:rsidP="00414C5D">
      <w:pPr>
        <w:pStyle w:val="body"/>
        <w:spacing w:before="0" w:beforeAutospacing="0" w:after="0" w:afterAutospacing="0"/>
        <w:jc w:val="both"/>
        <w:rPr>
          <w:u w:val="single"/>
        </w:rPr>
      </w:pPr>
    </w:p>
    <w:p w:rsidR="00414C5D" w:rsidRDefault="00414C5D" w:rsidP="00414C5D">
      <w:pPr>
        <w:pStyle w:val="body"/>
        <w:spacing w:before="0" w:beforeAutospacing="0" w:after="0" w:afterAutospacing="0"/>
        <w:jc w:val="both"/>
      </w:pPr>
      <w:r w:rsidRPr="008661AE">
        <w:tab/>
        <w:t xml:space="preserve">At present, all banks report information on their holdings of held-to-maturity and available-for-sale MBS in Schedule RC-B, Securities, without distinguishing between residential and commercial MBS.  Banks with average trading assets of $2 million or more in any of the four preceding calendar quarters provide information on MBS held for trading in Schedule RC-D, but only those with average trading assets of $1 billion or more disclose the amount of their residential and commercial MBS.  </w:t>
      </w:r>
    </w:p>
    <w:p w:rsidR="00414C5D" w:rsidRPr="008661AE" w:rsidRDefault="00414C5D" w:rsidP="00414C5D">
      <w:pPr>
        <w:pStyle w:val="body"/>
        <w:jc w:val="both"/>
      </w:pPr>
      <w:r w:rsidRPr="008661AE">
        <w:tab/>
        <w:t>Differences in residential mortgages and commercial mortgages carry through to MBS backed by these two types of mortgages.  In contrast to residential mortgage loans, commercial mortgage loans are normally nonrecourse, which means that if the borrower defaults, the creditor cannot seize any other assets of the borrower.  As a consequence, the ability of the underlying commercial real estate to produce income and the value of the property are key factors when assessing the credit risk of commercial MBS.  In addition, the prepayment risk of commercial MBS is lower than on residential MBS because commercial mortgages normally place restrictions on prepayment that typically are not present on residential mortgages.  Furthermore, the residential real estate market often performs differently than the commercial real estate market.</w:t>
      </w:r>
    </w:p>
    <w:p w:rsidR="00414C5D" w:rsidRPr="008661AE" w:rsidRDefault="00414C5D" w:rsidP="00414C5D">
      <w:pPr>
        <w:pStyle w:val="body"/>
        <w:jc w:val="both"/>
      </w:pPr>
      <w:r w:rsidRPr="008661AE">
        <w:tab/>
        <w:t>Given the differences between residential and commercial MBS, the agencies are proposing to revise the reporting of MBS in Schedule RC-B, Securities, and Schedule RC-D, Trading Assets and Liabilities, in order to separately identify and track bank holdings of commercial MBS.  In Schedule RC-B, items 4.a, “Pass-through securities,” and 4.b, “Other mortgage-backed securities,” would be revised to cover only residential MBS.  New items 4.c</w:t>
      </w:r>
      <w:proofErr w:type="gramStart"/>
      <w:r w:rsidRPr="008661AE">
        <w:t>.(</w:t>
      </w:r>
      <w:proofErr w:type="gramEnd"/>
      <w:r w:rsidRPr="008661AE">
        <w:t xml:space="preserve">1) and (2) would be added for “Commercial pass-through securities” and “Other commercial mortgage-backed securities.”  Similarly, in Schedule RC-D, items 4.a through 4.c would cover only residential MBS and a new item 4.d would collect data on “Commercial mortgage-backed securities.”  These new and revised items would replace Memorandum items 4.a, “Residential mortgage-backed securities,” and 4.b, “Commercial mortgage-backed securities,” in Schedule RC-D, which are currently completed only by banks with average trading assets of $1 billion or more in any of the four preceding calendar quarters.   </w:t>
      </w:r>
    </w:p>
    <w:p w:rsidR="001E6FA6" w:rsidRDefault="001E6FA6" w:rsidP="00414C5D">
      <w:pPr>
        <w:pStyle w:val="body"/>
        <w:spacing w:before="0" w:beforeAutospacing="0" w:after="0" w:afterAutospacing="0"/>
        <w:jc w:val="both"/>
        <w:rPr>
          <w:u w:val="single"/>
        </w:rPr>
      </w:pPr>
    </w:p>
    <w:p w:rsidR="00414C5D" w:rsidRDefault="00414C5D" w:rsidP="00414C5D">
      <w:pPr>
        <w:pStyle w:val="body"/>
        <w:spacing w:before="0" w:beforeAutospacing="0" w:after="0" w:afterAutospacing="0"/>
        <w:jc w:val="both"/>
        <w:rPr>
          <w:u w:val="single"/>
        </w:rPr>
      </w:pPr>
      <w:r>
        <w:rPr>
          <w:u w:val="single"/>
        </w:rPr>
        <w:t>D</w:t>
      </w:r>
      <w:r w:rsidRPr="00245CB2">
        <w:rPr>
          <w:u w:val="single"/>
        </w:rPr>
        <w:t xml:space="preserve">. </w:t>
      </w:r>
      <w:r>
        <w:rPr>
          <w:u w:val="single"/>
        </w:rPr>
        <w:t xml:space="preserve"> </w:t>
      </w:r>
      <w:r w:rsidRPr="00245CB2">
        <w:rPr>
          <w:u w:val="single"/>
        </w:rPr>
        <w:t xml:space="preserve">Unused Eligible Liquidity Facilities </w:t>
      </w:r>
      <w:r>
        <w:rPr>
          <w:u w:val="single"/>
        </w:rPr>
        <w:t>for</w:t>
      </w:r>
      <w:r w:rsidRPr="00245CB2">
        <w:rPr>
          <w:u w:val="single"/>
        </w:rPr>
        <w:t xml:space="preserve"> Asset-Backed Commercial Paper </w:t>
      </w:r>
      <w:r>
        <w:rPr>
          <w:u w:val="single"/>
        </w:rPr>
        <w:t xml:space="preserve">(ABCP) </w:t>
      </w:r>
      <w:r w:rsidRPr="00245CB2">
        <w:rPr>
          <w:u w:val="single"/>
        </w:rPr>
        <w:t xml:space="preserve">Conduits </w:t>
      </w:r>
      <w:r>
        <w:rPr>
          <w:u w:val="single"/>
        </w:rPr>
        <w:t>w</w:t>
      </w:r>
      <w:r w:rsidRPr="00245CB2">
        <w:rPr>
          <w:u w:val="single"/>
        </w:rPr>
        <w:t>ith an Original Maturity of One Year or Less</w:t>
      </w:r>
    </w:p>
    <w:p w:rsidR="00414C5D" w:rsidRPr="00245CB2" w:rsidRDefault="00414C5D" w:rsidP="00414C5D">
      <w:pPr>
        <w:pStyle w:val="body"/>
        <w:spacing w:before="0" w:beforeAutospacing="0" w:after="0" w:afterAutospacing="0"/>
        <w:jc w:val="both"/>
        <w:rPr>
          <w:u w:val="single"/>
        </w:rPr>
      </w:pPr>
    </w:p>
    <w:p w:rsidR="00414C5D" w:rsidRDefault="00414C5D" w:rsidP="00414C5D">
      <w:pPr>
        <w:pStyle w:val="body"/>
        <w:spacing w:before="0" w:beforeAutospacing="0" w:after="0" w:afterAutospacing="0"/>
        <w:ind w:firstLine="720"/>
        <w:jc w:val="both"/>
      </w:pPr>
      <w:r w:rsidRPr="00354E0E">
        <w:t>Under the agencies’ risk-based capital guidelines, banks are required to hold capital against the unused portions of eligible liquidity facilities that provide support to ABCP programs.  The capital guidelines apply different risk-based capital requirements to eligible liquidity facilities based on the original maturity of the facilities.  Banks are currently required to hold less capital against eligible liquidity facilities with original maturities of one year or less than against liquidity facilities with original maturities in excess of one year.  However, because of the current structure of Schedule RC-R</w:t>
      </w:r>
      <w:r>
        <w:t>,</w:t>
      </w:r>
      <w:r w:rsidRPr="00354E0E">
        <w:t xml:space="preserve"> Regulatory Capital, </w:t>
      </w:r>
      <w:r>
        <w:t xml:space="preserve">the instructions for the schedule direct </w:t>
      </w:r>
      <w:r w:rsidRPr="00354E0E">
        <w:t xml:space="preserve">banks </w:t>
      </w:r>
      <w:r>
        <w:t>to</w:t>
      </w:r>
      <w:r w:rsidRPr="00354E0E">
        <w:t xml:space="preserve"> report the credit equivalent amount of both types of eligible liquidity facilities in item 53, “Unused commitments with an original maturity exceeding one year</w:t>
      </w:r>
      <w:r>
        <w:t>.</w:t>
      </w:r>
      <w:r w:rsidRPr="00354E0E">
        <w:t xml:space="preserve">”  The reporting of both types of eligible </w:t>
      </w:r>
      <w:r>
        <w:t xml:space="preserve">liquidity </w:t>
      </w:r>
      <w:r w:rsidRPr="00354E0E">
        <w:t xml:space="preserve">facilities in a single item has been accomplished by having banks </w:t>
      </w:r>
      <w:r w:rsidRPr="00354E0E">
        <w:lastRenderedPageBreak/>
        <w:t xml:space="preserve">adjust the credit equivalent amount of eligible liquidity facilities with original maturities of one year or less to produce the effect of the lower capital charge applicable to such liquidity facilities.  This approach does not promote transparency with respect to the actual credit equivalent amount of eligible liquidity facilities with original maturities of one year or less and does not allow for verification of the accuracy of the </w:t>
      </w:r>
      <w:r>
        <w:t xml:space="preserve">credit converting and </w:t>
      </w:r>
      <w:r w:rsidRPr="00354E0E">
        <w:t>risk</w:t>
      </w:r>
      <w:r>
        <w:t xml:space="preserve"> </w:t>
      </w:r>
      <w:r w:rsidRPr="00354E0E">
        <w:t xml:space="preserve">weighting of these exposures.   </w:t>
      </w:r>
    </w:p>
    <w:p w:rsidR="001E6FA6" w:rsidRPr="00354E0E" w:rsidRDefault="001E6FA6" w:rsidP="00414C5D">
      <w:pPr>
        <w:pStyle w:val="body"/>
        <w:spacing w:before="0" w:beforeAutospacing="0" w:after="0" w:afterAutospacing="0"/>
        <w:ind w:firstLine="720"/>
        <w:jc w:val="both"/>
      </w:pPr>
    </w:p>
    <w:p w:rsidR="00414C5D" w:rsidRPr="00354E0E" w:rsidRDefault="00414C5D" w:rsidP="00414C5D">
      <w:pPr>
        <w:pStyle w:val="body"/>
        <w:spacing w:before="0" w:beforeAutospacing="0" w:after="0" w:afterAutospacing="0"/>
        <w:ind w:firstLine="720"/>
        <w:jc w:val="both"/>
      </w:pPr>
      <w:r w:rsidRPr="00354E0E">
        <w:t xml:space="preserve">To address these concerns, the agencies propose to renumber Schedule RC-R, item 53 as item 53.a and add a new item 53.b, “Unused commitments </w:t>
      </w:r>
      <w:r>
        <w:t xml:space="preserve">with an original maturity of one year or less </w:t>
      </w:r>
      <w:r w:rsidRPr="00354E0E">
        <w:t>to asset-backed commercial paper conduits,” to</w:t>
      </w:r>
      <w:r>
        <w:t xml:space="preserve"> Schedule RC</w:t>
      </w:r>
      <w:r>
        <w:noBreakHyphen/>
      </w:r>
      <w:r w:rsidRPr="00354E0E">
        <w:t xml:space="preserve">R.  The credit conversion factor applied to amounts reported in item 53.b, column A, would be 10 percent.  </w:t>
      </w:r>
    </w:p>
    <w:p w:rsidR="00414C5D" w:rsidRDefault="00414C5D" w:rsidP="00414C5D">
      <w:pPr>
        <w:pStyle w:val="body"/>
        <w:spacing w:before="0" w:beforeAutospacing="0" w:after="0" w:afterAutospacing="0"/>
        <w:jc w:val="both"/>
        <w:rPr>
          <w:u w:val="single"/>
        </w:rPr>
      </w:pPr>
    </w:p>
    <w:p w:rsidR="00414C5D" w:rsidRPr="00E20246" w:rsidRDefault="00414C5D" w:rsidP="00414C5D">
      <w:pPr>
        <w:pStyle w:val="body"/>
        <w:spacing w:before="0" w:beforeAutospacing="0" w:after="0" w:afterAutospacing="0"/>
        <w:jc w:val="both"/>
        <w:rPr>
          <w:u w:val="single"/>
        </w:rPr>
      </w:pPr>
      <w:r>
        <w:rPr>
          <w:u w:val="single"/>
        </w:rPr>
        <w:t>E</w:t>
      </w:r>
      <w:r w:rsidRPr="00E20246">
        <w:rPr>
          <w:u w:val="single"/>
        </w:rPr>
        <w:t xml:space="preserve">. </w:t>
      </w:r>
      <w:r>
        <w:rPr>
          <w:u w:val="single"/>
        </w:rPr>
        <w:t xml:space="preserve"> </w:t>
      </w:r>
      <w:r w:rsidRPr="00E20246">
        <w:rPr>
          <w:u w:val="single"/>
        </w:rPr>
        <w:t>Fair Value Measurements</w:t>
      </w:r>
    </w:p>
    <w:p w:rsidR="00414C5D" w:rsidRDefault="00414C5D" w:rsidP="00414C5D">
      <w:pPr>
        <w:pStyle w:val="body"/>
        <w:spacing w:before="0" w:beforeAutospacing="0" w:after="0" w:afterAutospacing="0"/>
        <w:jc w:val="both"/>
      </w:pPr>
    </w:p>
    <w:p w:rsidR="00414C5D" w:rsidRDefault="00414C5D" w:rsidP="00414C5D">
      <w:pPr>
        <w:pStyle w:val="body"/>
        <w:spacing w:before="0" w:beforeAutospacing="0" w:after="0" w:afterAutospacing="0"/>
        <w:ind w:firstLine="720"/>
        <w:jc w:val="both"/>
      </w:pPr>
      <w:r>
        <w:t xml:space="preserve">Effective for the </w:t>
      </w:r>
      <w:smartTag w:uri="urn:schemas-microsoft-com:office:smarttags" w:element="date">
        <w:smartTagPr>
          <w:attr w:name="Year" w:val="2007"/>
          <w:attr w:name="Day" w:val="31"/>
          <w:attr w:name="Month" w:val="3"/>
        </w:smartTagPr>
        <w:r>
          <w:t>March 31, 2007</w:t>
        </w:r>
      </w:smartTag>
      <w:r>
        <w:t xml:space="preserve">, report date, the banking agencies began collecting information on certain assets and liabilities measured at fair value on Call Report Schedule RC-Q, Financial Assets and Liabilities Measured at Fair Value.  Currently, this schedule </w:t>
      </w:r>
      <w:r w:rsidRPr="002B5554">
        <w:t>is completed by banks with a significant level of trading activi</w:t>
      </w:r>
      <w:r>
        <w:t>ty</w:t>
      </w:r>
      <w:r w:rsidRPr="002B5554">
        <w:t xml:space="preserve"> or </w:t>
      </w:r>
      <w:r>
        <w:t xml:space="preserve">that use a fair value option.  The information collected on Schedule RC-Q is intended to be consistent with the fair value disclosures and other requirements in FASB Statement No. 157, </w:t>
      </w:r>
      <w:r w:rsidRPr="00501D23">
        <w:rPr>
          <w:i/>
        </w:rPr>
        <w:t>Fair Value Measurements</w:t>
      </w:r>
      <w:r>
        <w:t xml:space="preserve"> (FAS 157).  </w:t>
      </w:r>
    </w:p>
    <w:p w:rsidR="001E6FA6" w:rsidRDefault="001E6FA6" w:rsidP="00414C5D">
      <w:pPr>
        <w:pStyle w:val="body"/>
        <w:spacing w:before="0" w:beforeAutospacing="0" w:after="0" w:afterAutospacing="0"/>
        <w:ind w:firstLine="720"/>
        <w:jc w:val="both"/>
      </w:pPr>
    </w:p>
    <w:p w:rsidR="00414C5D" w:rsidRDefault="00414C5D" w:rsidP="00414C5D">
      <w:pPr>
        <w:pStyle w:val="body"/>
        <w:spacing w:before="0" w:beforeAutospacing="0" w:after="0" w:afterAutospacing="0"/>
        <w:ind w:firstLine="720"/>
        <w:jc w:val="both"/>
      </w:pPr>
      <w:r>
        <w:t xml:space="preserve">Based on the banking agencies’ ongoing review of industry reporting and disclosure practices since the inception of this standard, and the reporting of items at fair value on Schedule RC, Balance Sheet, the agencies are proposing to expand the data collected on Schedule RC-Q in two material respects.  </w:t>
      </w:r>
    </w:p>
    <w:p w:rsidR="001E6FA6" w:rsidRDefault="001E6FA6" w:rsidP="00414C5D">
      <w:pPr>
        <w:pStyle w:val="body"/>
        <w:spacing w:before="0" w:beforeAutospacing="0" w:after="0" w:afterAutospacing="0"/>
        <w:ind w:firstLine="720"/>
        <w:jc w:val="both"/>
      </w:pPr>
    </w:p>
    <w:p w:rsidR="00414C5D" w:rsidRDefault="00414C5D" w:rsidP="00414C5D">
      <w:pPr>
        <w:pStyle w:val="body"/>
        <w:spacing w:before="0" w:beforeAutospacing="0" w:after="0" w:afterAutospacing="0"/>
        <w:ind w:firstLine="720"/>
        <w:jc w:val="both"/>
      </w:pPr>
      <w:r>
        <w:t xml:space="preserve">First, to improve the consistency of data collected on Schedule RC-Q with the FAS 157 disclosure requirements and industry disclosure practices, the agencies are proposing to expand the detail of the collected data.  The agencies are proposing to expand the detail on Schedule RC-Q to collect fair value information on all assets and liabilities reported at fair value on a recurring basis in a manner consistent with the asset and liability breakdowns on Schedule RC.  Thus, the agencies are proposing to add items to collect fair value information on: </w:t>
      </w:r>
    </w:p>
    <w:p w:rsidR="00414C5D" w:rsidRDefault="00414C5D" w:rsidP="00BA5648">
      <w:pPr>
        <w:pStyle w:val="body"/>
        <w:numPr>
          <w:ilvl w:val="0"/>
          <w:numId w:val="14"/>
        </w:numPr>
        <w:tabs>
          <w:tab w:val="clear" w:pos="720"/>
          <w:tab w:val="num" w:pos="360"/>
        </w:tabs>
        <w:spacing w:before="0" w:beforeAutospacing="0" w:after="0" w:afterAutospacing="0"/>
        <w:ind w:hanging="720"/>
        <w:jc w:val="both"/>
      </w:pPr>
      <w:r>
        <w:t xml:space="preserve">Available-for-sale securities; </w:t>
      </w:r>
    </w:p>
    <w:p w:rsidR="00414C5D" w:rsidRDefault="00414C5D" w:rsidP="00BA5648">
      <w:pPr>
        <w:pStyle w:val="body"/>
        <w:numPr>
          <w:ilvl w:val="0"/>
          <w:numId w:val="14"/>
        </w:numPr>
        <w:tabs>
          <w:tab w:val="clear" w:pos="720"/>
          <w:tab w:val="num" w:pos="360"/>
        </w:tabs>
        <w:spacing w:before="0" w:beforeAutospacing="0" w:after="0" w:afterAutospacing="0"/>
        <w:ind w:hanging="720"/>
        <w:jc w:val="both"/>
      </w:pPr>
      <w:r>
        <w:t xml:space="preserve">Federal funds sold and securities purchased under agreements to resell; </w:t>
      </w:r>
    </w:p>
    <w:p w:rsidR="00414C5D" w:rsidRDefault="00414C5D" w:rsidP="00BA5648">
      <w:pPr>
        <w:pStyle w:val="body"/>
        <w:numPr>
          <w:ilvl w:val="0"/>
          <w:numId w:val="14"/>
        </w:numPr>
        <w:tabs>
          <w:tab w:val="clear" w:pos="720"/>
          <w:tab w:val="num" w:pos="360"/>
        </w:tabs>
        <w:spacing w:before="0" w:beforeAutospacing="0" w:after="0" w:afterAutospacing="0"/>
        <w:ind w:hanging="720"/>
        <w:jc w:val="both"/>
      </w:pPr>
      <w:r>
        <w:t xml:space="preserve">Federal funds purchased and securities sold under agreements to repurchase; </w:t>
      </w:r>
    </w:p>
    <w:p w:rsidR="00414C5D" w:rsidRDefault="00414C5D" w:rsidP="00BA5648">
      <w:pPr>
        <w:pStyle w:val="body"/>
        <w:numPr>
          <w:ilvl w:val="0"/>
          <w:numId w:val="14"/>
        </w:numPr>
        <w:tabs>
          <w:tab w:val="clear" w:pos="720"/>
          <w:tab w:val="num" w:pos="360"/>
        </w:tabs>
        <w:spacing w:before="0" w:beforeAutospacing="0" w:after="0" w:afterAutospacing="0"/>
        <w:ind w:hanging="720"/>
        <w:jc w:val="both"/>
      </w:pPr>
      <w:r>
        <w:t>Other borrowed money; and</w:t>
      </w:r>
    </w:p>
    <w:p w:rsidR="00414C5D" w:rsidRDefault="00414C5D" w:rsidP="00BA5648">
      <w:pPr>
        <w:pStyle w:val="body"/>
        <w:numPr>
          <w:ilvl w:val="0"/>
          <w:numId w:val="14"/>
        </w:numPr>
        <w:tabs>
          <w:tab w:val="clear" w:pos="720"/>
          <w:tab w:val="num" w:pos="360"/>
        </w:tabs>
        <w:spacing w:before="0" w:beforeAutospacing="0" w:after="0" w:afterAutospacing="0"/>
        <w:ind w:hanging="720"/>
        <w:jc w:val="both"/>
      </w:pPr>
      <w:r>
        <w:t xml:space="preserve">Subordinated notes and debentures.  </w:t>
      </w:r>
    </w:p>
    <w:p w:rsidR="001E6FA6" w:rsidRDefault="001E6FA6" w:rsidP="00414C5D">
      <w:pPr>
        <w:pStyle w:val="body"/>
        <w:spacing w:before="0" w:beforeAutospacing="0" w:after="0" w:afterAutospacing="0"/>
        <w:ind w:firstLine="720"/>
        <w:jc w:val="both"/>
      </w:pPr>
    </w:p>
    <w:p w:rsidR="001E6FA6" w:rsidRDefault="00414C5D" w:rsidP="00414C5D">
      <w:pPr>
        <w:pStyle w:val="body"/>
        <w:spacing w:before="0" w:beforeAutospacing="0" w:after="0" w:afterAutospacing="0"/>
        <w:ind w:firstLine="720"/>
        <w:jc w:val="both"/>
      </w:pPr>
      <w:r>
        <w:t xml:space="preserve">The agencies also are proposing to modify the existing collection of loan and lease data and </w:t>
      </w:r>
    </w:p>
    <w:p w:rsidR="00414C5D" w:rsidRDefault="00414C5D" w:rsidP="001E6FA6">
      <w:pPr>
        <w:pStyle w:val="body"/>
        <w:spacing w:before="0" w:beforeAutospacing="0" w:after="0" w:afterAutospacing="0"/>
        <w:jc w:val="both"/>
      </w:pPr>
      <w:proofErr w:type="gramStart"/>
      <w:r>
        <w:t>trading</w:t>
      </w:r>
      <w:proofErr w:type="gramEnd"/>
      <w:r>
        <w:t xml:space="preserve"> asset and liability data to collect data separately for:</w:t>
      </w:r>
    </w:p>
    <w:p w:rsidR="00414C5D" w:rsidRDefault="00414C5D" w:rsidP="00BA5648">
      <w:pPr>
        <w:pStyle w:val="body"/>
        <w:numPr>
          <w:ilvl w:val="0"/>
          <w:numId w:val="13"/>
        </w:numPr>
        <w:tabs>
          <w:tab w:val="clear" w:pos="780"/>
          <w:tab w:val="num" w:pos="360"/>
        </w:tabs>
        <w:spacing w:before="0" w:beforeAutospacing="0" w:after="0" w:afterAutospacing="0"/>
        <w:ind w:hanging="780"/>
        <w:jc w:val="both"/>
      </w:pPr>
      <w:r>
        <w:t xml:space="preserve">Loans and leases held for sale; </w:t>
      </w:r>
    </w:p>
    <w:p w:rsidR="00414C5D" w:rsidRDefault="00414C5D" w:rsidP="00BA5648">
      <w:pPr>
        <w:pStyle w:val="body"/>
        <w:numPr>
          <w:ilvl w:val="0"/>
          <w:numId w:val="13"/>
        </w:numPr>
        <w:tabs>
          <w:tab w:val="clear" w:pos="780"/>
          <w:tab w:val="num" w:pos="360"/>
        </w:tabs>
        <w:spacing w:before="0" w:beforeAutospacing="0" w:after="0" w:afterAutospacing="0"/>
        <w:ind w:hanging="780"/>
        <w:jc w:val="both"/>
      </w:pPr>
      <w:r>
        <w:t>Loans and leases held for investment;</w:t>
      </w:r>
    </w:p>
    <w:p w:rsidR="00414C5D" w:rsidRDefault="00414C5D" w:rsidP="00BA5648">
      <w:pPr>
        <w:pStyle w:val="body"/>
        <w:numPr>
          <w:ilvl w:val="0"/>
          <w:numId w:val="13"/>
        </w:numPr>
        <w:tabs>
          <w:tab w:val="clear" w:pos="780"/>
          <w:tab w:val="num" w:pos="360"/>
        </w:tabs>
        <w:spacing w:before="0" w:beforeAutospacing="0" w:after="0" w:afterAutospacing="0"/>
        <w:ind w:hanging="780"/>
        <w:jc w:val="both"/>
      </w:pPr>
      <w:r>
        <w:t xml:space="preserve">Trading derivative assets; </w:t>
      </w:r>
    </w:p>
    <w:p w:rsidR="00414C5D" w:rsidRDefault="00414C5D" w:rsidP="00BA5648">
      <w:pPr>
        <w:pStyle w:val="body"/>
        <w:numPr>
          <w:ilvl w:val="0"/>
          <w:numId w:val="13"/>
        </w:numPr>
        <w:tabs>
          <w:tab w:val="clear" w:pos="780"/>
          <w:tab w:val="num" w:pos="360"/>
        </w:tabs>
        <w:spacing w:before="0" w:beforeAutospacing="0" w:after="0" w:afterAutospacing="0"/>
        <w:ind w:hanging="780"/>
        <w:jc w:val="both"/>
      </w:pPr>
      <w:r>
        <w:t>Other trading assets;</w:t>
      </w:r>
    </w:p>
    <w:p w:rsidR="00414C5D" w:rsidRDefault="00414C5D" w:rsidP="00BA5648">
      <w:pPr>
        <w:pStyle w:val="body"/>
        <w:numPr>
          <w:ilvl w:val="0"/>
          <w:numId w:val="13"/>
        </w:numPr>
        <w:tabs>
          <w:tab w:val="clear" w:pos="780"/>
          <w:tab w:val="num" w:pos="360"/>
        </w:tabs>
        <w:spacing w:before="0" w:beforeAutospacing="0" w:after="0" w:afterAutospacing="0"/>
        <w:ind w:hanging="780"/>
        <w:jc w:val="both"/>
      </w:pPr>
      <w:r>
        <w:lastRenderedPageBreak/>
        <w:t xml:space="preserve">Trading derivative liabilities; and </w:t>
      </w:r>
    </w:p>
    <w:p w:rsidR="00414C5D" w:rsidRDefault="00414C5D" w:rsidP="00BA5648">
      <w:pPr>
        <w:pStyle w:val="body"/>
        <w:numPr>
          <w:ilvl w:val="0"/>
          <w:numId w:val="13"/>
        </w:numPr>
        <w:tabs>
          <w:tab w:val="clear" w:pos="780"/>
          <w:tab w:val="num" w:pos="360"/>
        </w:tabs>
        <w:spacing w:before="0" w:beforeAutospacing="0" w:after="0" w:afterAutospacing="0"/>
        <w:ind w:hanging="780"/>
        <w:jc w:val="both"/>
      </w:pPr>
      <w:r>
        <w:t xml:space="preserve">Other trading liabilities.  </w:t>
      </w:r>
    </w:p>
    <w:p w:rsidR="00414C5D" w:rsidRDefault="00414C5D" w:rsidP="00414C5D">
      <w:pPr>
        <w:pStyle w:val="body"/>
        <w:spacing w:before="0" w:beforeAutospacing="0" w:after="0" w:afterAutospacing="0"/>
        <w:ind w:firstLine="720"/>
        <w:jc w:val="both"/>
      </w:pPr>
      <w:r>
        <w:t xml:space="preserve">The agencies would also add totals to capture total assets and total liabilities for items reported on the schedule.  In addition, the agencies are proposing to modify the existing items for “other financial assets and servicing assets” and “other financial liabilities and servicing liabilities” to collect information on “other assets” and “other liabilities” reported at fair value on a recurring basis, including </w:t>
      </w:r>
      <w:proofErr w:type="spellStart"/>
      <w:r>
        <w:t>nontrading</w:t>
      </w:r>
      <w:proofErr w:type="spellEnd"/>
      <w:r>
        <w:t xml:space="preserve"> derivatives.  </w:t>
      </w:r>
    </w:p>
    <w:p w:rsidR="001E6FA6" w:rsidRDefault="001E6FA6" w:rsidP="00414C5D">
      <w:pPr>
        <w:pStyle w:val="body"/>
        <w:spacing w:before="0" w:beforeAutospacing="0" w:after="0" w:afterAutospacing="0"/>
        <w:ind w:firstLine="720"/>
        <w:jc w:val="both"/>
      </w:pPr>
    </w:p>
    <w:p w:rsidR="00414C5D" w:rsidRDefault="00414C5D" w:rsidP="00414C5D">
      <w:pPr>
        <w:pStyle w:val="body"/>
        <w:spacing w:before="0" w:beforeAutospacing="0" w:after="0" w:afterAutospacing="0"/>
        <w:ind w:firstLine="720"/>
        <w:jc w:val="both"/>
      </w:pPr>
      <w:r>
        <w:t xml:space="preserve">Components of “other assets” and “other liabilities” would be separately reported if they are greater than $25,000 and exceed 25 percent of the total fair value of “other assets” and “other liabilities,” respectively.  In conjunction with this change, the existing reporting for loan commitments accounted for under a fair value option would be revised to include these instruments, based on whether their fair values are positive or negative, in the items </w:t>
      </w:r>
      <w:proofErr w:type="gramStart"/>
      <w:r>
        <w:t>for  “</w:t>
      </w:r>
      <w:proofErr w:type="gramEnd"/>
      <w:r>
        <w:t xml:space="preserve">other assets” and “other liabilities” reported at fair value on a recurring basis, with separate disclosure of these commitments if significant.  </w:t>
      </w:r>
    </w:p>
    <w:p w:rsidR="001E6FA6" w:rsidRDefault="001E6FA6" w:rsidP="00414C5D">
      <w:pPr>
        <w:pStyle w:val="body"/>
        <w:spacing w:before="0" w:beforeAutospacing="0" w:after="0" w:afterAutospacing="0"/>
        <w:ind w:firstLine="720"/>
        <w:jc w:val="both"/>
      </w:pPr>
    </w:p>
    <w:p w:rsidR="00414C5D" w:rsidRDefault="00414C5D" w:rsidP="00414C5D">
      <w:pPr>
        <w:pStyle w:val="body"/>
        <w:spacing w:before="0" w:beforeAutospacing="0" w:after="0" w:afterAutospacing="0"/>
        <w:ind w:firstLine="720"/>
        <w:jc w:val="both"/>
      </w:pPr>
      <w:r>
        <w:t>Second, the agencies are proposing to modify the reporting criteria for Schedule RC-Q.   The current instructions require all banks that have adopted FAS 157 and (1) have elected to account for financial instruments or servicing assets and liabilities at fair value under a fair value option or (2) are required to complete Schedule RC-D, Trading Assets and Liabilities, to complete Schedule RC-Q.  The agencies are proposing to maintain this reporting requirement for banks that use a fair value option or that have significant trading activity.  In addition, the agencies are proposing to extend the requirement to complete Schedule RC-Q to all banks that reported $</w:t>
      </w:r>
      <w:r w:rsidRPr="004565E7">
        <w:t xml:space="preserve">500 million </w:t>
      </w:r>
      <w:r>
        <w:t xml:space="preserve">or more </w:t>
      </w:r>
      <w:r w:rsidRPr="004565E7">
        <w:t>in total assets</w:t>
      </w:r>
      <w:r>
        <w:t xml:space="preserve"> at the beginning of their fiscal year, regardless of whether they have elected to apply a fair value option to financial or servicing assets and liabilities.  Thus, Schedule RC-Q would be completed by all banks that are required to obtain an independent annual financial statement audit pursuant to Part 363 of the FDIC’s regulations and are therefore required to include the FAS 157 fair value disclosures in their financial statements.</w:t>
      </w:r>
    </w:p>
    <w:p w:rsidR="001E6FA6" w:rsidRDefault="001E6FA6" w:rsidP="00414C5D">
      <w:pPr>
        <w:pStyle w:val="body"/>
        <w:spacing w:before="0" w:beforeAutospacing="0" w:after="0" w:afterAutospacing="0"/>
        <w:ind w:firstLine="720"/>
        <w:jc w:val="both"/>
      </w:pPr>
    </w:p>
    <w:p w:rsidR="00414C5D" w:rsidRDefault="00414C5D" w:rsidP="00414C5D">
      <w:pPr>
        <w:pStyle w:val="body"/>
        <w:spacing w:before="0" w:beforeAutospacing="0" w:after="0" w:afterAutospacing="0"/>
        <w:ind w:firstLine="720"/>
        <w:jc w:val="both"/>
      </w:pPr>
      <w:r>
        <w:t>The banking agencies have determined that the proposed information is necessary to more accurately assess the impact of fair value accounting and fair value measurements for safety and soundness purposes.  The collection of the information on Schedule RC-Q, as proposed, will facilitate and enhance the banking agencies’ ability to monitor the extent of fair value accounting in banks’ Reports of Condition, including the elective use of fair value accounting and the nature of the inputs used in the valuation process, pursuant to the disclosure requirements of FAS 157.</w:t>
      </w:r>
      <w:r w:rsidRPr="00D4477C">
        <w:t xml:space="preserve"> </w:t>
      </w:r>
      <w:r>
        <w:t xml:space="preserve"> The information collected on Schedule RC-Q is consistent with the disclosures required by FAS 157 and consistent with industry practice for reporting fair value measurements and should, therefore, not impose significant incremental burden on banks.  </w:t>
      </w:r>
    </w:p>
    <w:p w:rsidR="00414C5D" w:rsidRDefault="00414C5D" w:rsidP="00414C5D">
      <w:pPr>
        <w:pStyle w:val="body"/>
        <w:spacing w:before="0" w:beforeAutospacing="0" w:after="0" w:afterAutospacing="0"/>
        <w:ind w:firstLine="720"/>
        <w:jc w:val="both"/>
      </w:pPr>
    </w:p>
    <w:p w:rsidR="00414C5D" w:rsidRPr="00405F47" w:rsidRDefault="00414C5D" w:rsidP="00414C5D">
      <w:pPr>
        <w:pStyle w:val="body"/>
        <w:spacing w:before="0" w:beforeAutospacing="0" w:after="0" w:afterAutospacing="0"/>
        <w:jc w:val="both"/>
        <w:rPr>
          <w:u w:val="single"/>
        </w:rPr>
      </w:pPr>
      <w:r>
        <w:rPr>
          <w:u w:val="single"/>
        </w:rPr>
        <w:t>F</w:t>
      </w:r>
      <w:r w:rsidRPr="00405F47">
        <w:rPr>
          <w:u w:val="single"/>
        </w:rPr>
        <w:t>.  Pledged Loans in Loan and Trading Portfolios</w:t>
      </w:r>
      <w:r>
        <w:rPr>
          <w:u w:val="single"/>
        </w:rPr>
        <w:t xml:space="preserve"> and Pledged Trading Securities</w:t>
      </w:r>
    </w:p>
    <w:p w:rsidR="00414C5D" w:rsidRPr="00405F47" w:rsidRDefault="00414C5D" w:rsidP="00414C5D">
      <w:pPr>
        <w:pStyle w:val="body"/>
        <w:spacing w:before="0" w:beforeAutospacing="0" w:after="0" w:afterAutospacing="0"/>
        <w:jc w:val="both"/>
        <w:rPr>
          <w:u w:val="single"/>
        </w:rPr>
      </w:pPr>
    </w:p>
    <w:p w:rsidR="00414C5D" w:rsidRDefault="00414C5D" w:rsidP="00414C5D">
      <w:pPr>
        <w:pStyle w:val="body"/>
        <w:spacing w:before="0" w:beforeAutospacing="0" w:after="0" w:afterAutospacing="0"/>
        <w:ind w:firstLine="720"/>
        <w:jc w:val="both"/>
      </w:pPr>
      <w:r w:rsidRPr="00E920BB">
        <w:t xml:space="preserve">Banks have been pledging loans for many years and the volume of these pledges has grown considerably in recent years.  Pledging of bank loans is the act of setting aside certain loans to secure or collateralize bank transactions </w:t>
      </w:r>
      <w:r>
        <w:t>with the bank</w:t>
      </w:r>
      <w:r w:rsidRPr="00E920BB">
        <w:t xml:space="preserve"> continu</w:t>
      </w:r>
      <w:r>
        <w:t>ing</w:t>
      </w:r>
      <w:r w:rsidRPr="00E920BB">
        <w:t xml:space="preserve"> to own the loans unless the bank defaults on the transaction.  Pledging is used for securing public deposits, repurchase agreements, and other bank borrowings.  Pledging affects a bank’s liquidity and other asset and liability management programs.  </w:t>
      </w:r>
    </w:p>
    <w:p w:rsidR="00414C5D" w:rsidRDefault="00414C5D" w:rsidP="00414C5D">
      <w:pPr>
        <w:pStyle w:val="body"/>
        <w:spacing w:before="0" w:beforeAutospacing="0" w:after="0" w:afterAutospacing="0"/>
        <w:ind w:firstLine="720"/>
        <w:jc w:val="both"/>
      </w:pPr>
      <w:r w:rsidRPr="00E920BB">
        <w:lastRenderedPageBreak/>
        <w:t>Today there are a number of alternative funding structures used by banks that require bank</w:t>
      </w:r>
      <w:r>
        <w:t>s</w:t>
      </w:r>
      <w:r w:rsidRPr="00E920BB">
        <w:t xml:space="preserve"> to pledge loans.  Some of these funding structures include pledging on-balance sheet loans to finance and support securitization structures held by the bank that do not meet sales treatment, pledging loans to secure borrowings from </w:t>
      </w:r>
      <w:r>
        <w:t>a</w:t>
      </w:r>
      <w:r w:rsidRPr="00E920BB">
        <w:t xml:space="preserve"> Federal </w:t>
      </w:r>
      <w:smartTag w:uri="urn:schemas-microsoft-com:office:smarttags" w:element="PersonName">
        <w:r w:rsidRPr="00E920BB">
          <w:t>Home</w:t>
        </w:r>
      </w:smartTag>
      <w:r w:rsidRPr="00E920BB">
        <w:t xml:space="preserve"> Loan Bank, and packaging of on-balance sheet loans to collateralize bonds sold by banks.  Currently, the Call Report does not provide information on the volume of pledged loans.  Therefore, the banking agencies propose to collect the total amount of held-for-sale and held-for-investment loans and leases reported in Schedule RC-C, Loans and Lease Financing Receivables, that are pledged and the total amount of pledged loans that are carried in the trading portfolio and reported in Schedule RC-D, Trading Assets and Liabilities.</w:t>
      </w:r>
    </w:p>
    <w:p w:rsidR="001E6FA6" w:rsidRPr="00E920BB" w:rsidRDefault="001E6FA6" w:rsidP="00414C5D">
      <w:pPr>
        <w:pStyle w:val="body"/>
        <w:spacing w:before="0" w:beforeAutospacing="0" w:after="0" w:afterAutospacing="0"/>
        <w:ind w:firstLine="720"/>
        <w:jc w:val="both"/>
      </w:pPr>
    </w:p>
    <w:p w:rsidR="00414C5D" w:rsidRPr="00E920BB" w:rsidRDefault="00414C5D" w:rsidP="00414C5D">
      <w:pPr>
        <w:pStyle w:val="body"/>
        <w:spacing w:before="0" w:beforeAutospacing="0" w:after="0" w:afterAutospacing="0"/>
        <w:ind w:firstLine="720"/>
        <w:jc w:val="both"/>
      </w:pPr>
      <w:r w:rsidRPr="00E920BB">
        <w:t>In addition, although the agencies have long collected data on total amount of held-to-maturity and available-for-sale securities reported in Schedule RC-B, Securities, that are pledged, banks have not been required to report the amount of securities carried in the trading portfolio that are pledged.  Therefore, for reasons similar to those for collecting data on pledged loans, the agencies are proposing to add an item to Schedule RC-D to capture the amount of pledged trading securities.</w:t>
      </w:r>
    </w:p>
    <w:p w:rsidR="001E6FA6" w:rsidRDefault="001E6FA6" w:rsidP="00414C5D">
      <w:pPr>
        <w:pStyle w:val="body"/>
        <w:spacing w:before="0" w:beforeAutospacing="0" w:after="0" w:afterAutospacing="0"/>
        <w:jc w:val="both"/>
        <w:rPr>
          <w:u w:val="single"/>
        </w:rPr>
      </w:pPr>
    </w:p>
    <w:p w:rsidR="00414C5D" w:rsidRPr="00405F47" w:rsidRDefault="00414C5D" w:rsidP="00414C5D">
      <w:pPr>
        <w:pStyle w:val="body"/>
        <w:spacing w:before="0" w:beforeAutospacing="0" w:after="0" w:afterAutospacing="0"/>
        <w:jc w:val="both"/>
        <w:rPr>
          <w:u w:val="single"/>
        </w:rPr>
      </w:pPr>
      <w:r>
        <w:rPr>
          <w:u w:val="single"/>
        </w:rPr>
        <w:t>G</w:t>
      </w:r>
      <w:r w:rsidRPr="00405F47">
        <w:rPr>
          <w:u w:val="single"/>
        </w:rPr>
        <w:t xml:space="preserve">.  Collateral </w:t>
      </w:r>
      <w:r>
        <w:rPr>
          <w:u w:val="single"/>
        </w:rPr>
        <w:t>for</w:t>
      </w:r>
      <w:r w:rsidRPr="00405F47">
        <w:rPr>
          <w:u w:val="single"/>
        </w:rPr>
        <w:t xml:space="preserve"> OTC </w:t>
      </w:r>
      <w:r>
        <w:rPr>
          <w:u w:val="single"/>
        </w:rPr>
        <w:t>D</w:t>
      </w:r>
      <w:r w:rsidRPr="00405F47">
        <w:rPr>
          <w:u w:val="single"/>
        </w:rPr>
        <w:t xml:space="preserve">erivative </w:t>
      </w:r>
      <w:r>
        <w:rPr>
          <w:u w:val="single"/>
        </w:rPr>
        <w:t>Exposures and Distribution of C</w:t>
      </w:r>
      <w:r w:rsidRPr="00405F47">
        <w:rPr>
          <w:u w:val="single"/>
        </w:rPr>
        <w:t xml:space="preserve">redit </w:t>
      </w:r>
      <w:r>
        <w:rPr>
          <w:u w:val="single"/>
        </w:rPr>
        <w:t>E</w:t>
      </w:r>
      <w:r w:rsidRPr="00405F47">
        <w:rPr>
          <w:u w:val="single"/>
        </w:rPr>
        <w:t>xposures</w:t>
      </w:r>
    </w:p>
    <w:p w:rsidR="00414C5D" w:rsidRDefault="00414C5D" w:rsidP="00414C5D">
      <w:pPr>
        <w:pStyle w:val="body"/>
        <w:spacing w:before="0" w:beforeAutospacing="0" w:after="0" w:afterAutospacing="0"/>
        <w:jc w:val="both"/>
        <w:rPr>
          <w:u w:val="single"/>
        </w:rPr>
      </w:pPr>
    </w:p>
    <w:p w:rsidR="00414C5D" w:rsidRDefault="00414C5D" w:rsidP="00414C5D">
      <w:pPr>
        <w:pStyle w:val="body"/>
        <w:spacing w:before="0" w:beforeAutospacing="0" w:after="0" w:afterAutospacing="0"/>
        <w:ind w:firstLine="720"/>
        <w:jc w:val="both"/>
      </w:pPr>
      <w:r w:rsidRPr="004B31AB">
        <w:t xml:space="preserve">The growth in </w:t>
      </w:r>
      <w:r>
        <w:t xml:space="preserve">banks’ </w:t>
      </w:r>
      <w:r w:rsidRPr="004B31AB">
        <w:t xml:space="preserve">OTC derivatives and </w:t>
      </w:r>
      <w:r>
        <w:t xml:space="preserve">the </w:t>
      </w:r>
      <w:r w:rsidRPr="004B31AB">
        <w:t>related counterparty credit exposures has been significant in recent years.  For some major dealer</w:t>
      </w:r>
      <w:r>
        <w:t xml:space="preserve"> bank</w:t>
      </w:r>
      <w:r w:rsidRPr="004B31AB">
        <w:t xml:space="preserve">s, the counterparty credit risk from OTC derivatives rivals or exceeds their commercial and industrial loans outstanding.  </w:t>
      </w:r>
      <w:r>
        <w:t>Despite the magnitude of these derivative exposures</w:t>
      </w:r>
      <w:r w:rsidRPr="004B31AB">
        <w:t>, there is virtually no information on OTC derivative counterparty credit exposures and associated risk mitigation</w:t>
      </w:r>
      <w:r>
        <w:t xml:space="preserve"> in the Call Report</w:t>
      </w:r>
      <w:r w:rsidRPr="004B31AB">
        <w:t xml:space="preserve">.  </w:t>
      </w:r>
    </w:p>
    <w:p w:rsidR="001E6FA6" w:rsidRPr="004B31AB" w:rsidRDefault="001E6FA6" w:rsidP="00414C5D">
      <w:pPr>
        <w:pStyle w:val="body"/>
        <w:spacing w:before="0" w:beforeAutospacing="0" w:after="0" w:afterAutospacing="0"/>
        <w:ind w:firstLine="720"/>
        <w:jc w:val="both"/>
      </w:pPr>
    </w:p>
    <w:p w:rsidR="00414C5D" w:rsidRDefault="00414C5D" w:rsidP="00414C5D">
      <w:pPr>
        <w:pStyle w:val="body"/>
        <w:spacing w:before="0" w:beforeAutospacing="0" w:after="0" w:afterAutospacing="0"/>
        <w:ind w:firstLine="720"/>
        <w:jc w:val="both"/>
      </w:pPr>
      <w:r w:rsidRPr="004B31AB">
        <w:t xml:space="preserve">Given the size of OTC </w:t>
      </w:r>
      <w:r>
        <w:t xml:space="preserve">derivative </w:t>
      </w:r>
      <w:r w:rsidRPr="004B31AB">
        <w:t xml:space="preserve">counterparty </w:t>
      </w:r>
      <w:r>
        <w:t xml:space="preserve">credit </w:t>
      </w:r>
      <w:r w:rsidRPr="004B31AB">
        <w:t>exposures, and the important risk mitigation provided by collateral held</w:t>
      </w:r>
      <w:r>
        <w:t xml:space="preserve"> to offset or mitigate such exposures</w:t>
      </w:r>
      <w:r w:rsidRPr="004B31AB">
        <w:t xml:space="preserve">, </w:t>
      </w:r>
      <w:r>
        <w:t xml:space="preserve">information on the distribution of each would assist </w:t>
      </w:r>
      <w:r w:rsidRPr="004B31AB">
        <w:t xml:space="preserve">the agencies </w:t>
      </w:r>
      <w:r>
        <w:t>in their oversight and supervision of banks engaging in OTC derivative activities</w:t>
      </w:r>
      <w:r w:rsidRPr="004B31AB">
        <w:t xml:space="preserve">.  Therefore, the agencies propose to collect </w:t>
      </w:r>
      <w:r>
        <w:t xml:space="preserve">data in Schedule RC-L, Derivatives and Off-Balance Sheet Items, that will provide a breakdown of the fair value of collateral posted for OTC derivative exposures by type of collateral and type of derivative counterparty and a separate breakdown of the current credit exposure on OTC derivatives by type of counterparty.  </w:t>
      </w:r>
      <w:r w:rsidRPr="004B31AB">
        <w:t xml:space="preserve">  Th</w:t>
      </w:r>
      <w:r>
        <w:t>is information</w:t>
      </w:r>
      <w:r w:rsidRPr="004B31AB">
        <w:t xml:space="preserve"> would give the agencies important insights into </w:t>
      </w:r>
      <w:r>
        <w:t xml:space="preserve">the extent to which collateral is used as part of the </w:t>
      </w:r>
      <w:r w:rsidRPr="004B31AB">
        <w:t xml:space="preserve">credit risk management practices associated with derivative credit exposures </w:t>
      </w:r>
      <w:r>
        <w:t xml:space="preserve">to different types of counterparties </w:t>
      </w:r>
      <w:r w:rsidRPr="004B31AB">
        <w:t>and changes over time</w:t>
      </w:r>
      <w:r>
        <w:t xml:space="preserve"> in the nature and extent of the collateral protection</w:t>
      </w:r>
      <w:r w:rsidRPr="004B31AB">
        <w:t xml:space="preserve">.  </w:t>
      </w:r>
    </w:p>
    <w:p w:rsidR="001E6FA6" w:rsidRDefault="001E6FA6" w:rsidP="00414C5D">
      <w:pPr>
        <w:pStyle w:val="body"/>
        <w:spacing w:before="0" w:beforeAutospacing="0" w:after="0" w:afterAutospacing="0"/>
        <w:ind w:firstLine="720"/>
        <w:jc w:val="both"/>
      </w:pPr>
    </w:p>
    <w:p w:rsidR="00414C5D" w:rsidRDefault="00414C5D" w:rsidP="00414C5D">
      <w:pPr>
        <w:pStyle w:val="body"/>
        <w:spacing w:before="0" w:beforeAutospacing="0" w:after="0" w:afterAutospacing="0"/>
        <w:ind w:firstLine="720"/>
        <w:jc w:val="both"/>
        <w:rPr>
          <w:u w:val="single"/>
        </w:rPr>
      </w:pPr>
      <w:r w:rsidRPr="004B31AB">
        <w:t>Since a majority of OTC derivative transactions are conducted in large</w:t>
      </w:r>
      <w:r>
        <w:t>r</w:t>
      </w:r>
      <w:r w:rsidRPr="004B31AB">
        <w:t xml:space="preserve"> banks, only banks with total assets of $10 billion or more would be required to report the proposed new </w:t>
      </w:r>
      <w:r>
        <w:t>data</w:t>
      </w:r>
      <w:r w:rsidRPr="004B31AB">
        <w:t>.  The</w:t>
      </w:r>
      <w:r>
        <w:t>se</w:t>
      </w:r>
      <w:r w:rsidRPr="004B31AB">
        <w:t xml:space="preserve"> banks would report</w:t>
      </w:r>
      <w:r>
        <w:t>, using a matrix,</w:t>
      </w:r>
      <w:r w:rsidRPr="004B31AB">
        <w:t xml:space="preserve"> the collateral’s </w:t>
      </w:r>
      <w:r>
        <w:t>fair</w:t>
      </w:r>
      <w:r w:rsidRPr="004B31AB">
        <w:t xml:space="preserve"> value </w:t>
      </w:r>
      <w:r>
        <w:t xml:space="preserve">allocated </w:t>
      </w:r>
      <w:r w:rsidRPr="004B31AB">
        <w:t xml:space="preserve">by type of </w:t>
      </w:r>
      <w:r>
        <w:t xml:space="preserve">counterparty and type of </w:t>
      </w:r>
      <w:r w:rsidRPr="004B31AB">
        <w:t>collateral</w:t>
      </w:r>
      <w:r>
        <w:t xml:space="preserve"> as well as</w:t>
      </w:r>
      <w:r w:rsidRPr="004B31AB">
        <w:t xml:space="preserve"> the current credit exposure</w:t>
      </w:r>
      <w:r>
        <w:t xml:space="preserve"> associated with each type of counterparty</w:t>
      </w:r>
      <w:r w:rsidRPr="004B31AB">
        <w:t xml:space="preserve">.  The proposed </w:t>
      </w:r>
      <w:r>
        <w:t>types of collateral</w:t>
      </w:r>
      <w:r w:rsidRPr="004B31AB">
        <w:t xml:space="preserve"> for </w:t>
      </w:r>
      <w:r>
        <w:t>which the fair</w:t>
      </w:r>
      <w:r w:rsidRPr="004B31AB">
        <w:t xml:space="preserve"> value</w:t>
      </w:r>
      <w:r>
        <w:t xml:space="preserve"> would be reported</w:t>
      </w:r>
      <w:r w:rsidRPr="004B31AB">
        <w:t xml:space="preserve"> are</w:t>
      </w:r>
      <w:r>
        <w:t xml:space="preserve"> (a) c</w:t>
      </w:r>
      <w:r w:rsidRPr="004B31AB">
        <w:t>ash – U.S. dollar</w:t>
      </w:r>
      <w:r>
        <w:t>; (b) c</w:t>
      </w:r>
      <w:r w:rsidRPr="004B31AB">
        <w:t>ash – Other currencies</w:t>
      </w:r>
      <w:r>
        <w:t xml:space="preserve">; (c) </w:t>
      </w:r>
      <w:r w:rsidRPr="004B31AB">
        <w:t xml:space="preserve">U.S. </w:t>
      </w:r>
      <w:r>
        <w:t>Treasury</w:t>
      </w:r>
      <w:r w:rsidRPr="004B31AB">
        <w:t xml:space="preserve"> securities</w:t>
      </w:r>
      <w:r>
        <w:t xml:space="preserve">; (d) </w:t>
      </w:r>
      <w:r w:rsidRPr="004B31AB">
        <w:t xml:space="preserve">U.S. </w:t>
      </w:r>
      <w:r>
        <w:t xml:space="preserve">Government </w:t>
      </w:r>
      <w:r w:rsidRPr="004B31AB">
        <w:t xml:space="preserve">agency </w:t>
      </w:r>
      <w:r>
        <w:t xml:space="preserve">and U.S. Government-sponsored agency debt </w:t>
      </w:r>
      <w:r w:rsidRPr="004B31AB">
        <w:t>securities</w:t>
      </w:r>
      <w:r>
        <w:t>; (e) c</w:t>
      </w:r>
      <w:r w:rsidRPr="004B31AB">
        <w:t xml:space="preserve">orporate </w:t>
      </w:r>
      <w:r w:rsidRPr="004B31AB">
        <w:lastRenderedPageBreak/>
        <w:t>bonds</w:t>
      </w:r>
      <w:r>
        <w:t>; (f) e</w:t>
      </w:r>
      <w:r w:rsidRPr="004B31AB">
        <w:t>quity securities</w:t>
      </w:r>
      <w:r>
        <w:t>; and (g) a</w:t>
      </w:r>
      <w:r w:rsidRPr="004B31AB">
        <w:t>ll other collateral</w:t>
      </w:r>
      <w:r>
        <w:t>.</w:t>
      </w:r>
      <w:r w:rsidRPr="001E6FA6">
        <w:rPr>
          <w:rStyle w:val="FootnoteReference"/>
          <w:vertAlign w:val="superscript"/>
        </w:rPr>
        <w:footnoteReference w:id="10"/>
      </w:r>
      <w:r w:rsidRPr="001E6FA6">
        <w:rPr>
          <w:vertAlign w:val="superscript"/>
        </w:rPr>
        <w:t xml:space="preserve"> </w:t>
      </w:r>
      <w:r>
        <w:t xml:space="preserve"> </w:t>
      </w:r>
      <w:r w:rsidRPr="004B31AB">
        <w:t xml:space="preserve">The </w:t>
      </w:r>
      <w:r>
        <w:t>fair</w:t>
      </w:r>
      <w:r w:rsidRPr="004B31AB">
        <w:t xml:space="preserve"> value of the collateral would be reported </w:t>
      </w:r>
      <w:r>
        <w:t xml:space="preserve">according to </w:t>
      </w:r>
      <w:r w:rsidRPr="004B31AB">
        <w:t>the following types of counterparties:</w:t>
      </w:r>
      <w:r>
        <w:t xml:space="preserve">  (a) b</w:t>
      </w:r>
      <w:r w:rsidRPr="004B31AB">
        <w:t>anks and securities firms</w:t>
      </w:r>
      <w:r>
        <w:t xml:space="preserve">; (b) </w:t>
      </w:r>
      <w:proofErr w:type="spellStart"/>
      <w:r>
        <w:t>m</w:t>
      </w:r>
      <w:r w:rsidRPr="004B31AB">
        <w:t>onoline</w:t>
      </w:r>
      <w:proofErr w:type="spellEnd"/>
      <w:r w:rsidRPr="004B31AB">
        <w:t xml:space="preserve"> financial guarantors</w:t>
      </w:r>
      <w:r>
        <w:t>; (c) h</w:t>
      </w:r>
      <w:r w:rsidRPr="004B31AB">
        <w:t>edge funds</w:t>
      </w:r>
      <w:r>
        <w:t>; (d) s</w:t>
      </w:r>
      <w:r w:rsidRPr="004B31AB">
        <w:t>overeign governments</w:t>
      </w:r>
      <w:r>
        <w:t>; and (e) c</w:t>
      </w:r>
      <w:r w:rsidRPr="004B31AB">
        <w:t xml:space="preserve">orporations and </w:t>
      </w:r>
      <w:r>
        <w:t xml:space="preserve">all </w:t>
      </w:r>
      <w:r w:rsidRPr="004B31AB">
        <w:t>other counterparties</w:t>
      </w:r>
      <w:r>
        <w:t xml:space="preserve">.  </w:t>
      </w:r>
      <w:r w:rsidRPr="001316A4">
        <w:t xml:space="preserve">The current credit exposure (after considering the effect of master netting agreements with OTC derivative counterparties) would also be reported for these five types of counterparties.  The total current credit exposure from OTC derivative exposures that would be reported for these counterparties in Schedule RC-L would not necessarily equal the current credit exposure in the Call Report’s regulatory capital schedule (Schedule RC-R) because the amount reported in Schedule RC-R excludes </w:t>
      </w:r>
      <w:r w:rsidRPr="00675D76">
        <w:t>derivatives not covered by the risk-based capital standards.</w:t>
      </w:r>
    </w:p>
    <w:p w:rsidR="00414C5D" w:rsidRDefault="00414C5D" w:rsidP="00414C5D">
      <w:pPr>
        <w:pStyle w:val="body"/>
        <w:spacing w:before="0" w:beforeAutospacing="0" w:after="0" w:afterAutospacing="0"/>
        <w:jc w:val="both"/>
        <w:rPr>
          <w:u w:val="single"/>
        </w:rPr>
      </w:pPr>
    </w:p>
    <w:p w:rsidR="00414C5D" w:rsidRPr="00BC1338" w:rsidRDefault="00414C5D" w:rsidP="00414C5D">
      <w:pPr>
        <w:pStyle w:val="body"/>
        <w:spacing w:before="0" w:beforeAutospacing="0" w:after="0" w:afterAutospacing="0"/>
        <w:jc w:val="both"/>
        <w:rPr>
          <w:u w:val="single"/>
        </w:rPr>
      </w:pPr>
      <w:r>
        <w:rPr>
          <w:u w:val="single"/>
        </w:rPr>
        <w:t>H</w:t>
      </w:r>
      <w:r w:rsidRPr="00BC1338">
        <w:rPr>
          <w:u w:val="single"/>
        </w:rPr>
        <w:t>.  Maturity Distributions of Unsecured Other Borrowings and Subordinated Debt</w:t>
      </w:r>
    </w:p>
    <w:p w:rsidR="00414C5D" w:rsidRDefault="00414C5D" w:rsidP="00414C5D">
      <w:pPr>
        <w:pStyle w:val="body"/>
        <w:spacing w:before="0" w:beforeAutospacing="0" w:after="0" w:afterAutospacing="0"/>
        <w:jc w:val="both"/>
        <w:rPr>
          <w:u w:val="single"/>
        </w:rPr>
      </w:pPr>
    </w:p>
    <w:p w:rsidR="00414C5D" w:rsidRDefault="00414C5D" w:rsidP="00414C5D">
      <w:pPr>
        <w:pStyle w:val="body"/>
        <w:spacing w:before="0" w:beforeAutospacing="0" w:after="0" w:afterAutospacing="0"/>
        <w:ind w:firstLine="720"/>
        <w:jc w:val="both"/>
      </w:pPr>
      <w:r w:rsidRPr="00BC1338">
        <w:t xml:space="preserve">As part of the Omnibus Budget Reconciliation Act of 1993, Congress enacted depositor preference legislation </w:t>
      </w:r>
      <w:r>
        <w:t>that</w:t>
      </w:r>
      <w:r w:rsidRPr="00BC1338">
        <w:t xml:space="preserve"> elevated the claims of depositors </w:t>
      </w:r>
      <w:r>
        <w:t xml:space="preserve">in domestic offices (and in insured branches in </w:t>
      </w:r>
      <w:smartTag w:uri="urn:schemas-microsoft-com:office:smarttags" w:element="place">
        <w:r>
          <w:t>Puerto Rico</w:t>
        </w:r>
      </w:smartTag>
      <w:r>
        <w:t xml:space="preserve"> and </w:t>
      </w:r>
      <w:smartTag w:uri="urn:schemas-microsoft-com:office:smarttags" w:element="country-region">
        <w:smartTag w:uri="urn:schemas-microsoft-com:office:smarttags" w:element="place">
          <w:r>
            <w:t>U.S.</w:t>
          </w:r>
        </w:smartTag>
      </w:smartTag>
      <w:r>
        <w:t xml:space="preserve"> territories and possessions) </w:t>
      </w:r>
      <w:r w:rsidRPr="00BC1338">
        <w:t xml:space="preserve">over the claims of general unsecured creditors in a bank failure.  When a bank fails, the claims of general unsecured creditors provide a cushion that lowers the cost of the failure to the </w:t>
      </w:r>
      <w:r>
        <w:t>Deposit Insurance Fund (DIF) administered by the FDIC</w:t>
      </w:r>
      <w:r w:rsidRPr="00BC1338">
        <w:t>.  The greater the amount of general unsecured creditor</w:t>
      </w:r>
      <w:r>
        <w:t xml:space="preserve"> claim</w:t>
      </w:r>
      <w:r w:rsidRPr="00BC1338">
        <w:t xml:space="preserve">s, the greater the cushion and the lower the cost of the failure to the </w:t>
      </w:r>
      <w:r>
        <w:t>DIF</w:t>
      </w:r>
      <w:r w:rsidRPr="00BC1338">
        <w:t xml:space="preserve">.  </w:t>
      </w:r>
    </w:p>
    <w:p w:rsidR="001E6FA6" w:rsidRPr="00BC1338" w:rsidRDefault="001E6FA6" w:rsidP="00414C5D">
      <w:pPr>
        <w:pStyle w:val="body"/>
        <w:spacing w:before="0" w:beforeAutospacing="0" w:after="0" w:afterAutospacing="0"/>
        <w:ind w:firstLine="720"/>
        <w:jc w:val="both"/>
      </w:pPr>
    </w:p>
    <w:p w:rsidR="00414C5D" w:rsidRPr="00BC1338" w:rsidRDefault="00414C5D" w:rsidP="00414C5D">
      <w:pPr>
        <w:pStyle w:val="body"/>
        <w:spacing w:before="0" w:beforeAutospacing="0" w:after="0" w:afterAutospacing="0"/>
        <w:ind w:firstLine="720"/>
        <w:jc w:val="both"/>
      </w:pPr>
      <w:r w:rsidRPr="00BC1338">
        <w:t>The FDIC is considering proposing an adjustment to the risk-based assessment system so that insured depository institutions with greater amounts of general unsecured long-term liabilities will be rewarded with a lower assessment rate.  Currently, the Call Reports lack</w:t>
      </w:r>
      <w:r>
        <w:t>s</w:t>
      </w:r>
      <w:r w:rsidRPr="00BC1338">
        <w:t xml:space="preserve"> information regarding </w:t>
      </w:r>
      <w:r>
        <w:t xml:space="preserve">the remaining </w:t>
      </w:r>
      <w:r w:rsidRPr="00BC1338">
        <w:t>maturit</w:t>
      </w:r>
      <w:r>
        <w:t>ies</w:t>
      </w:r>
      <w:r w:rsidRPr="00BC1338">
        <w:t xml:space="preserve"> of </w:t>
      </w:r>
      <w:r>
        <w:t xml:space="preserve">unsecured “other borrowings” and </w:t>
      </w:r>
      <w:r w:rsidRPr="00BC1338">
        <w:t xml:space="preserve">subordinated </w:t>
      </w:r>
      <w:r>
        <w:t>notes and debentures</w:t>
      </w:r>
      <w:r w:rsidRPr="00BC1338">
        <w:t>.  The</w:t>
      </w:r>
      <w:r>
        <w:t>refore, the agencies are</w:t>
      </w:r>
      <w:r w:rsidRPr="00BC1338">
        <w:t xml:space="preserve"> </w:t>
      </w:r>
      <w:r>
        <w:t>proposing to collect t</w:t>
      </w:r>
      <w:r w:rsidRPr="00BC1338">
        <w:t xml:space="preserve">his information </w:t>
      </w:r>
      <w:r>
        <w:t xml:space="preserve">in the </w:t>
      </w:r>
      <w:r w:rsidRPr="00BC1338">
        <w:t>Call Report</w:t>
      </w:r>
      <w:r>
        <w:t xml:space="preserve"> </w:t>
      </w:r>
      <w:r w:rsidRPr="00BC1338">
        <w:t>so that t</w:t>
      </w:r>
      <w:r>
        <w:t>he FDIC would be able to</w:t>
      </w:r>
      <w:r w:rsidRPr="00BC1338">
        <w:t xml:space="preserve"> implement such an adjustment.</w:t>
      </w:r>
      <w:r>
        <w:t xml:space="preserve">  More specifically, banks would report separate maturity distributions for “other borrowings” (as defined for Schedule RC-M, item 5.b) that are unsecured and for subordinated notes and debentures (as defined for Schedule RC, item 19) in Schedule RC-O, Other Data for Deposit Insurance and FICO Assessments.  The maturity distributions would include remaining maturities of one year or less, over one year through three years, over three years through five years, and over five years. </w:t>
      </w:r>
      <w:r w:rsidRPr="00BC1338">
        <w:t xml:space="preserve">  </w:t>
      </w:r>
    </w:p>
    <w:p w:rsidR="00414C5D" w:rsidRPr="00405F47" w:rsidRDefault="00414C5D" w:rsidP="00414C5D">
      <w:pPr>
        <w:pStyle w:val="body"/>
        <w:spacing w:before="0" w:beforeAutospacing="0" w:after="0" w:afterAutospacing="0"/>
        <w:jc w:val="both"/>
        <w:rPr>
          <w:u w:val="single"/>
        </w:rPr>
      </w:pPr>
    </w:p>
    <w:p w:rsidR="00414C5D" w:rsidRPr="004E7E11" w:rsidRDefault="00414C5D" w:rsidP="00414C5D">
      <w:pPr>
        <w:pStyle w:val="body"/>
        <w:spacing w:before="0" w:beforeAutospacing="0" w:after="0" w:afterAutospacing="0"/>
        <w:jc w:val="both"/>
        <w:rPr>
          <w:u w:val="single"/>
        </w:rPr>
      </w:pPr>
      <w:r>
        <w:rPr>
          <w:u w:val="single"/>
        </w:rPr>
        <w:t>I</w:t>
      </w:r>
      <w:r w:rsidRPr="004E7E11">
        <w:rPr>
          <w:u w:val="single"/>
        </w:rPr>
        <w:t>.  Investments in Real Estate Ventures</w:t>
      </w:r>
    </w:p>
    <w:p w:rsidR="00414C5D" w:rsidRDefault="00414C5D" w:rsidP="00414C5D">
      <w:pPr>
        <w:pStyle w:val="body"/>
        <w:spacing w:before="0" w:beforeAutospacing="0" w:after="0" w:afterAutospacing="0"/>
        <w:ind w:firstLine="720"/>
        <w:jc w:val="both"/>
      </w:pPr>
    </w:p>
    <w:p w:rsidR="00414C5D" w:rsidRDefault="00414C5D" w:rsidP="00414C5D">
      <w:pPr>
        <w:pStyle w:val="body"/>
        <w:spacing w:before="0" w:beforeAutospacing="0" w:after="0" w:afterAutospacing="0"/>
        <w:ind w:firstLine="720"/>
        <w:jc w:val="both"/>
      </w:pPr>
      <w:r>
        <w:t xml:space="preserve">At present, a bank with investments in real estate ventures reports </w:t>
      </w:r>
      <w:r w:rsidRPr="004E7E11">
        <w:t xml:space="preserve">real estate </w:t>
      </w:r>
      <w:r>
        <w:t>(</w:t>
      </w:r>
      <w:r w:rsidRPr="004E7E11">
        <w:t>other than bank premises</w:t>
      </w:r>
      <w:r>
        <w:t>)</w:t>
      </w:r>
      <w:r w:rsidRPr="004E7E11">
        <w:t xml:space="preserve"> owned or controlled by the bank and its consolidated subsidiaries </w:t>
      </w:r>
      <w:r>
        <w:t xml:space="preserve">that is </w:t>
      </w:r>
      <w:r w:rsidRPr="004E7E11">
        <w:t xml:space="preserve">held for investment purposes as a component of “Other real estate owned” in Schedule RC-M, item 3.a.  If </w:t>
      </w:r>
      <w:r>
        <w:t>a</w:t>
      </w:r>
      <w:r w:rsidRPr="004E7E11">
        <w:t xml:space="preserve"> bank</w:t>
      </w:r>
      <w:r>
        <w:t xml:space="preserve"> has</w:t>
      </w:r>
      <w:r w:rsidRPr="004E7E11">
        <w:t xml:space="preserve"> investments in real estate ventures in the form of investments in subsidiaries that have not been consolidated; associated companies; and corporate joint ventures, unincorporated joint ventures, general partnerships, and limited partnerships over which the bank exercises significant influence </w:t>
      </w:r>
      <w:r>
        <w:t xml:space="preserve">that are </w:t>
      </w:r>
      <w:r w:rsidRPr="004E7E11">
        <w:t>engaged in the holding of real estate for investment purposes</w:t>
      </w:r>
      <w:r>
        <w:t xml:space="preserve">, these investments are reported as a component of “Investments in unconsolidated subsidiaries and </w:t>
      </w:r>
      <w:r>
        <w:lastRenderedPageBreak/>
        <w:t>associated companies” in Schedule RC-M, item 4.a</w:t>
      </w:r>
      <w:r w:rsidRPr="004E7E11">
        <w:t>.</w:t>
      </w:r>
      <w:r>
        <w:t xml:space="preserve">  To better distinguish a bank’s investments in real estate ventures from these other categories of assets, particularly because “Other real estate owned” also includes real estate acquired either through foreclosure or </w:t>
      </w:r>
      <w:r w:rsidRPr="00B64A70">
        <w:t xml:space="preserve">in any </w:t>
      </w:r>
      <w:r>
        <w:t xml:space="preserve">other </w:t>
      </w:r>
      <w:r w:rsidRPr="00B64A70">
        <w:t>manner for debts previously contracted</w:t>
      </w:r>
      <w:r>
        <w:t xml:space="preserve">, which presents different supervisory considerations than real estate investments, the agencies are proposing to add a new asset category to the Call Report balance sheet (Schedule RC) for investments in real estate ventures.  This new balance sheet category would include those investments in real estate ventures that are currently reported as part of “Other real estate owned” and “Investments in unconsolidated subsidiaries and associated companies.”  By making this change, the agencies would be able to eliminate item 3.a and items 4.a through 4.c from Schedule RC-M. </w:t>
      </w:r>
    </w:p>
    <w:p w:rsidR="00414C5D" w:rsidRDefault="00414C5D" w:rsidP="00414C5D">
      <w:pPr>
        <w:pStyle w:val="body"/>
        <w:spacing w:before="0" w:beforeAutospacing="0" w:after="0" w:afterAutospacing="0"/>
        <w:ind w:firstLine="720"/>
        <w:jc w:val="both"/>
      </w:pPr>
    </w:p>
    <w:p w:rsidR="00414C5D" w:rsidRPr="00E20246" w:rsidRDefault="00414C5D" w:rsidP="00414C5D">
      <w:pPr>
        <w:pStyle w:val="body"/>
        <w:spacing w:before="0" w:beforeAutospacing="0" w:after="0" w:afterAutospacing="0"/>
        <w:jc w:val="both"/>
        <w:rPr>
          <w:u w:val="single"/>
        </w:rPr>
      </w:pPr>
      <w:r>
        <w:rPr>
          <w:u w:val="single"/>
        </w:rPr>
        <w:t>J</w:t>
      </w:r>
      <w:r w:rsidRPr="00E20246">
        <w:rPr>
          <w:u w:val="single"/>
        </w:rPr>
        <w:t xml:space="preserve">. </w:t>
      </w:r>
      <w:r>
        <w:rPr>
          <w:u w:val="single"/>
        </w:rPr>
        <w:t xml:space="preserve"> </w:t>
      </w:r>
      <w:r w:rsidRPr="00E20246">
        <w:rPr>
          <w:u w:val="single"/>
        </w:rPr>
        <w:t xml:space="preserve">Revisions to Schedule RC-H for </w:t>
      </w:r>
      <w:r>
        <w:rPr>
          <w:u w:val="single"/>
        </w:rPr>
        <w:t xml:space="preserve">Securities Held in </w:t>
      </w:r>
      <w:r w:rsidRPr="00E20246">
        <w:rPr>
          <w:u w:val="single"/>
        </w:rPr>
        <w:t>Domestic Offices</w:t>
      </w:r>
    </w:p>
    <w:p w:rsidR="00414C5D" w:rsidRDefault="00414C5D" w:rsidP="00414C5D">
      <w:pPr>
        <w:pStyle w:val="body"/>
        <w:spacing w:before="0" w:beforeAutospacing="0" w:after="0" w:afterAutospacing="0"/>
        <w:ind w:firstLine="720"/>
        <w:jc w:val="both"/>
      </w:pPr>
    </w:p>
    <w:p w:rsidR="00414C5D" w:rsidRDefault="00414C5D" w:rsidP="00414C5D">
      <w:pPr>
        <w:pStyle w:val="body"/>
        <w:spacing w:before="0" w:beforeAutospacing="0" w:after="0" w:afterAutospacing="0"/>
        <w:ind w:firstLine="720"/>
        <w:jc w:val="both"/>
      </w:pPr>
      <w:r>
        <w:t>Information reported by banks with foreign offices on Schedule RC-H, Selected Balance Sheet Items for Domestic Offices, on the FFIEC 031 report form is fundamental for public policy purposes in the measurement and analysis of the domestic (</w:t>
      </w:r>
      <w:smartTag w:uri="urn:schemas-microsoft-com:office:smarttags" w:element="country-region">
        <w:smartTag w:uri="urn:schemas-microsoft-com:office:smarttags" w:element="place">
          <w:r>
            <w:t>U.S.</w:t>
          </w:r>
        </w:smartTag>
      </w:smartTag>
      <w:r>
        <w:t xml:space="preserve">) banking system.  The agencies have used estimates of certain domestic office measures to facilitate these public policy efforts.  However, the agencies have determined that enhanced information on available-for-sale and held-to-maturity securities in domestic offices is necessary to accomplish these public policy efforts. </w:t>
      </w:r>
    </w:p>
    <w:p w:rsidR="00CF278D" w:rsidRDefault="00CF278D" w:rsidP="00414C5D">
      <w:pPr>
        <w:pStyle w:val="body"/>
        <w:spacing w:before="0" w:beforeAutospacing="0" w:after="0" w:afterAutospacing="0"/>
        <w:ind w:firstLine="720"/>
        <w:jc w:val="both"/>
      </w:pPr>
    </w:p>
    <w:p w:rsidR="00414C5D" w:rsidRDefault="00414C5D" w:rsidP="00414C5D">
      <w:pPr>
        <w:pStyle w:val="body"/>
        <w:spacing w:before="0" w:beforeAutospacing="0" w:after="0" w:afterAutospacing="0"/>
        <w:ind w:firstLine="720"/>
        <w:jc w:val="both"/>
      </w:pPr>
      <w:r>
        <w:t xml:space="preserve">At present, banks with foreign offices report the combined amortized (historical) cost of available-for-sale and held-to-maturity securities by type of security in items 10 through 17 of Schedule RC-H.  The agencies propose to replace this combined reporting with two columns to collect information separately on the fair value of available-for-sale securities and the amortized cost of held-to-maturity securities held in the domestic offices of banks with foreign offices.   </w:t>
      </w:r>
    </w:p>
    <w:p w:rsidR="00CF278D" w:rsidRDefault="00CF278D" w:rsidP="00414C5D">
      <w:pPr>
        <w:pStyle w:val="body"/>
        <w:spacing w:before="0" w:beforeAutospacing="0" w:after="0" w:afterAutospacing="0"/>
        <w:ind w:firstLine="720"/>
        <w:jc w:val="both"/>
      </w:pPr>
    </w:p>
    <w:p w:rsidR="00414C5D" w:rsidRDefault="00414C5D" w:rsidP="00414C5D">
      <w:pPr>
        <w:pStyle w:val="body"/>
        <w:spacing w:before="0" w:beforeAutospacing="0" w:after="0" w:afterAutospacing="0"/>
        <w:ind w:firstLine="720"/>
        <w:jc w:val="both"/>
        <w:rPr>
          <w:i/>
        </w:rPr>
      </w:pPr>
      <w:r>
        <w:t xml:space="preserve">After the transition to this Schedule RC-H revision, this proposed change should not result in significant additional ongoing reporting burden because banks are required to designate securities as either available-for-sale, held-to-maturity, or held for trading per FASB Statement No. 115, </w:t>
      </w:r>
      <w:r w:rsidRPr="00501D23">
        <w:rPr>
          <w:i/>
        </w:rPr>
        <w:t>Accounting for Certain Investments in Debt and Equity Securities</w:t>
      </w:r>
      <w:r>
        <w:t>, and to report the fair value and amortized cost of all available-for-sale and held-to-maturity securities by type of security in Call Report Schedule RC-B, Securities.</w:t>
      </w:r>
    </w:p>
    <w:p w:rsidR="00414C5D" w:rsidRDefault="00414C5D" w:rsidP="00414C5D">
      <w:pPr>
        <w:pStyle w:val="body"/>
        <w:spacing w:before="0" w:beforeAutospacing="0" w:after="0" w:afterAutospacing="0"/>
        <w:ind w:firstLine="720"/>
        <w:jc w:val="both"/>
      </w:pPr>
    </w:p>
    <w:p w:rsidR="00414C5D" w:rsidRPr="006642E9" w:rsidRDefault="00CF278D" w:rsidP="00414C5D">
      <w:pPr>
        <w:pStyle w:val="body"/>
        <w:spacing w:before="0" w:beforeAutospacing="0" w:after="0" w:afterAutospacing="0"/>
        <w:jc w:val="both"/>
        <w:rPr>
          <w:u w:val="single"/>
        </w:rPr>
      </w:pPr>
      <w:r>
        <w:rPr>
          <w:u w:val="single"/>
        </w:rPr>
        <w:t>K</w:t>
      </w:r>
      <w:r w:rsidR="00414C5D" w:rsidRPr="006642E9">
        <w:rPr>
          <w:u w:val="single"/>
        </w:rPr>
        <w:t>. Enhanced Information on Credit Derivatives</w:t>
      </w:r>
    </w:p>
    <w:p w:rsidR="00414C5D" w:rsidRDefault="00414C5D" w:rsidP="00414C5D">
      <w:pPr>
        <w:pStyle w:val="body"/>
        <w:ind w:firstLine="720"/>
        <w:jc w:val="both"/>
      </w:pPr>
    </w:p>
    <w:p w:rsidR="00414C5D" w:rsidRDefault="00414C5D" w:rsidP="00414C5D">
      <w:pPr>
        <w:pStyle w:val="body"/>
        <w:spacing w:before="0" w:beforeAutospacing="0" w:after="0" w:afterAutospacing="0"/>
        <w:ind w:firstLine="720"/>
        <w:jc w:val="both"/>
      </w:pPr>
      <w:r>
        <w:t xml:space="preserve">Effective for the March 2006 Call Report, the agencies revised the information collected on credit derivatives in Schedules RC-L, Derivatives and Off-Balance Sheet Items, and RC-R, Regulatory Capital, to gain a better understanding of the nature and trends of banks’ credit derivative activities.  Since that time, the volume of credit derivative activity in the banking industry, as measured by the notional amount of these contracts, has increased steadily, rising to an aggregate notional amount of $16.4 trillion as of </w:t>
      </w:r>
      <w:smartTag w:uri="urn:schemas-microsoft-com:office:smarttags" w:element="date">
        <w:smartTagPr>
          <w:attr w:name="Year" w:val="2008"/>
          <w:attr w:name="Day" w:val="31"/>
          <w:attr w:name="Month" w:val="3"/>
        </w:smartTagPr>
        <w:r>
          <w:t>March 31, 2008</w:t>
        </w:r>
      </w:smartTag>
      <w:r>
        <w:t xml:space="preserve">.  The Call Report data indicate that the credit derivative activity in the industry is highly concentrated in banks with total assets in excess of $10 billion.  For these banks, credit derivatives function as a risk </w:t>
      </w:r>
      <w:r>
        <w:lastRenderedPageBreak/>
        <w:t xml:space="preserve">mitigation tool for credit exposures in their operations as well as a financial product that is sold to third parties for risk management and other purposes.  </w:t>
      </w:r>
    </w:p>
    <w:p w:rsidR="00CF278D" w:rsidRDefault="00CF278D" w:rsidP="00414C5D">
      <w:pPr>
        <w:pStyle w:val="body"/>
        <w:spacing w:before="0" w:beforeAutospacing="0" w:after="0" w:afterAutospacing="0"/>
        <w:ind w:firstLine="720"/>
        <w:jc w:val="both"/>
      </w:pPr>
    </w:p>
    <w:p w:rsidR="00414C5D" w:rsidRDefault="00414C5D" w:rsidP="00414C5D">
      <w:pPr>
        <w:pStyle w:val="body"/>
        <w:spacing w:before="0" w:beforeAutospacing="0" w:after="0" w:afterAutospacing="0"/>
        <w:ind w:firstLine="720"/>
        <w:jc w:val="both"/>
      </w:pPr>
      <w:r>
        <w:t xml:space="preserve">The agencies’ safety and soundness efforts continue to place emphasis on the role of credit derivatives in bank risk management practices.  In addition, the agencies’ monitoring of credit derivative activities at certain banks has identified differences in interpretation as to how credit derivatives are treated under the agencies’ risk-based capital standards.  To further the agencies’ safety and soundness efforts concerning credit derivatives and to improve transparency in the treatment of credit derivatives for regulatory capital purposes, the agencies propose to revise the information pertaining to credit derivatives that is collected on Schedules RC-L, RC-N (Past Due and Nonaccrual Loans, Leases, and Other Assets), and RC-R.  </w:t>
      </w:r>
    </w:p>
    <w:p w:rsidR="00CF278D" w:rsidRDefault="00CF278D" w:rsidP="00414C5D">
      <w:pPr>
        <w:pStyle w:val="body"/>
        <w:spacing w:before="0" w:beforeAutospacing="0" w:after="0" w:afterAutospacing="0"/>
        <w:ind w:firstLine="720"/>
        <w:jc w:val="both"/>
      </w:pPr>
    </w:p>
    <w:p w:rsidR="00414C5D" w:rsidRDefault="00414C5D" w:rsidP="00414C5D">
      <w:pPr>
        <w:pStyle w:val="body"/>
        <w:spacing w:before="0" w:beforeAutospacing="0" w:after="0" w:afterAutospacing="0"/>
        <w:ind w:firstLine="720"/>
        <w:jc w:val="both"/>
      </w:pPr>
      <w:r>
        <w:t xml:space="preserve">In Schedule RC-L, item 7, “Credit derivatives,” the agencies propose to change the caption of column A from “Guarantor” to “Sold Protection” and the caption of column B from “Beneficiary” to “Purchased Protection” to eliminate confusion surrounding the meaning of “Guarantor” and “Beneficiary” that commonly occurs between the users and preparers of these data.  The agencies also propose to add a new item 7.c to Schedule RC–L to collect information on the notional amount of credit derivatives by regulatory capital treatment.  For credit derivatives that are subject to the agencies’ market risk capital standards, the agencies propose to collect the notional amount of sold protection and the amount of purchased protection.  For all other credit derivatives, the agencies propose to collect the notional amount of sold protection, the notional amount of purchased protection that is recognized as a guarantee under the risk-based capital guidelines, and the notional amount of purchased protection that is not recognized as a guarantee under the risk-based capital standards.  </w:t>
      </w:r>
    </w:p>
    <w:p w:rsidR="00CF278D" w:rsidRDefault="00CF278D" w:rsidP="00414C5D">
      <w:pPr>
        <w:pStyle w:val="body"/>
        <w:spacing w:before="0" w:beforeAutospacing="0" w:after="0" w:afterAutospacing="0"/>
        <w:ind w:firstLine="720"/>
        <w:jc w:val="both"/>
      </w:pPr>
    </w:p>
    <w:p w:rsidR="00414C5D" w:rsidRDefault="00414C5D" w:rsidP="00414C5D">
      <w:pPr>
        <w:pStyle w:val="body"/>
        <w:spacing w:before="0" w:beforeAutospacing="0" w:after="0" w:afterAutospacing="0"/>
        <w:ind w:firstLine="720"/>
        <w:jc w:val="both"/>
      </w:pPr>
      <w:r>
        <w:t xml:space="preserve">The agencies also propose to add a new item 7.d to Schedule RC–L to collect information on the notional amount of credit derivatives by credit rating and remaining maturity.  The item would collect the notional amount of sold protection broken down by credit ratings of investment grade and </w:t>
      </w:r>
      <w:proofErr w:type="spellStart"/>
      <w:r>
        <w:t>subinvestment</w:t>
      </w:r>
      <w:proofErr w:type="spellEnd"/>
      <w:r>
        <w:t xml:space="preserve"> grade for the underlying reference asset and by remaining maturities of one year or less, over one year through five years, and over five years.  The same information would be collected for purchased protection.</w:t>
      </w:r>
    </w:p>
    <w:p w:rsidR="00CF278D" w:rsidRDefault="00CF278D" w:rsidP="00414C5D">
      <w:pPr>
        <w:pStyle w:val="body"/>
        <w:spacing w:before="0" w:beforeAutospacing="0" w:after="0" w:afterAutospacing="0"/>
        <w:ind w:firstLine="720"/>
        <w:jc w:val="both"/>
      </w:pPr>
    </w:p>
    <w:p w:rsidR="00414C5D" w:rsidRDefault="00414C5D" w:rsidP="00414C5D">
      <w:pPr>
        <w:pStyle w:val="body"/>
        <w:spacing w:before="0" w:beforeAutospacing="0" w:after="0" w:afterAutospacing="0"/>
        <w:ind w:firstLine="720"/>
        <w:jc w:val="both"/>
      </w:pPr>
      <w:r>
        <w:t xml:space="preserve">In Schedule RC-N, the agencies propose to change the scope of Memorandum item 6, “Past due interest rate, foreign exchange rate, and other commodity and equity contracts,” to include credit derivatives.  The fair value of credit derivatives where the bank has purchased protection increased significantly to over $500 billion at </w:t>
      </w:r>
      <w:smartTag w:uri="urn:schemas-microsoft-com:office:smarttags" w:element="date">
        <w:smartTagPr>
          <w:attr w:name="Year" w:val="2008"/>
          <w:attr w:name="Day" w:val="31"/>
          <w:attr w:name="Month" w:val="3"/>
        </w:smartTagPr>
        <w:r>
          <w:t>March 31, 2008</w:t>
        </w:r>
      </w:smartTag>
      <w:r>
        <w:t xml:space="preserve">, as compared to a negative $10 billion at </w:t>
      </w:r>
      <w:smartTag w:uri="urn:schemas-microsoft-com:office:smarttags" w:element="date">
        <w:smartTagPr>
          <w:attr w:name="Year" w:val="2007"/>
          <w:attr w:name="Day" w:val="31"/>
          <w:attr w:name="Month" w:val="3"/>
        </w:smartTagPr>
        <w:r>
          <w:t>March 31, 2007</w:t>
        </w:r>
      </w:smartTag>
      <w:r>
        <w:t xml:space="preserve">.  Thus, the performance of credit derivative counterparties has increased in importance.  The expanded scope of Memorandum item 6 on Schedule RC-N would include the fair value of credit derivatives carried as assets that are past due 30 through 89 days and past due 90 days or more.  </w:t>
      </w:r>
    </w:p>
    <w:p w:rsidR="00414C5D" w:rsidRPr="004E7E11" w:rsidRDefault="00414C5D" w:rsidP="00414C5D">
      <w:pPr>
        <w:pStyle w:val="body"/>
        <w:spacing w:before="0" w:beforeAutospacing="0" w:after="0" w:afterAutospacing="0"/>
        <w:ind w:firstLine="720"/>
        <w:jc w:val="both"/>
      </w:pPr>
      <w:r>
        <w:t xml:space="preserve">In Schedule RC-R, the agencies propose to change the scope of the information collected in Memorandum items 2.g.(1) and (2) on the notional principal amounts of “Credit derivative contracts” </w:t>
      </w:r>
      <w:r w:rsidRPr="00290BBD">
        <w:t>that are subject to risk-based capital requirements</w:t>
      </w:r>
      <w:r>
        <w:t xml:space="preserve"> to include only (a) the notional principal amount of purchased protection that is defined as a covered position under the market risk capital guidelines and (b) the notional principal amount of purchased protection that is not a covered position under the market risk capital guidelines and is not recognized as a guarantee for risk-based capital purposes.  The scope of Memorandum item 1, “Current credit exposure across </w:t>
      </w:r>
      <w:r>
        <w:lastRenderedPageBreak/>
        <w:t xml:space="preserve">all derivative contracts covered by the risk-based capital standards,” would be similarly revised to include the current credit exposure arising from credit derivative contracts that represent (a) purchased protection that is defined as a covered position under the market risk capital guidelines and (b) purchased protection that is not a covered position under the market risk capital guidelines and is not recognized as a guarantee for risk-based capital purposes.  </w:t>
      </w:r>
    </w:p>
    <w:p w:rsidR="00414C5D" w:rsidRDefault="00414C5D" w:rsidP="00414C5D">
      <w:pPr>
        <w:pStyle w:val="body"/>
        <w:spacing w:before="0" w:beforeAutospacing="0" w:after="0" w:afterAutospacing="0"/>
        <w:jc w:val="both"/>
        <w:rPr>
          <w:u w:val="single"/>
        </w:rPr>
      </w:pPr>
    </w:p>
    <w:p w:rsidR="00414C5D" w:rsidRPr="00E20246" w:rsidRDefault="00CF278D" w:rsidP="00414C5D">
      <w:pPr>
        <w:pStyle w:val="body"/>
        <w:spacing w:before="0" w:beforeAutospacing="0" w:after="0" w:afterAutospacing="0"/>
        <w:jc w:val="both"/>
        <w:rPr>
          <w:u w:val="single"/>
        </w:rPr>
      </w:pPr>
      <w:r>
        <w:rPr>
          <w:u w:val="single"/>
        </w:rPr>
        <w:t>L</w:t>
      </w:r>
      <w:r w:rsidR="00414C5D" w:rsidRPr="00E20246">
        <w:rPr>
          <w:u w:val="single"/>
        </w:rPr>
        <w:t xml:space="preserve">.  Questions </w:t>
      </w:r>
      <w:proofErr w:type="gramStart"/>
      <w:r w:rsidR="00414C5D" w:rsidRPr="00E20246">
        <w:rPr>
          <w:u w:val="single"/>
        </w:rPr>
        <w:t>Concerning</w:t>
      </w:r>
      <w:proofErr w:type="gramEnd"/>
      <w:r w:rsidR="00414C5D" w:rsidRPr="00E20246">
        <w:rPr>
          <w:u w:val="single"/>
        </w:rPr>
        <w:t xml:space="preserve"> Certain Trust, Custodial, Safekeeping, and Other Services</w:t>
      </w:r>
    </w:p>
    <w:p w:rsidR="00414C5D" w:rsidRDefault="00414C5D" w:rsidP="00414C5D">
      <w:pPr>
        <w:pStyle w:val="body"/>
        <w:spacing w:before="0" w:beforeAutospacing="0" w:after="0" w:afterAutospacing="0"/>
        <w:jc w:val="both"/>
      </w:pPr>
    </w:p>
    <w:p w:rsidR="00414C5D" w:rsidRDefault="00414C5D" w:rsidP="00414C5D">
      <w:pPr>
        <w:pStyle w:val="body"/>
        <w:spacing w:before="0" w:beforeAutospacing="0" w:after="0" w:afterAutospacing="0"/>
        <w:ind w:firstLine="720"/>
        <w:jc w:val="both"/>
      </w:pPr>
      <w:r w:rsidRPr="00932F79">
        <w:t xml:space="preserve">Under certain circumstances, </w:t>
      </w:r>
      <w:r>
        <w:t>banks</w:t>
      </w:r>
      <w:r w:rsidRPr="00932F79">
        <w:t xml:space="preserve"> can serve as trustee or custodian </w:t>
      </w:r>
      <w:r>
        <w:t>for Individual Retirement Accounts (I</w:t>
      </w:r>
      <w:r w:rsidRPr="00932F79">
        <w:t>RAs</w:t>
      </w:r>
      <w:r>
        <w:t>)</w:t>
      </w:r>
      <w:r w:rsidRPr="00932F79">
        <w:t xml:space="preserve">, </w:t>
      </w:r>
      <w:r>
        <w:t>Health Savings Accounts (</w:t>
      </w:r>
      <w:r w:rsidRPr="00932F79">
        <w:t>HSAs</w:t>
      </w:r>
      <w:r>
        <w:t>)</w:t>
      </w:r>
      <w:r w:rsidRPr="00932F79">
        <w:t>, and other similar accounts without obtaining trust powers.</w:t>
      </w:r>
      <w:r>
        <w:t xml:space="preserve">  Banks may also provide custody, safekeeping, or other services involving the acceptance of orders for the sale or purchase of securities regardless of whether they have trust powers.  Under</w:t>
      </w:r>
      <w:r w:rsidRPr="00223B62">
        <w:t xml:space="preserve"> </w:t>
      </w:r>
      <w:r>
        <w:t xml:space="preserve">the Board’s and the SEC’s recently adopted </w:t>
      </w:r>
      <w:r w:rsidRPr="00B55DCE">
        <w:t>Regulation R</w:t>
      </w:r>
      <w:r>
        <w:t xml:space="preserve"> – </w:t>
      </w:r>
      <w:r w:rsidRPr="00B55DCE">
        <w:t>E</w:t>
      </w:r>
      <w:r>
        <w:t xml:space="preserve">xceptions for Banks from the Definition of Broker in the Securities Exchange Act of </w:t>
      </w:r>
      <w:r w:rsidRPr="00B55DCE">
        <w:t>1934</w:t>
      </w:r>
      <w:r>
        <w:t xml:space="preserve"> (12 CFR part 218)</w:t>
      </w:r>
      <w:r w:rsidRPr="00223B62">
        <w:t xml:space="preserve">, </w:t>
      </w:r>
      <w:r w:rsidRPr="00932F79">
        <w:t xml:space="preserve">a bank will only be able to effect securities transactions for customers if the bank </w:t>
      </w:r>
      <w:r>
        <w:t xml:space="preserve">meets one </w:t>
      </w:r>
      <w:r w:rsidRPr="00932F79">
        <w:t xml:space="preserve">of the exceptions from the </w:t>
      </w:r>
      <w:r>
        <w:t xml:space="preserve">broker </w:t>
      </w:r>
      <w:r w:rsidRPr="00932F79">
        <w:t xml:space="preserve">definition </w:t>
      </w:r>
      <w:r>
        <w:t>in section 3(a</w:t>
      </w:r>
      <w:proofErr w:type="gramStart"/>
      <w:r>
        <w:t>)(</w:t>
      </w:r>
      <w:proofErr w:type="gramEnd"/>
      <w:r>
        <w:t xml:space="preserve">4) of </w:t>
      </w:r>
      <w:r w:rsidRPr="00932F79">
        <w:t xml:space="preserve">the Securities Exchange Act of 1934.  Under the </w:t>
      </w:r>
      <w:r>
        <w:t>t</w:t>
      </w:r>
      <w:r w:rsidRPr="00932F79">
        <w:t xml:space="preserve">rust </w:t>
      </w:r>
      <w:r>
        <w:t>and</w:t>
      </w:r>
      <w:r w:rsidRPr="00932F79">
        <w:t xml:space="preserve"> </w:t>
      </w:r>
      <w:r>
        <w:t>f</w:t>
      </w:r>
      <w:r w:rsidRPr="00932F79">
        <w:t>iduciary exception, the securities transactions must be effected in a trust department or other department of a bank that is regularly examined for compliance with fiduciary standards</w:t>
      </w:r>
      <w:r>
        <w:t xml:space="preserve">.  </w:t>
      </w:r>
    </w:p>
    <w:p w:rsidR="00CF278D" w:rsidRDefault="00CF278D" w:rsidP="00414C5D">
      <w:pPr>
        <w:pStyle w:val="body"/>
        <w:spacing w:before="0" w:beforeAutospacing="0" w:after="0" w:afterAutospacing="0"/>
        <w:ind w:firstLine="720"/>
        <w:jc w:val="both"/>
      </w:pPr>
    </w:p>
    <w:p w:rsidR="00414C5D" w:rsidRPr="004E7E11" w:rsidRDefault="00414C5D" w:rsidP="00414C5D">
      <w:pPr>
        <w:pStyle w:val="body"/>
        <w:spacing w:before="0" w:beforeAutospacing="0" w:after="0" w:afterAutospacing="0"/>
        <w:ind w:firstLine="720"/>
        <w:jc w:val="both"/>
      </w:pPr>
      <w:r>
        <w:t>Accordingly, the agencies must be able to identify banks</w:t>
      </w:r>
      <w:r w:rsidRPr="00932F79">
        <w:t xml:space="preserve"> </w:t>
      </w:r>
      <w:r>
        <w:t>that</w:t>
      </w:r>
      <w:r w:rsidRPr="00932F79">
        <w:t xml:space="preserve"> serve as trustee or custodian </w:t>
      </w:r>
      <w:r>
        <w:t>for I</w:t>
      </w:r>
      <w:r w:rsidRPr="00932F79">
        <w:t xml:space="preserve">RAs, </w:t>
      </w:r>
      <w:r>
        <w:t>H</w:t>
      </w:r>
      <w:r w:rsidRPr="00932F79">
        <w:t xml:space="preserve">SAs, and other similar accounts </w:t>
      </w:r>
      <w:r>
        <w:t>or provide custody, safekeeping, or other services involving the acceptance of securities sale or purchase orders.  Depending on whether such banks exercise trust powers, these activities will need to be examined</w:t>
      </w:r>
      <w:r w:rsidRPr="00932F79">
        <w:t xml:space="preserve"> </w:t>
      </w:r>
      <w:r>
        <w:t xml:space="preserve">during trust examinations or other examinations, as appropriate, </w:t>
      </w:r>
      <w:r w:rsidRPr="00932F79">
        <w:t>in order to ensure that th</w:t>
      </w:r>
      <w:r>
        <w:t>e</w:t>
      </w:r>
      <w:r w:rsidRPr="00932F79">
        <w:t xml:space="preserve"> activities are </w:t>
      </w:r>
      <w:r>
        <w:t xml:space="preserve">conducted in a satisfactory manner and in compliance with the requirements for the exception from the broker definition.  Therefore, the agencies are proposing to add two yes/no questions to Schedule RC-M, one of which would ask each bank whether it acts as trustee or custodian for IRAs, HSAs, and other similar accounts and the other of which would ask whether the bank provides custody, safekeeping, or other services involving the acceptance of securities sale and purchase orders.  </w:t>
      </w:r>
    </w:p>
    <w:p w:rsidR="00414C5D" w:rsidRDefault="00414C5D" w:rsidP="00414C5D">
      <w:pPr>
        <w:pStyle w:val="body"/>
        <w:spacing w:before="0" w:beforeAutospacing="0" w:after="0" w:afterAutospacing="0"/>
        <w:ind w:firstLine="720"/>
        <w:jc w:val="both"/>
      </w:pPr>
    </w:p>
    <w:p w:rsidR="00414C5D" w:rsidRPr="00A73546" w:rsidRDefault="00414C5D" w:rsidP="00CF278D">
      <w:pPr>
        <w:pStyle w:val="body"/>
        <w:spacing w:before="0" w:beforeAutospacing="0" w:after="0" w:afterAutospacing="0"/>
        <w:jc w:val="center"/>
        <w:rPr>
          <w:b/>
        </w:rPr>
      </w:pPr>
      <w:r>
        <w:rPr>
          <w:b/>
        </w:rPr>
        <w:br w:type="page"/>
      </w:r>
      <w:r w:rsidRPr="00A73546">
        <w:rPr>
          <w:b/>
        </w:rPr>
        <w:lastRenderedPageBreak/>
        <w:t>December 2009</w:t>
      </w:r>
    </w:p>
    <w:p w:rsidR="00414C5D" w:rsidRDefault="00414C5D" w:rsidP="00414C5D">
      <w:pPr>
        <w:ind w:firstLine="720"/>
        <w:jc w:val="both"/>
      </w:pPr>
    </w:p>
    <w:p w:rsidR="00414C5D" w:rsidRDefault="00414C5D" w:rsidP="00414C5D">
      <w:pPr>
        <w:ind w:firstLine="720"/>
        <w:jc w:val="both"/>
      </w:pPr>
      <w:r>
        <w:t xml:space="preserve">Schedule RC-T, Fiduciary and Related Services, was added to the Call Report effective </w:t>
      </w:r>
      <w:smartTag w:uri="urn:schemas-microsoft-com:office:smarttags" w:element="date">
        <w:smartTagPr>
          <w:attr w:name="Year" w:val="2001"/>
          <w:attr w:name="Day" w:val="31"/>
          <w:attr w:name="Month" w:val="12"/>
        </w:smartTagPr>
        <w:r>
          <w:t>December 31, 2001</w:t>
        </w:r>
      </w:smartTag>
      <w:r>
        <w:t xml:space="preserve">, replacing two separate reports, the </w:t>
      </w:r>
      <w:r w:rsidRPr="00583F89">
        <w:t>Annual Report of Trust Assets (FFIEC 001) and the Annual Report of Internatio</w:t>
      </w:r>
      <w:r>
        <w:t>nal Fiduciary Activities (FFIEC </w:t>
      </w:r>
      <w:r w:rsidRPr="00583F89">
        <w:t>006)</w:t>
      </w:r>
      <w:r>
        <w:t>.  Schedule RC-T collects data on:</w:t>
      </w:r>
    </w:p>
    <w:p w:rsidR="00414C5D" w:rsidRDefault="00414C5D" w:rsidP="00BA5648">
      <w:pPr>
        <w:widowControl/>
        <w:numPr>
          <w:ilvl w:val="0"/>
          <w:numId w:val="7"/>
        </w:numPr>
        <w:jc w:val="both"/>
      </w:pPr>
      <w:r>
        <w:t>Fiduciary and related assets by type of fiduciary account, with the amount of assets and number of accounts reported separately for managed and non-managed accounts;</w:t>
      </w:r>
    </w:p>
    <w:p w:rsidR="00414C5D" w:rsidRDefault="00414C5D" w:rsidP="00BA5648">
      <w:pPr>
        <w:widowControl/>
        <w:numPr>
          <w:ilvl w:val="0"/>
          <w:numId w:val="7"/>
        </w:numPr>
        <w:jc w:val="both"/>
      </w:pPr>
      <w:r>
        <w:t>Fiduciary and related services income by type of fiduciary account and expenses, including fiduciary settlements, surcharges, and other losses by type of fiduciary account;</w:t>
      </w:r>
    </w:p>
    <w:p w:rsidR="00414C5D" w:rsidRDefault="00414C5D" w:rsidP="00BA5648">
      <w:pPr>
        <w:widowControl/>
        <w:numPr>
          <w:ilvl w:val="0"/>
          <w:numId w:val="7"/>
        </w:numPr>
        <w:jc w:val="both"/>
      </w:pPr>
      <w:r>
        <w:t>Managed assets held in personal trust and agency accounts by type of asset;</w:t>
      </w:r>
    </w:p>
    <w:p w:rsidR="00414C5D" w:rsidRDefault="00414C5D" w:rsidP="00BA5648">
      <w:pPr>
        <w:widowControl/>
        <w:numPr>
          <w:ilvl w:val="0"/>
          <w:numId w:val="7"/>
        </w:numPr>
        <w:jc w:val="both"/>
      </w:pPr>
      <w:r>
        <w:t>Corporate trust and agency accounts; and</w:t>
      </w:r>
    </w:p>
    <w:p w:rsidR="00414C5D" w:rsidRDefault="00414C5D" w:rsidP="00BA5648">
      <w:pPr>
        <w:widowControl/>
        <w:numPr>
          <w:ilvl w:val="0"/>
          <w:numId w:val="7"/>
        </w:numPr>
        <w:jc w:val="both"/>
      </w:pPr>
      <w:r>
        <w:t>The number of collective investment funds and common trust funds and the market value of fund assets by type of fund.</w:t>
      </w:r>
    </w:p>
    <w:p w:rsidR="00414C5D" w:rsidRDefault="00414C5D" w:rsidP="00414C5D">
      <w:pPr>
        <w:ind w:firstLine="720"/>
        <w:jc w:val="both"/>
      </w:pPr>
    </w:p>
    <w:p w:rsidR="00414C5D" w:rsidRDefault="00414C5D" w:rsidP="00414C5D">
      <w:pPr>
        <w:ind w:firstLine="720"/>
        <w:jc w:val="both"/>
      </w:pPr>
      <w:r>
        <w:t>FDIC-insured banks</w:t>
      </w:r>
      <w:r w:rsidRPr="00583F89">
        <w:t xml:space="preserve"> </w:t>
      </w:r>
      <w:r>
        <w:t xml:space="preserve">that exercise fiduciary powers and have fiduciary assets or accounts and uninsured limited-purpose national trust banks (trust institutions) must complete specified sections of Schedule RC-T either quarterly or annually (as of December 31) depending on the amount of their </w:t>
      </w:r>
      <w:r w:rsidRPr="00583F89">
        <w:t>total fiduciary assets</w:t>
      </w:r>
      <w:r>
        <w:t xml:space="preserve"> </w:t>
      </w:r>
      <w:r w:rsidRPr="00583F89">
        <w:t xml:space="preserve">as of the preceding </w:t>
      </w:r>
      <w:r>
        <w:t>calendar year-end</w:t>
      </w:r>
      <w:r w:rsidRPr="00583F89">
        <w:t xml:space="preserve"> </w:t>
      </w:r>
      <w:r>
        <w:t>and their gross fiduciary and related services inco</w:t>
      </w:r>
      <w:r w:rsidRPr="00583F89">
        <w:t xml:space="preserve">me </w:t>
      </w:r>
      <w:r>
        <w:t>f</w:t>
      </w:r>
      <w:r w:rsidRPr="00583F89">
        <w:t>or the preceding calendar year</w:t>
      </w:r>
      <w:r>
        <w:t>.  Approximately 400 trust institutions with total fiduciary assets greater than $250 million or with gross fiduciary and related services income greater than 10 percent of net interest income plus noninterest income report their fiduciary and related assets and their fiduciary and related services income quarterly and the remaining data items on Schedule RC-T annually.  Around 200 trust institutions with total fiduciary assets greater than $100 million but less than or equal to $250 million that do not meet the fiduciary income test mentioned above complete all of Schedule RC-T annually.  About 1,000 trust institutions with total fiduciary assets of $100 million or less that do not meet the fiduciary income test mentioned above must complete all of Schedule RC-T annually except the sections on fiduciary income and losses from which they are exempt.</w:t>
      </w:r>
    </w:p>
    <w:p w:rsidR="00CF278D" w:rsidRPr="00583F89" w:rsidRDefault="00CF278D" w:rsidP="00414C5D">
      <w:pPr>
        <w:ind w:firstLine="720"/>
        <w:jc w:val="both"/>
      </w:pPr>
    </w:p>
    <w:p w:rsidR="00414C5D" w:rsidRDefault="00414C5D" w:rsidP="00414C5D">
      <w:pPr>
        <w:ind w:firstLine="720"/>
        <w:jc w:val="both"/>
      </w:pPr>
      <w:r>
        <w:t xml:space="preserve">Since its addition to the Call Report at year-end 2001, Schedule RC-T has not been revised.  During this time period, significant growth has occurred in both the assets in managed and non-managed fiduciary accounts at trust institutions.  For the five year period ending </w:t>
      </w:r>
      <w:smartTag w:uri="urn:schemas-microsoft-com:office:smarttags" w:element="date">
        <w:smartTagPr>
          <w:attr w:name="Year" w:val="2007"/>
          <w:attr w:name="Day" w:val="31"/>
          <w:attr w:name="Month" w:val="12"/>
        </w:smartTagPr>
        <w:r>
          <w:t>December 31, 2007</w:t>
        </w:r>
      </w:smartTag>
      <w:r>
        <w:t>, managed assets increased from $3.3 trillion to $5.6 trillion while non-managed assets climbed from $8.2 trillion to $17.7 trillion.  Assets held in custody and safekeeping accounts grew from $21.4 trillion to $57.9 trillion over this same period.  The number of corporate and municipal debt issues for which trust institutions serve as trustee has also increased over the past five years, rising from 237 thousand to 339 thousand, and the total par value of these debt issues has increased from $6.4 trillion to $15.7 trillion.   The total market value of the assets held in collective investment funds and common trust funds operated by trust institutions grew from $1.6 trillion at year-end 2002 to $3.0 trillion at year</w:t>
      </w:r>
      <w:r>
        <w:noBreakHyphen/>
        <w:t xml:space="preserve">end 2007.  </w:t>
      </w:r>
    </w:p>
    <w:p w:rsidR="00CF278D" w:rsidRDefault="00CF278D" w:rsidP="00414C5D">
      <w:pPr>
        <w:ind w:firstLine="720"/>
        <w:jc w:val="both"/>
      </w:pPr>
    </w:p>
    <w:p w:rsidR="00414C5D" w:rsidRDefault="00414C5D" w:rsidP="00414C5D">
      <w:pPr>
        <w:ind w:firstLine="720"/>
        <w:jc w:val="both"/>
        <w:rPr>
          <w:color w:val="000000"/>
        </w:rPr>
      </w:pPr>
      <w:r>
        <w:rPr>
          <w:color w:val="000000"/>
        </w:rPr>
        <w:t xml:space="preserve">The agencies have been monitoring the growth in fiduciary activities and trends in this area, both from data collected in Schedule RC-T and through the examination process, and have determined that certain data should be added to Schedule RC-T to enable the agencies to better evaluate the trust activities of individual trust institutions and the industry as a whole.  The agencies are proposing to implement the following revisions to Schedule RC-T as of </w:t>
      </w:r>
      <w:smartTag w:uri="urn:schemas-microsoft-com:office:smarttags" w:element="date">
        <w:smartTagPr>
          <w:attr w:name="Year" w:val="2009"/>
          <w:attr w:name="Day" w:val="31"/>
          <w:attr w:name="Month" w:val="12"/>
        </w:smartTagPr>
        <w:r>
          <w:rPr>
            <w:color w:val="000000"/>
          </w:rPr>
          <w:t xml:space="preserve">December </w:t>
        </w:r>
        <w:r>
          <w:rPr>
            <w:color w:val="000000"/>
          </w:rPr>
          <w:lastRenderedPageBreak/>
          <w:t>31, 2009</w:t>
        </w:r>
      </w:smartTag>
      <w:r>
        <w:rPr>
          <w:color w:val="000000"/>
        </w:rPr>
        <w:t>.</w:t>
      </w:r>
    </w:p>
    <w:p w:rsidR="00414C5D" w:rsidRDefault="00414C5D" w:rsidP="00414C5D">
      <w:pPr>
        <w:ind w:firstLine="720"/>
        <w:jc w:val="both"/>
        <w:rPr>
          <w:color w:val="000000"/>
        </w:rPr>
      </w:pPr>
    </w:p>
    <w:p w:rsidR="00414C5D" w:rsidRDefault="00414C5D" w:rsidP="00414C5D">
      <w:pPr>
        <w:jc w:val="both"/>
        <w:rPr>
          <w:color w:val="000000"/>
        </w:rPr>
      </w:pPr>
      <w:r>
        <w:rPr>
          <w:color w:val="000000"/>
          <w:u w:val="single"/>
        </w:rPr>
        <w:t xml:space="preserve">A.  Institutional </w:t>
      </w:r>
      <w:r w:rsidRPr="00E90FCA">
        <w:rPr>
          <w:color w:val="000000"/>
          <w:u w:val="single"/>
        </w:rPr>
        <w:t>Foundations and Endowments</w:t>
      </w:r>
      <w:r>
        <w:rPr>
          <w:color w:val="000000"/>
        </w:rPr>
        <w:t xml:space="preserve">  </w:t>
      </w:r>
    </w:p>
    <w:p w:rsidR="00414C5D" w:rsidRDefault="00414C5D" w:rsidP="00414C5D">
      <w:pPr>
        <w:ind w:firstLine="720"/>
        <w:jc w:val="both"/>
        <w:rPr>
          <w:color w:val="000000"/>
        </w:rPr>
      </w:pPr>
    </w:p>
    <w:p w:rsidR="00414C5D" w:rsidRDefault="00414C5D" w:rsidP="000A49D8">
      <w:pPr>
        <w:ind w:firstLine="720"/>
        <w:jc w:val="both"/>
        <w:rPr>
          <w:color w:val="000000"/>
        </w:rPr>
      </w:pPr>
      <w:r>
        <w:rPr>
          <w:color w:val="000000"/>
        </w:rPr>
        <w:t xml:space="preserve">In both </w:t>
      </w:r>
      <w:r w:rsidRPr="00E90FCA">
        <w:rPr>
          <w:color w:val="000000"/>
        </w:rPr>
        <w:t xml:space="preserve">the Fiduciary and Related Assets section of </w:t>
      </w:r>
      <w:r>
        <w:rPr>
          <w:color w:val="000000"/>
        </w:rPr>
        <w:t xml:space="preserve">Schedule </w:t>
      </w:r>
      <w:r w:rsidRPr="00E90FCA">
        <w:rPr>
          <w:color w:val="000000"/>
        </w:rPr>
        <w:t>RC-T and the Fiduciary and Related Services Income section</w:t>
      </w:r>
      <w:r>
        <w:rPr>
          <w:color w:val="000000"/>
        </w:rPr>
        <w:t xml:space="preserve"> of the schedule, information on the assets, number of </w:t>
      </w:r>
      <w:proofErr w:type="gramStart"/>
      <w:r>
        <w:rPr>
          <w:color w:val="000000"/>
        </w:rPr>
        <w:t>accounts,</w:t>
      </w:r>
      <w:proofErr w:type="gramEnd"/>
      <w:r>
        <w:rPr>
          <w:color w:val="000000"/>
        </w:rPr>
        <w:t xml:space="preserve"> and income from fiduciary accounts of institutional foundations and endowments is currently reported as part of the total amounts reported for “Other fiduciary accounts.”  </w:t>
      </w:r>
      <w:r w:rsidRPr="00E90FCA">
        <w:rPr>
          <w:color w:val="000000"/>
        </w:rPr>
        <w:t xml:space="preserve">Internal Revenue Service </w:t>
      </w:r>
      <w:r>
        <w:rPr>
          <w:color w:val="000000"/>
        </w:rPr>
        <w:t xml:space="preserve">(IRS) </w:t>
      </w:r>
      <w:r w:rsidRPr="00E90FCA">
        <w:rPr>
          <w:color w:val="000000"/>
        </w:rPr>
        <w:t xml:space="preserve">statistics </w:t>
      </w:r>
      <w:r>
        <w:rPr>
          <w:color w:val="000000"/>
        </w:rPr>
        <w:t xml:space="preserve">for 2004, the most recent year for which data are available, </w:t>
      </w:r>
      <w:r w:rsidRPr="00E90FCA">
        <w:rPr>
          <w:color w:val="000000"/>
        </w:rPr>
        <w:t>indicated that foundations and charitable trusts treated as foundations by the IRS held</w:t>
      </w:r>
      <w:r>
        <w:rPr>
          <w:color w:val="000000"/>
        </w:rPr>
        <w:t xml:space="preserve"> assets with a total book value </w:t>
      </w:r>
      <w:proofErr w:type="gramStart"/>
      <w:r>
        <w:rPr>
          <w:color w:val="000000"/>
        </w:rPr>
        <w:t xml:space="preserve">of </w:t>
      </w:r>
      <w:r w:rsidRPr="00E90FCA">
        <w:rPr>
          <w:color w:val="000000"/>
        </w:rPr>
        <w:t xml:space="preserve"> $</w:t>
      </w:r>
      <w:proofErr w:type="gramEnd"/>
      <w:r w:rsidRPr="00E90FCA">
        <w:rPr>
          <w:color w:val="000000"/>
        </w:rPr>
        <w:t>451 billion.</w:t>
      </w:r>
      <w:r w:rsidRPr="00CF278D">
        <w:rPr>
          <w:rStyle w:val="FootnoteReference"/>
          <w:color w:val="000000"/>
          <w:vertAlign w:val="superscript"/>
        </w:rPr>
        <w:footnoteReference w:id="11"/>
      </w:r>
      <w:r w:rsidRPr="00CF278D">
        <w:rPr>
          <w:color w:val="000000"/>
          <w:vertAlign w:val="superscript"/>
        </w:rPr>
        <w:t xml:space="preserve">  </w:t>
      </w:r>
      <w:r>
        <w:rPr>
          <w:color w:val="000000"/>
        </w:rPr>
        <w:t xml:space="preserve">The agencies believe that trust institutions administer a substantial amount of these assets and </w:t>
      </w:r>
      <w:proofErr w:type="gramStart"/>
      <w:r>
        <w:rPr>
          <w:color w:val="000000"/>
        </w:rPr>
        <w:t>that f</w:t>
      </w:r>
      <w:r w:rsidRPr="00E90FCA">
        <w:rPr>
          <w:color w:val="000000"/>
        </w:rPr>
        <w:t>oundations</w:t>
      </w:r>
      <w:proofErr w:type="gramEnd"/>
      <w:r w:rsidRPr="00E90FCA">
        <w:rPr>
          <w:color w:val="000000"/>
        </w:rPr>
        <w:t xml:space="preserve"> and endowments </w:t>
      </w:r>
      <w:r>
        <w:rPr>
          <w:color w:val="000000"/>
        </w:rPr>
        <w:t>are a</w:t>
      </w:r>
      <w:r w:rsidRPr="00E90FCA">
        <w:rPr>
          <w:color w:val="000000"/>
        </w:rPr>
        <w:t xml:space="preserve"> major type </w:t>
      </w:r>
      <w:r>
        <w:rPr>
          <w:color w:val="000000"/>
        </w:rPr>
        <w:t>of fiduciary account</w:t>
      </w:r>
      <w:r w:rsidRPr="00E90FCA">
        <w:rPr>
          <w:color w:val="000000"/>
        </w:rPr>
        <w:t xml:space="preserve"> being </w:t>
      </w:r>
      <w:r>
        <w:rPr>
          <w:color w:val="000000"/>
        </w:rPr>
        <w:t>aggregated as a component of “</w:t>
      </w:r>
      <w:r w:rsidRPr="00E90FCA">
        <w:rPr>
          <w:color w:val="000000"/>
        </w:rPr>
        <w:t xml:space="preserve">Other </w:t>
      </w:r>
      <w:r>
        <w:rPr>
          <w:color w:val="000000"/>
        </w:rPr>
        <w:t>f</w:t>
      </w:r>
      <w:r w:rsidRPr="00E90FCA">
        <w:rPr>
          <w:color w:val="000000"/>
        </w:rPr>
        <w:t xml:space="preserve">iduciary </w:t>
      </w:r>
      <w:r>
        <w:rPr>
          <w:color w:val="000000"/>
        </w:rPr>
        <w:t>a</w:t>
      </w:r>
      <w:r w:rsidRPr="00E90FCA">
        <w:rPr>
          <w:color w:val="000000"/>
        </w:rPr>
        <w:t>ccount</w:t>
      </w:r>
      <w:r>
        <w:rPr>
          <w:color w:val="000000"/>
        </w:rPr>
        <w:t>s.”</w:t>
      </w:r>
      <w:r w:rsidRPr="00E90FCA">
        <w:rPr>
          <w:color w:val="000000"/>
        </w:rPr>
        <w:t xml:space="preserve">  Given the volume of assets administer</w:t>
      </w:r>
      <w:r>
        <w:rPr>
          <w:color w:val="000000"/>
        </w:rPr>
        <w:t>ed in</w:t>
      </w:r>
      <w:r w:rsidRPr="00E90FCA">
        <w:rPr>
          <w:color w:val="000000"/>
        </w:rPr>
        <w:t xml:space="preserve"> accounts for foundations and endowments, </w:t>
      </w:r>
      <w:r>
        <w:rPr>
          <w:color w:val="000000"/>
        </w:rPr>
        <w:t>separate reporting in Schedule RC-T of data for such a significant type of fiduciary account is warranted.</w:t>
      </w:r>
    </w:p>
    <w:p w:rsidR="00414C5D" w:rsidRDefault="00414C5D" w:rsidP="00414C5D">
      <w:pPr>
        <w:ind w:firstLine="720"/>
        <w:jc w:val="both"/>
        <w:rPr>
          <w:color w:val="000000"/>
        </w:rPr>
      </w:pPr>
      <w:r>
        <w:rPr>
          <w:color w:val="000000"/>
        </w:rPr>
        <w:t xml:space="preserve">  </w:t>
      </w:r>
    </w:p>
    <w:p w:rsidR="00414C5D" w:rsidRDefault="00095BE0" w:rsidP="00414C5D">
      <w:pPr>
        <w:jc w:val="both"/>
        <w:rPr>
          <w:color w:val="000000"/>
        </w:rPr>
      </w:pPr>
      <w:r>
        <w:rPr>
          <w:color w:val="000000"/>
          <w:u w:val="single"/>
        </w:rPr>
        <w:t>B</w:t>
      </w:r>
      <w:r w:rsidR="00414C5D">
        <w:rPr>
          <w:color w:val="000000"/>
          <w:u w:val="single"/>
        </w:rPr>
        <w:t>.  Investment Advisory Agency Accounts</w:t>
      </w:r>
      <w:r w:rsidR="00414C5D">
        <w:rPr>
          <w:color w:val="000000"/>
        </w:rPr>
        <w:t xml:space="preserve">  </w:t>
      </w:r>
    </w:p>
    <w:p w:rsidR="00414C5D" w:rsidRDefault="00414C5D" w:rsidP="00414C5D">
      <w:pPr>
        <w:ind w:firstLine="720"/>
        <w:jc w:val="both"/>
        <w:rPr>
          <w:color w:val="000000"/>
        </w:rPr>
      </w:pPr>
    </w:p>
    <w:p w:rsidR="00414C5D" w:rsidRDefault="00414C5D" w:rsidP="00414C5D">
      <w:pPr>
        <w:ind w:firstLine="720"/>
        <w:jc w:val="both"/>
        <w:rPr>
          <w:color w:val="000000"/>
        </w:rPr>
      </w:pPr>
      <w:r w:rsidRPr="00CF03FF">
        <w:rPr>
          <w:color w:val="000000"/>
        </w:rPr>
        <w:t xml:space="preserve">Investment advisory agency accounts are accounts for which </w:t>
      </w:r>
      <w:r>
        <w:rPr>
          <w:color w:val="000000"/>
        </w:rPr>
        <w:t>a trust</w:t>
      </w:r>
      <w:r w:rsidRPr="00CF03FF">
        <w:rPr>
          <w:color w:val="000000"/>
        </w:rPr>
        <w:t xml:space="preserve"> institution provides investment advice for a fee, but where the ultimate investment decision rests with the customer. </w:t>
      </w:r>
      <w:r>
        <w:rPr>
          <w:color w:val="000000"/>
        </w:rPr>
        <w:t xml:space="preserve"> At present, the instructions for reporting in both </w:t>
      </w:r>
      <w:r w:rsidRPr="00E90FCA">
        <w:rPr>
          <w:color w:val="000000"/>
        </w:rPr>
        <w:t xml:space="preserve">the Fiduciary and Related Assets section of </w:t>
      </w:r>
      <w:r>
        <w:rPr>
          <w:color w:val="000000"/>
        </w:rPr>
        <w:t xml:space="preserve">Schedule </w:t>
      </w:r>
      <w:r w:rsidRPr="00E90FCA">
        <w:rPr>
          <w:color w:val="000000"/>
        </w:rPr>
        <w:t>RC-T and the Fiduciary and Related Services Income section</w:t>
      </w:r>
      <w:r>
        <w:rPr>
          <w:color w:val="000000"/>
        </w:rPr>
        <w:t xml:space="preserve"> of the schedule do not identify the type of fiduciary account in which information on the assets, number of accounts, and income from investment advisory agency accounts should be reported.  As a result, there is diversity in how trust institutions report this information in these two sections of Schedule RC-T.  </w:t>
      </w:r>
    </w:p>
    <w:p w:rsidR="000A49D8" w:rsidRDefault="000A49D8" w:rsidP="00414C5D">
      <w:pPr>
        <w:ind w:firstLine="720"/>
        <w:jc w:val="both"/>
        <w:rPr>
          <w:color w:val="000000"/>
        </w:rPr>
      </w:pPr>
    </w:p>
    <w:p w:rsidR="00414C5D" w:rsidRDefault="00414C5D" w:rsidP="00414C5D">
      <w:pPr>
        <w:ind w:firstLine="720"/>
        <w:jc w:val="both"/>
        <w:rPr>
          <w:color w:val="000000"/>
        </w:rPr>
      </w:pPr>
      <w:r>
        <w:rPr>
          <w:color w:val="000000"/>
        </w:rPr>
        <w:t xml:space="preserve">Investment management agency accounts share a common characteristic with investment advisory agency accounts in that both involve </w:t>
      </w:r>
      <w:r w:rsidRPr="00CF03FF">
        <w:rPr>
          <w:color w:val="000000"/>
        </w:rPr>
        <w:t>the provision of investment advice to a customer for the purpose of determining which securities to buy, sell, or hold</w:t>
      </w:r>
      <w:r>
        <w:rPr>
          <w:color w:val="000000"/>
        </w:rPr>
        <w:t xml:space="preserve">.  However, the former is a type of managed account while the latter is a type of non-managed account.  </w:t>
      </w:r>
      <w:r w:rsidRPr="00CF03FF">
        <w:rPr>
          <w:color w:val="000000"/>
        </w:rPr>
        <w:t xml:space="preserve">In order to clarify where investment advisory agency accounts should be reported </w:t>
      </w:r>
      <w:r>
        <w:rPr>
          <w:color w:val="000000"/>
        </w:rPr>
        <w:t xml:space="preserve">in Schedule RC-T </w:t>
      </w:r>
      <w:r w:rsidRPr="00CF03FF">
        <w:rPr>
          <w:color w:val="000000"/>
        </w:rPr>
        <w:t xml:space="preserve">and </w:t>
      </w:r>
      <w:r>
        <w:rPr>
          <w:color w:val="000000"/>
        </w:rPr>
        <w:t>include t</w:t>
      </w:r>
      <w:r w:rsidRPr="00CF03FF">
        <w:rPr>
          <w:color w:val="000000"/>
        </w:rPr>
        <w:t>he</w:t>
      </w:r>
      <w:r>
        <w:rPr>
          <w:color w:val="000000"/>
        </w:rPr>
        <w:t>m</w:t>
      </w:r>
      <w:r w:rsidRPr="00CF03FF">
        <w:rPr>
          <w:color w:val="000000"/>
        </w:rPr>
        <w:t xml:space="preserve"> </w:t>
      </w:r>
      <w:r>
        <w:rPr>
          <w:color w:val="000000"/>
        </w:rPr>
        <w:t>with the most appropriate type of fiduciary account</w:t>
      </w:r>
      <w:r w:rsidRPr="00CF03FF">
        <w:rPr>
          <w:color w:val="000000"/>
        </w:rPr>
        <w:t xml:space="preserve"> given their characteristics, </w:t>
      </w:r>
      <w:r>
        <w:rPr>
          <w:color w:val="000000"/>
        </w:rPr>
        <w:t xml:space="preserve">the agencies are proposing that investment advisory agency accounts be reported with investment management agency accounts in the </w:t>
      </w:r>
      <w:r w:rsidRPr="00E90FCA">
        <w:rPr>
          <w:color w:val="000000"/>
        </w:rPr>
        <w:t>Fiduciary and Related Assets and the Fiduciary and Related Services Income</w:t>
      </w:r>
      <w:r>
        <w:rPr>
          <w:color w:val="000000"/>
        </w:rPr>
        <w:t xml:space="preserve"> sections of Schedule RC-T.  The line item captions in these two sections for “Investment management agency accounts” would be revised to read “Investment management and investment advisory agency accounts.”  In addition, given the non-managed nature of investment advisory agency accounts, the currently blocked items for non-managed assets and number of non-managed accounts in the line for investment management agency accounts in the Fiduciary and Related Assets section of Schedule RC-T would be opened to enable trust institutions to report on these advisory accounts.</w:t>
      </w:r>
    </w:p>
    <w:p w:rsidR="00414C5D" w:rsidRDefault="00414C5D" w:rsidP="00414C5D">
      <w:pPr>
        <w:ind w:firstLine="720"/>
        <w:jc w:val="both"/>
        <w:rPr>
          <w:color w:val="000000"/>
        </w:rPr>
      </w:pPr>
    </w:p>
    <w:p w:rsidR="00414C5D" w:rsidRDefault="000A49D8" w:rsidP="00414C5D">
      <w:pPr>
        <w:jc w:val="both"/>
        <w:rPr>
          <w:color w:val="000000"/>
        </w:rPr>
      </w:pPr>
      <w:r>
        <w:rPr>
          <w:color w:val="000000"/>
          <w:u w:val="single"/>
        </w:rPr>
        <w:br w:type="page"/>
      </w:r>
      <w:r w:rsidR="00414C5D">
        <w:rPr>
          <w:color w:val="000000"/>
          <w:u w:val="single"/>
        </w:rPr>
        <w:lastRenderedPageBreak/>
        <w:t>C.  IRAs</w:t>
      </w:r>
      <w:r w:rsidR="00414C5D" w:rsidRPr="000D34A4">
        <w:rPr>
          <w:color w:val="000000"/>
          <w:u w:val="single"/>
        </w:rPr>
        <w:t xml:space="preserve">, </w:t>
      </w:r>
      <w:r w:rsidR="00414C5D">
        <w:rPr>
          <w:color w:val="000000"/>
          <w:u w:val="single"/>
        </w:rPr>
        <w:t>HSAs</w:t>
      </w:r>
      <w:r w:rsidR="00414C5D" w:rsidRPr="000D34A4">
        <w:rPr>
          <w:color w:val="000000"/>
          <w:u w:val="single"/>
        </w:rPr>
        <w:t>, and Other Similar Accounts</w:t>
      </w:r>
      <w:r w:rsidR="00414C5D">
        <w:rPr>
          <w:color w:val="000000"/>
        </w:rPr>
        <w:t xml:space="preserve">  </w:t>
      </w:r>
    </w:p>
    <w:p w:rsidR="00414C5D" w:rsidRDefault="00414C5D" w:rsidP="00414C5D">
      <w:pPr>
        <w:ind w:firstLine="720"/>
        <w:jc w:val="both"/>
        <w:rPr>
          <w:color w:val="000000"/>
        </w:rPr>
      </w:pPr>
    </w:p>
    <w:p w:rsidR="00414C5D" w:rsidRDefault="00414C5D" w:rsidP="00414C5D">
      <w:pPr>
        <w:ind w:firstLine="720"/>
        <w:jc w:val="both"/>
        <w:rPr>
          <w:color w:val="000000"/>
        </w:rPr>
      </w:pPr>
      <w:r w:rsidRPr="000D34A4">
        <w:rPr>
          <w:color w:val="000000"/>
        </w:rPr>
        <w:t xml:space="preserve">IRAs, HSAs, and other similar accounts represent a large category of individual benefit and other retirement-related accounts </w:t>
      </w:r>
      <w:r>
        <w:rPr>
          <w:color w:val="000000"/>
        </w:rPr>
        <w:t xml:space="preserve">administered by trust institutions </w:t>
      </w:r>
      <w:r w:rsidRPr="000D34A4">
        <w:rPr>
          <w:color w:val="000000"/>
        </w:rPr>
        <w:t xml:space="preserve">for which the agencies do not collect specific data.  </w:t>
      </w:r>
      <w:r>
        <w:rPr>
          <w:color w:val="000000"/>
        </w:rPr>
        <w:t xml:space="preserve">At present, </w:t>
      </w:r>
      <w:r w:rsidRPr="000D34A4">
        <w:rPr>
          <w:color w:val="000000"/>
        </w:rPr>
        <w:t xml:space="preserve">data for these accounts is included in the </w:t>
      </w:r>
      <w:r>
        <w:rPr>
          <w:color w:val="000000"/>
        </w:rPr>
        <w:t>totals reported for “Other employee benefit and other retirement-related accounts” and “Custody and safekeeping accounts” in the Fiduciary and Related Assets section of Schedule RC-T (items</w:t>
      </w:r>
      <w:r w:rsidRPr="000D34A4">
        <w:rPr>
          <w:color w:val="000000"/>
        </w:rPr>
        <w:t xml:space="preserve"> 7</w:t>
      </w:r>
      <w:r>
        <w:rPr>
          <w:color w:val="000000"/>
        </w:rPr>
        <w:t>.c</w:t>
      </w:r>
      <w:r w:rsidRPr="000D34A4">
        <w:rPr>
          <w:color w:val="000000"/>
        </w:rPr>
        <w:t xml:space="preserve"> and 13</w:t>
      </w:r>
      <w:r>
        <w:rPr>
          <w:color w:val="000000"/>
        </w:rPr>
        <w:t>)</w:t>
      </w:r>
      <w:r w:rsidRPr="000D34A4">
        <w:rPr>
          <w:color w:val="000000"/>
        </w:rPr>
        <w:t xml:space="preserve">.  </w:t>
      </w:r>
      <w:r>
        <w:rPr>
          <w:color w:val="000000"/>
        </w:rPr>
        <w:t xml:space="preserve">As of year-end 2007, </w:t>
      </w:r>
      <w:r w:rsidRPr="000D34A4">
        <w:rPr>
          <w:color w:val="000000"/>
        </w:rPr>
        <w:t xml:space="preserve">assets held in IRAs </w:t>
      </w:r>
      <w:r>
        <w:rPr>
          <w:color w:val="000000"/>
        </w:rPr>
        <w:t xml:space="preserve">were estimated to be </w:t>
      </w:r>
      <w:r w:rsidRPr="000D34A4">
        <w:rPr>
          <w:color w:val="000000"/>
        </w:rPr>
        <w:t>$4</w:t>
      </w:r>
      <w:r>
        <w:rPr>
          <w:color w:val="000000"/>
        </w:rPr>
        <w:t>.7</w:t>
      </w:r>
      <w:r w:rsidRPr="000D34A4">
        <w:rPr>
          <w:color w:val="000000"/>
        </w:rPr>
        <w:t xml:space="preserve"> trillion.</w:t>
      </w:r>
      <w:r w:rsidRPr="00095BE0">
        <w:rPr>
          <w:rStyle w:val="FootnoteReference"/>
          <w:color w:val="000000"/>
          <w:vertAlign w:val="superscript"/>
        </w:rPr>
        <w:footnoteReference w:id="12"/>
      </w:r>
      <w:r w:rsidRPr="00095BE0">
        <w:rPr>
          <w:color w:val="000000"/>
          <w:vertAlign w:val="superscript"/>
        </w:rPr>
        <w:t xml:space="preserve">  </w:t>
      </w:r>
    </w:p>
    <w:p w:rsidR="00095BE0" w:rsidRDefault="00095BE0" w:rsidP="00414C5D">
      <w:pPr>
        <w:ind w:firstLine="720"/>
        <w:jc w:val="both"/>
        <w:rPr>
          <w:color w:val="000000"/>
        </w:rPr>
      </w:pPr>
    </w:p>
    <w:p w:rsidR="00414C5D" w:rsidRDefault="00414C5D" w:rsidP="00414C5D">
      <w:pPr>
        <w:ind w:firstLine="720"/>
        <w:jc w:val="both"/>
        <w:rPr>
          <w:color w:val="000000"/>
        </w:rPr>
      </w:pPr>
      <w:r w:rsidRPr="000D34A4">
        <w:rPr>
          <w:color w:val="000000"/>
        </w:rPr>
        <w:t xml:space="preserve">Significant growth in </w:t>
      </w:r>
      <w:r>
        <w:rPr>
          <w:color w:val="000000"/>
        </w:rPr>
        <w:t>IRAs administered by trust institutions</w:t>
      </w:r>
      <w:r w:rsidRPr="000D34A4">
        <w:rPr>
          <w:color w:val="000000"/>
        </w:rPr>
        <w:t xml:space="preserve"> is expected as </w:t>
      </w:r>
      <w:r>
        <w:rPr>
          <w:color w:val="000000"/>
        </w:rPr>
        <w:t xml:space="preserve">retiring </w:t>
      </w:r>
      <w:r w:rsidRPr="000D34A4">
        <w:rPr>
          <w:color w:val="000000"/>
        </w:rPr>
        <w:t xml:space="preserve">individuals roll assets </w:t>
      </w:r>
      <w:r>
        <w:rPr>
          <w:color w:val="000000"/>
        </w:rPr>
        <w:t xml:space="preserve">held </w:t>
      </w:r>
      <w:r w:rsidRPr="000D34A4">
        <w:rPr>
          <w:color w:val="000000"/>
        </w:rPr>
        <w:t xml:space="preserve">in 401(k) plans </w:t>
      </w:r>
      <w:r>
        <w:rPr>
          <w:color w:val="000000"/>
        </w:rPr>
        <w:t xml:space="preserve">over </w:t>
      </w:r>
      <w:r w:rsidRPr="000D34A4">
        <w:rPr>
          <w:color w:val="000000"/>
        </w:rPr>
        <w:t>into IRAs</w:t>
      </w:r>
      <w:r>
        <w:rPr>
          <w:color w:val="000000"/>
        </w:rPr>
        <w:t>.  Significant growth in</w:t>
      </w:r>
      <w:r w:rsidRPr="000D34A4">
        <w:rPr>
          <w:color w:val="000000"/>
        </w:rPr>
        <w:t xml:space="preserve"> HSAs </w:t>
      </w:r>
      <w:r>
        <w:rPr>
          <w:color w:val="000000"/>
        </w:rPr>
        <w:t xml:space="preserve">is also anticipated as these accounts </w:t>
      </w:r>
      <w:r w:rsidRPr="000D34A4">
        <w:rPr>
          <w:color w:val="000000"/>
        </w:rPr>
        <w:t xml:space="preserve">gain </w:t>
      </w:r>
      <w:r>
        <w:rPr>
          <w:color w:val="000000"/>
        </w:rPr>
        <w:t>increased</w:t>
      </w:r>
      <w:r w:rsidRPr="000D34A4">
        <w:rPr>
          <w:color w:val="000000"/>
        </w:rPr>
        <w:t xml:space="preserve"> popularity with the public.  IRAs, HSAs, and other similar accounts for individuals have risk characteristics that differ </w:t>
      </w:r>
      <w:r>
        <w:rPr>
          <w:color w:val="000000"/>
        </w:rPr>
        <w:t>f</w:t>
      </w:r>
      <w:r w:rsidRPr="000D34A4">
        <w:rPr>
          <w:color w:val="000000"/>
        </w:rPr>
        <w:t>rom employee benefit plans</w:t>
      </w:r>
      <w:r>
        <w:rPr>
          <w:color w:val="000000"/>
        </w:rPr>
        <w:t xml:space="preserve"> that are covered by the Employee Retirement Income Security Act</w:t>
      </w:r>
      <w:r w:rsidRPr="000D34A4">
        <w:rPr>
          <w:color w:val="000000"/>
        </w:rPr>
        <w:t xml:space="preserve">.  In particular, the risks </w:t>
      </w:r>
      <w:r>
        <w:rPr>
          <w:color w:val="000000"/>
        </w:rPr>
        <w:t xml:space="preserve">of these accounts for individuals </w:t>
      </w:r>
      <w:r w:rsidRPr="000D34A4">
        <w:rPr>
          <w:color w:val="000000"/>
        </w:rPr>
        <w:t xml:space="preserve">tend to center on compliance with the </w:t>
      </w:r>
      <w:r>
        <w:rPr>
          <w:color w:val="000000"/>
        </w:rPr>
        <w:t>relevant</w:t>
      </w:r>
      <w:r w:rsidRPr="000D34A4">
        <w:rPr>
          <w:color w:val="000000"/>
        </w:rPr>
        <w:t xml:space="preserve"> provision</w:t>
      </w:r>
      <w:r>
        <w:rPr>
          <w:color w:val="000000"/>
        </w:rPr>
        <w:t>s</w:t>
      </w:r>
      <w:r w:rsidRPr="000D34A4">
        <w:rPr>
          <w:color w:val="000000"/>
        </w:rPr>
        <w:t xml:space="preserve"> of the Internal Revenue Code and </w:t>
      </w:r>
      <w:r>
        <w:rPr>
          <w:color w:val="000000"/>
        </w:rPr>
        <w:t xml:space="preserve">the </w:t>
      </w:r>
      <w:r w:rsidRPr="000D34A4">
        <w:rPr>
          <w:color w:val="000000"/>
        </w:rPr>
        <w:t xml:space="preserve">potential penalties for violations thereof.  </w:t>
      </w:r>
      <w:r>
        <w:rPr>
          <w:color w:val="000000"/>
        </w:rPr>
        <w:t xml:space="preserve">To identify trust institutions experiencing significant changes in the number and market value of assets of these types of accounts for supervisory follow-up and to monitor </w:t>
      </w:r>
      <w:r w:rsidRPr="000D34A4">
        <w:rPr>
          <w:color w:val="000000"/>
        </w:rPr>
        <w:t xml:space="preserve">both aggregate and individual </w:t>
      </w:r>
      <w:r>
        <w:rPr>
          <w:color w:val="000000"/>
        </w:rPr>
        <w:t xml:space="preserve">trust </w:t>
      </w:r>
      <w:r w:rsidRPr="000D34A4">
        <w:rPr>
          <w:color w:val="000000"/>
        </w:rPr>
        <w:t>institution growth trends in</w:t>
      </w:r>
      <w:r>
        <w:rPr>
          <w:color w:val="000000"/>
        </w:rPr>
        <w:t xml:space="preserve">volving </w:t>
      </w:r>
      <w:r w:rsidRPr="000D34A4">
        <w:rPr>
          <w:color w:val="000000"/>
        </w:rPr>
        <w:t>these accounts</w:t>
      </w:r>
      <w:r>
        <w:rPr>
          <w:color w:val="000000"/>
        </w:rPr>
        <w:t>, the agencies are proposing to add a line item to the Fiduciary and Related Assets section of Schedule RC-T for data on IRAs, HSAs, and other similar accounts included in “Other employee benefit and other retirement-related accounts” and “Custody and safekeeping accounts.”</w:t>
      </w:r>
    </w:p>
    <w:p w:rsidR="00414C5D" w:rsidRDefault="00414C5D" w:rsidP="00414C5D">
      <w:pPr>
        <w:ind w:firstLine="720"/>
        <w:jc w:val="both"/>
        <w:rPr>
          <w:color w:val="000000"/>
        </w:rPr>
      </w:pPr>
      <w:r>
        <w:rPr>
          <w:color w:val="000000"/>
        </w:rPr>
        <w:t xml:space="preserve"> </w:t>
      </w:r>
      <w:r w:rsidRPr="000D34A4">
        <w:rPr>
          <w:color w:val="000000"/>
        </w:rPr>
        <w:t xml:space="preserve">  </w:t>
      </w:r>
      <w:r>
        <w:rPr>
          <w:color w:val="000000"/>
        </w:rPr>
        <w:t xml:space="preserve"> </w:t>
      </w:r>
    </w:p>
    <w:p w:rsidR="00414C5D" w:rsidRDefault="00414C5D" w:rsidP="00414C5D">
      <w:pPr>
        <w:jc w:val="both"/>
        <w:rPr>
          <w:color w:val="000000"/>
        </w:rPr>
      </w:pPr>
      <w:r>
        <w:rPr>
          <w:color w:val="000000"/>
          <w:u w:val="single"/>
        </w:rPr>
        <w:t xml:space="preserve">D.  </w:t>
      </w:r>
      <w:r w:rsidRPr="007F07F6">
        <w:rPr>
          <w:color w:val="000000"/>
          <w:u w:val="single"/>
        </w:rPr>
        <w:t>Managed Assets Held in Fiduciary Accounts</w:t>
      </w:r>
      <w:r>
        <w:rPr>
          <w:color w:val="000000"/>
        </w:rPr>
        <w:t xml:space="preserve">  </w:t>
      </w:r>
    </w:p>
    <w:p w:rsidR="00414C5D" w:rsidRDefault="00414C5D" w:rsidP="00414C5D">
      <w:pPr>
        <w:ind w:firstLine="720"/>
        <w:jc w:val="both"/>
        <w:rPr>
          <w:color w:val="000000"/>
        </w:rPr>
      </w:pPr>
    </w:p>
    <w:p w:rsidR="00414C5D" w:rsidRDefault="00414C5D" w:rsidP="00414C5D">
      <w:pPr>
        <w:ind w:firstLine="720"/>
        <w:jc w:val="both"/>
        <w:rPr>
          <w:color w:val="000000"/>
        </w:rPr>
      </w:pPr>
      <w:r>
        <w:rPr>
          <w:color w:val="000000"/>
        </w:rPr>
        <w:t xml:space="preserve">Trust institutions currently report a breakdown of the market value of managed assets held in personal trust and agency accounts by type of asset in Memorandum item 1 of Schedule RC-T.  The agencies do not collect a similar breakdown of the managed assets for other types of fiduciary accounts.  </w:t>
      </w:r>
      <w:r w:rsidRPr="00BB3B57">
        <w:rPr>
          <w:color w:val="000000"/>
        </w:rPr>
        <w:t xml:space="preserve">The exercise of investment discretion adds a significant element of risk to the administration of </w:t>
      </w:r>
      <w:r>
        <w:rPr>
          <w:color w:val="000000"/>
        </w:rPr>
        <w:t xml:space="preserve">managed </w:t>
      </w:r>
      <w:r w:rsidRPr="00BB3B57">
        <w:rPr>
          <w:color w:val="000000"/>
        </w:rPr>
        <w:t xml:space="preserve">fiduciary accounts.  </w:t>
      </w:r>
      <w:r>
        <w:rPr>
          <w:color w:val="000000"/>
        </w:rPr>
        <w:t>Therefore</w:t>
      </w:r>
      <w:r w:rsidRPr="00BB3B57">
        <w:rPr>
          <w:color w:val="000000"/>
        </w:rPr>
        <w:t>, it is essential that the agencies be ab</w:t>
      </w:r>
      <w:r>
        <w:rPr>
          <w:color w:val="000000"/>
        </w:rPr>
        <w:t xml:space="preserve">le to monitor trends, both on a trust </w:t>
      </w:r>
      <w:r w:rsidRPr="00BB3B57">
        <w:rPr>
          <w:color w:val="000000"/>
        </w:rPr>
        <w:t xml:space="preserve">industry-wide basis and an individual </w:t>
      </w:r>
      <w:r>
        <w:rPr>
          <w:color w:val="000000"/>
        </w:rPr>
        <w:t>trust institution</w:t>
      </w:r>
      <w:r w:rsidRPr="00BB3B57">
        <w:rPr>
          <w:color w:val="000000"/>
        </w:rPr>
        <w:t xml:space="preserve"> basis, in how discretionary fiduciaries are investing the assets of managed accounts.  The </w:t>
      </w:r>
      <w:r>
        <w:rPr>
          <w:color w:val="000000"/>
        </w:rPr>
        <w:t xml:space="preserve">current </w:t>
      </w:r>
      <w:r w:rsidRPr="00BB3B57">
        <w:rPr>
          <w:color w:val="000000"/>
        </w:rPr>
        <w:t xml:space="preserve">scope of </w:t>
      </w:r>
      <w:r>
        <w:rPr>
          <w:color w:val="000000"/>
        </w:rPr>
        <w:t xml:space="preserve">managed assets </w:t>
      </w:r>
      <w:r w:rsidRPr="00BB3B57">
        <w:rPr>
          <w:color w:val="000000"/>
        </w:rPr>
        <w:t>reporting is inadequate for monitoring and measuring risk exposures and provides inadequate information for examiners</w:t>
      </w:r>
      <w:r>
        <w:rPr>
          <w:color w:val="000000"/>
        </w:rPr>
        <w:t>’</w:t>
      </w:r>
      <w:r w:rsidRPr="00BB3B57">
        <w:rPr>
          <w:color w:val="000000"/>
        </w:rPr>
        <w:t xml:space="preserve"> examination planning activities.  </w:t>
      </w:r>
    </w:p>
    <w:p w:rsidR="00095BE0" w:rsidRDefault="00095BE0" w:rsidP="00414C5D">
      <w:pPr>
        <w:ind w:firstLine="720"/>
        <w:jc w:val="both"/>
        <w:rPr>
          <w:color w:val="000000"/>
        </w:rPr>
      </w:pPr>
    </w:p>
    <w:p w:rsidR="00095BE0" w:rsidRDefault="00414C5D" w:rsidP="00414C5D">
      <w:pPr>
        <w:ind w:firstLine="720"/>
        <w:jc w:val="both"/>
        <w:rPr>
          <w:color w:val="000000"/>
        </w:rPr>
      </w:pPr>
      <w:r w:rsidRPr="00BB3B57">
        <w:rPr>
          <w:color w:val="000000"/>
        </w:rPr>
        <w:t>Despite the importance of such data, managed personal trust and agency accounts comprised just 20</w:t>
      </w:r>
      <w:r>
        <w:rPr>
          <w:color w:val="000000"/>
        </w:rPr>
        <w:t xml:space="preserve"> percent </w:t>
      </w:r>
      <w:r w:rsidRPr="00BB3B57">
        <w:rPr>
          <w:color w:val="000000"/>
        </w:rPr>
        <w:t xml:space="preserve">of the number of </w:t>
      </w:r>
      <w:r>
        <w:rPr>
          <w:color w:val="000000"/>
        </w:rPr>
        <w:t xml:space="preserve">total </w:t>
      </w:r>
      <w:r w:rsidRPr="00BB3B57">
        <w:rPr>
          <w:color w:val="000000"/>
        </w:rPr>
        <w:t xml:space="preserve">managed accounts and </w:t>
      </w:r>
      <w:r>
        <w:rPr>
          <w:color w:val="000000"/>
        </w:rPr>
        <w:t>the assets of managed personal trust and agency accounts represented 18 percent</w:t>
      </w:r>
      <w:r w:rsidRPr="00BB3B57">
        <w:rPr>
          <w:color w:val="000000"/>
        </w:rPr>
        <w:t xml:space="preserve"> of total managed assets</w:t>
      </w:r>
      <w:r>
        <w:rPr>
          <w:color w:val="000000"/>
        </w:rPr>
        <w:t xml:space="preserve"> as of </w:t>
      </w:r>
      <w:smartTag w:uri="urn:schemas-microsoft-com:office:smarttags" w:element="date">
        <w:smartTagPr>
          <w:attr w:name="Year" w:val="2007"/>
          <w:attr w:name="Day" w:val="31"/>
          <w:attr w:name="Month" w:val="12"/>
        </w:smartTagPr>
        <w:r>
          <w:rPr>
            <w:color w:val="000000"/>
          </w:rPr>
          <w:t>December 31, 2007</w:t>
        </w:r>
      </w:smartTag>
      <w:r w:rsidRPr="00BB3B57">
        <w:rPr>
          <w:color w:val="000000"/>
        </w:rPr>
        <w:t xml:space="preserve">.  By comparison, </w:t>
      </w:r>
      <w:r>
        <w:rPr>
          <w:color w:val="000000"/>
        </w:rPr>
        <w:t xml:space="preserve">as of the same date, </w:t>
      </w:r>
      <w:r w:rsidRPr="00BB3B57">
        <w:rPr>
          <w:color w:val="000000"/>
        </w:rPr>
        <w:t>investment management agency accounts comprise 66</w:t>
      </w:r>
      <w:r>
        <w:rPr>
          <w:color w:val="000000"/>
        </w:rPr>
        <w:t xml:space="preserve"> percent of the number</w:t>
      </w:r>
      <w:r w:rsidRPr="00BB3B57">
        <w:rPr>
          <w:color w:val="000000"/>
        </w:rPr>
        <w:t xml:space="preserve"> of total managed accounts and </w:t>
      </w:r>
      <w:r>
        <w:rPr>
          <w:color w:val="000000"/>
        </w:rPr>
        <w:t xml:space="preserve">the assets of investment management agency accounts represented 36 percent </w:t>
      </w:r>
      <w:r w:rsidRPr="00BB3B57">
        <w:rPr>
          <w:color w:val="000000"/>
        </w:rPr>
        <w:t>of total managed assets</w:t>
      </w:r>
      <w:r>
        <w:rPr>
          <w:color w:val="000000"/>
        </w:rPr>
        <w:t>, while</w:t>
      </w:r>
      <w:r w:rsidRPr="00BB3B57">
        <w:rPr>
          <w:color w:val="000000"/>
        </w:rPr>
        <w:t xml:space="preserve"> </w:t>
      </w:r>
      <w:r>
        <w:rPr>
          <w:color w:val="000000"/>
        </w:rPr>
        <w:t xml:space="preserve">the assets of </w:t>
      </w:r>
      <w:r w:rsidRPr="00BB3B57">
        <w:rPr>
          <w:color w:val="000000"/>
        </w:rPr>
        <w:t>employee benefit and other retirement accounts comprise</w:t>
      </w:r>
      <w:r>
        <w:rPr>
          <w:color w:val="000000"/>
        </w:rPr>
        <w:t>d</w:t>
      </w:r>
      <w:r w:rsidRPr="00BB3B57">
        <w:rPr>
          <w:color w:val="000000"/>
        </w:rPr>
        <w:t xml:space="preserve"> 41</w:t>
      </w:r>
      <w:r>
        <w:rPr>
          <w:color w:val="000000"/>
        </w:rPr>
        <w:t xml:space="preserve"> percent</w:t>
      </w:r>
      <w:r w:rsidRPr="00BB3B57">
        <w:rPr>
          <w:color w:val="000000"/>
        </w:rPr>
        <w:t xml:space="preserve"> of total managed assets. </w:t>
      </w:r>
    </w:p>
    <w:p w:rsidR="00414C5D" w:rsidRDefault="00414C5D" w:rsidP="00414C5D">
      <w:pPr>
        <w:ind w:firstLine="720"/>
        <w:jc w:val="both"/>
        <w:rPr>
          <w:color w:val="000000"/>
        </w:rPr>
      </w:pPr>
      <w:r w:rsidRPr="00BB3B57">
        <w:rPr>
          <w:color w:val="000000"/>
        </w:rPr>
        <w:t xml:space="preserve"> </w:t>
      </w:r>
    </w:p>
    <w:p w:rsidR="00095BE0" w:rsidRDefault="00414C5D" w:rsidP="00414C5D">
      <w:pPr>
        <w:ind w:firstLine="720"/>
        <w:jc w:val="both"/>
        <w:rPr>
          <w:color w:val="000000"/>
        </w:rPr>
      </w:pPr>
      <w:r w:rsidRPr="00BB3B57">
        <w:rPr>
          <w:color w:val="000000"/>
        </w:rPr>
        <w:lastRenderedPageBreak/>
        <w:t xml:space="preserve">In order to close the significant </w:t>
      </w:r>
      <w:r>
        <w:rPr>
          <w:color w:val="000000"/>
        </w:rPr>
        <w:t xml:space="preserve">data </w:t>
      </w:r>
      <w:r w:rsidRPr="00BB3B57">
        <w:rPr>
          <w:color w:val="000000"/>
        </w:rPr>
        <w:t xml:space="preserve">gap in current reporting, </w:t>
      </w:r>
      <w:r>
        <w:rPr>
          <w:color w:val="000000"/>
        </w:rPr>
        <w:t>the agencies are proposing to expand Memorandum item 1 of Schedule RC-T to collect a three-way breakdown of the market value of all managed assets held in fiduciary accounts by type of asset.  The market values for the various asset types would be reported separately for three categories of managed fiduciary accounts:  (1)</w:t>
      </w:r>
      <w:r w:rsidRPr="00BB3B57">
        <w:rPr>
          <w:color w:val="000000"/>
        </w:rPr>
        <w:t xml:space="preserve"> </w:t>
      </w:r>
      <w:r>
        <w:rPr>
          <w:color w:val="000000"/>
        </w:rPr>
        <w:t>p</w:t>
      </w:r>
      <w:r w:rsidRPr="00BB3B57">
        <w:rPr>
          <w:color w:val="000000"/>
        </w:rPr>
        <w:t>ersonal trust and agency and investment management agency accounts</w:t>
      </w:r>
      <w:r>
        <w:rPr>
          <w:color w:val="000000"/>
        </w:rPr>
        <w:t>, (2)</w:t>
      </w:r>
      <w:r w:rsidRPr="00BB3B57">
        <w:rPr>
          <w:color w:val="000000"/>
        </w:rPr>
        <w:t xml:space="preserve"> employee benefit and other retirement accounts, and </w:t>
      </w:r>
      <w:r>
        <w:rPr>
          <w:color w:val="000000"/>
        </w:rPr>
        <w:t xml:space="preserve">(3) </w:t>
      </w:r>
      <w:r w:rsidRPr="00BB3B57">
        <w:rPr>
          <w:color w:val="000000"/>
        </w:rPr>
        <w:t xml:space="preserve">all other accounts.  </w:t>
      </w:r>
      <w:r>
        <w:rPr>
          <w:color w:val="000000"/>
        </w:rPr>
        <w:t xml:space="preserve">The various types of fiduciary accounts have been combined into these three categories </w:t>
      </w:r>
      <w:r w:rsidRPr="00BB3B57">
        <w:rPr>
          <w:color w:val="000000"/>
        </w:rPr>
        <w:t>since each category is subject to unique regulatory and fiduciary standards</w:t>
      </w:r>
      <w:r>
        <w:rPr>
          <w:color w:val="000000"/>
        </w:rPr>
        <w:t>.</w:t>
      </w:r>
      <w:r w:rsidRPr="00BB3B57">
        <w:rPr>
          <w:color w:val="000000"/>
        </w:rPr>
        <w:t xml:space="preserve"> </w:t>
      </w:r>
      <w:r>
        <w:rPr>
          <w:color w:val="000000"/>
        </w:rPr>
        <w:t xml:space="preserve"> Data reported in this manner</w:t>
      </w:r>
      <w:r w:rsidRPr="00BB3B57">
        <w:rPr>
          <w:color w:val="000000"/>
        </w:rPr>
        <w:t xml:space="preserve"> will assist in monitoring and measuring risk </w:t>
      </w:r>
      <w:r>
        <w:rPr>
          <w:color w:val="000000"/>
        </w:rPr>
        <w:t xml:space="preserve">at trust institutions </w:t>
      </w:r>
      <w:r w:rsidRPr="00BB3B57">
        <w:rPr>
          <w:color w:val="000000"/>
        </w:rPr>
        <w:t>and in pre-examination planning by examiners.</w:t>
      </w:r>
      <w:r>
        <w:rPr>
          <w:color w:val="000000"/>
        </w:rPr>
        <w:t xml:space="preserve"> </w:t>
      </w:r>
    </w:p>
    <w:p w:rsidR="00414C5D" w:rsidRDefault="00414C5D" w:rsidP="00414C5D">
      <w:pPr>
        <w:ind w:firstLine="720"/>
        <w:jc w:val="both"/>
        <w:rPr>
          <w:color w:val="000000"/>
        </w:rPr>
      </w:pPr>
      <w:r>
        <w:rPr>
          <w:color w:val="000000"/>
        </w:rPr>
        <w:t xml:space="preserve"> </w:t>
      </w:r>
    </w:p>
    <w:p w:rsidR="00414C5D" w:rsidRDefault="00414C5D" w:rsidP="00414C5D">
      <w:pPr>
        <w:tabs>
          <w:tab w:val="left" w:pos="540"/>
          <w:tab w:val="left" w:pos="1440"/>
          <w:tab w:val="left" w:pos="5040"/>
        </w:tabs>
        <w:ind w:firstLine="720"/>
        <w:jc w:val="both"/>
      </w:pPr>
      <w:r w:rsidRPr="004A6D60">
        <w:rPr>
          <w:color w:val="000000"/>
        </w:rPr>
        <w:t xml:space="preserve">The agencies have also reviewed the types of assets for which trust institutions currently provide a breakdown in Memorandum item 1.  </w:t>
      </w:r>
      <w:r>
        <w:rPr>
          <w:color w:val="000000"/>
        </w:rPr>
        <w:t>In this regard, d</w:t>
      </w:r>
      <w:r w:rsidRPr="004A6D60">
        <w:t xml:space="preserve">iscretionary investments in common trust funds </w:t>
      </w:r>
      <w:r>
        <w:t xml:space="preserve">(CTFs) </w:t>
      </w:r>
      <w:r w:rsidRPr="004A6D60">
        <w:t>and collective investment funds (</w:t>
      </w:r>
      <w:r>
        <w:t>C</w:t>
      </w:r>
      <w:r w:rsidRPr="004A6D60">
        <w:t>IF</w:t>
      </w:r>
      <w:r>
        <w:t>s</w:t>
      </w:r>
      <w:r w:rsidRPr="004A6D60">
        <w:t xml:space="preserve">) are not </w:t>
      </w:r>
      <w:r>
        <w:t xml:space="preserve">separately </w:t>
      </w:r>
      <w:r w:rsidRPr="004A6D60">
        <w:t xml:space="preserve">reported in </w:t>
      </w:r>
      <w:r>
        <w:t>this M</w:t>
      </w:r>
      <w:r w:rsidRPr="004A6D60">
        <w:t xml:space="preserve">emorandum </w:t>
      </w:r>
      <w:r>
        <w:t>i</w:t>
      </w:r>
      <w:r w:rsidRPr="004A6D60">
        <w:t xml:space="preserve">tem.  Instead, </w:t>
      </w:r>
      <w:r>
        <w:t>trust</w:t>
      </w:r>
      <w:r w:rsidRPr="004A6D60">
        <w:t xml:space="preserve"> institutions are required to </w:t>
      </w:r>
      <w:r>
        <w:t>allocate</w:t>
      </w:r>
      <w:r w:rsidRPr="004A6D60">
        <w:t xml:space="preserve"> the underlying assets of each CTF and CIF attributable to </w:t>
      </w:r>
      <w:r>
        <w:t>managed accounts to</w:t>
      </w:r>
      <w:r w:rsidRPr="004A6D60">
        <w:t xml:space="preserve"> the individual line items </w:t>
      </w:r>
      <w:r>
        <w:t>for the various types of assets reported in M</w:t>
      </w:r>
      <w:r w:rsidRPr="004A6D60">
        <w:t>emorandum</w:t>
      </w:r>
      <w:r>
        <w:t xml:space="preserve"> item 1</w:t>
      </w:r>
      <w:r w:rsidRPr="004A6D60">
        <w:t>.</w:t>
      </w:r>
    </w:p>
    <w:p w:rsidR="00095BE0" w:rsidRDefault="00095BE0" w:rsidP="00414C5D">
      <w:pPr>
        <w:tabs>
          <w:tab w:val="left" w:pos="540"/>
          <w:tab w:val="left" w:pos="1440"/>
          <w:tab w:val="left" w:pos="5040"/>
        </w:tabs>
        <w:ind w:firstLine="720"/>
        <w:jc w:val="both"/>
      </w:pPr>
    </w:p>
    <w:p w:rsidR="00414C5D" w:rsidRDefault="00414C5D" w:rsidP="00414C5D">
      <w:pPr>
        <w:tabs>
          <w:tab w:val="left" w:pos="540"/>
          <w:tab w:val="left" w:pos="1440"/>
          <w:tab w:val="left" w:pos="5040"/>
        </w:tabs>
        <w:ind w:firstLine="720"/>
        <w:jc w:val="both"/>
      </w:pPr>
      <w:r w:rsidRPr="004A6D60">
        <w:t>Th</w:t>
      </w:r>
      <w:r>
        <w:t>e agencies have found th</w:t>
      </w:r>
      <w:r w:rsidRPr="004A6D60">
        <w:t xml:space="preserve">is method of reporting investments in CTFs and CIFs </w:t>
      </w:r>
      <w:r>
        <w:t>to be</w:t>
      </w:r>
      <w:r w:rsidRPr="004A6D60">
        <w:t xml:space="preserve"> misleading, confusing, and burdensome</w:t>
      </w:r>
      <w:r>
        <w:t xml:space="preserve"> for trust institutions</w:t>
      </w:r>
      <w:r w:rsidRPr="004A6D60">
        <w:t xml:space="preserve">.  It is misleading </w:t>
      </w:r>
      <w:r>
        <w:t xml:space="preserve">because </w:t>
      </w:r>
      <w:r w:rsidRPr="004A6D60">
        <w:t>an investment in a CTF or CIF that invests in common stocks is very different in nature than a</w:t>
      </w:r>
      <w:r>
        <w:t xml:space="preserve"> direct</w:t>
      </w:r>
      <w:r w:rsidRPr="004A6D60">
        <w:t xml:space="preserve"> investment in an individual common stock</w:t>
      </w:r>
      <w:r>
        <w:t>, but</w:t>
      </w:r>
      <w:r w:rsidRPr="004A6D60">
        <w:t xml:space="preserve"> these investments are reported as if the institution were investing in a specific asset, rather than in a fund.  It is confusing </w:t>
      </w:r>
      <w:r>
        <w:t xml:space="preserve">and burdensome </w:t>
      </w:r>
      <w:r w:rsidRPr="004A6D60">
        <w:t>to reporting institutions that often do</w:t>
      </w:r>
      <w:r>
        <w:t xml:space="preserve"> </w:t>
      </w:r>
      <w:r w:rsidRPr="004A6D60">
        <w:t>n</w:t>
      </w:r>
      <w:r>
        <w:t>o</w:t>
      </w:r>
      <w:r w:rsidRPr="004A6D60">
        <w:t xml:space="preserve">t understand </w:t>
      </w:r>
      <w:r>
        <w:t>the allocation process currently required for reporting the value of the underlying assets of the</w:t>
      </w:r>
      <w:r w:rsidRPr="004A6D60">
        <w:t xml:space="preserve"> CTFs and CIFs</w:t>
      </w:r>
      <w:r>
        <w:t xml:space="preserve">. </w:t>
      </w:r>
    </w:p>
    <w:p w:rsidR="00095BE0" w:rsidRDefault="00095BE0" w:rsidP="00414C5D">
      <w:pPr>
        <w:tabs>
          <w:tab w:val="left" w:pos="540"/>
          <w:tab w:val="left" w:pos="1440"/>
          <w:tab w:val="left" w:pos="5040"/>
        </w:tabs>
        <w:ind w:firstLine="720"/>
        <w:jc w:val="both"/>
      </w:pPr>
    </w:p>
    <w:p w:rsidR="00414C5D" w:rsidRDefault="00414C5D" w:rsidP="00414C5D">
      <w:pPr>
        <w:tabs>
          <w:tab w:val="left" w:pos="540"/>
          <w:tab w:val="left" w:pos="1440"/>
          <w:tab w:val="left" w:pos="5040"/>
        </w:tabs>
        <w:ind w:firstLine="720"/>
        <w:jc w:val="both"/>
      </w:pPr>
      <w:r>
        <w:t xml:space="preserve">This allocation process </w:t>
      </w:r>
      <w:r w:rsidRPr="004A6D60">
        <w:t xml:space="preserve">requires </w:t>
      </w:r>
      <w:r>
        <w:t xml:space="preserve">institutions </w:t>
      </w:r>
      <w:r w:rsidRPr="004A6D60">
        <w:t xml:space="preserve">to </w:t>
      </w:r>
      <w:r>
        <w:t xml:space="preserve">segregate the underlying assets of each CTF and CIF </w:t>
      </w:r>
      <w:r w:rsidRPr="004A6D60">
        <w:t xml:space="preserve">by </w:t>
      </w:r>
      <w:r>
        <w:t>asset type</w:t>
      </w:r>
      <w:r w:rsidRPr="004A6D60">
        <w:t xml:space="preserve">, rather than </w:t>
      </w:r>
      <w:r>
        <w:t>following the more</w:t>
      </w:r>
      <w:r w:rsidRPr="004A6D60">
        <w:t xml:space="preserve"> </w:t>
      </w:r>
      <w:r>
        <w:t>straightforward approach</w:t>
      </w:r>
      <w:r w:rsidRPr="004A6D60">
        <w:t xml:space="preserve"> of reporting the </w:t>
      </w:r>
      <w:r>
        <w:t xml:space="preserve">total </w:t>
      </w:r>
      <w:r w:rsidRPr="004A6D60">
        <w:t xml:space="preserve">value of managed accounts’ holdings </w:t>
      </w:r>
      <w:r>
        <w:t>of investments in CTFs and CIFs</w:t>
      </w:r>
      <w:r w:rsidRPr="004A6D60">
        <w:t xml:space="preserve">.  </w:t>
      </w:r>
      <w:r>
        <w:t>Therefore, the agencies are proposing to end the current method of reporting investments in CTFs and CIFs in Memorandum item 1 by adding</w:t>
      </w:r>
      <w:r w:rsidRPr="004A6D60">
        <w:t xml:space="preserve"> a separate line item for investments in CTFs and CIFs</w:t>
      </w:r>
      <w:r>
        <w:t xml:space="preserve">.  This new asset type will enable </w:t>
      </w:r>
      <w:r w:rsidRPr="004A6D60">
        <w:t xml:space="preserve">the agencies </w:t>
      </w:r>
      <w:r>
        <w:t>to</w:t>
      </w:r>
      <w:r w:rsidRPr="004A6D60">
        <w:t xml:space="preserve"> collect data that actually reflects the investment choices of discretionary fiduciaries, i.e.</w:t>
      </w:r>
      <w:r>
        <w:t>,</w:t>
      </w:r>
      <w:r w:rsidRPr="004A6D60">
        <w:t xml:space="preserve"> investing in a fund rather than an </w:t>
      </w:r>
      <w:r w:rsidRPr="00AC3A0B">
        <w:t xml:space="preserve">individual asset, while simplifying the reporting of these investments by eliminating the requirement to report each type of asset held by a fund.  </w:t>
      </w:r>
    </w:p>
    <w:p w:rsidR="00095BE0" w:rsidRPr="00AC3A0B" w:rsidRDefault="00095BE0" w:rsidP="00414C5D">
      <w:pPr>
        <w:tabs>
          <w:tab w:val="left" w:pos="540"/>
          <w:tab w:val="left" w:pos="1440"/>
          <w:tab w:val="left" w:pos="5040"/>
        </w:tabs>
        <w:ind w:firstLine="720"/>
        <w:jc w:val="both"/>
      </w:pPr>
    </w:p>
    <w:p w:rsidR="00414C5D" w:rsidRDefault="00414C5D" w:rsidP="00414C5D">
      <w:pPr>
        <w:tabs>
          <w:tab w:val="left" w:pos="540"/>
          <w:tab w:val="left" w:pos="1440"/>
          <w:tab w:val="left" w:pos="5040"/>
        </w:tabs>
        <w:ind w:firstLine="720"/>
        <w:jc w:val="both"/>
      </w:pPr>
      <w:r w:rsidRPr="00AC3A0B">
        <w:rPr>
          <w:color w:val="000000"/>
        </w:rPr>
        <w:t xml:space="preserve">At present, the asset type for “common and preferred stocks” in Memorandum item 1 includes not only these stocks, but also all investments in mutual funds (other than money market mutual funds, which are reported separately), private equity investments, and investments in unregistered and hedge funds.  </w:t>
      </w:r>
      <w:r>
        <w:rPr>
          <w:color w:val="000000"/>
        </w:rPr>
        <w:t>In</w:t>
      </w:r>
      <w:r w:rsidRPr="00AC3A0B">
        <w:t xml:space="preserve">vestments in mutual funds </w:t>
      </w:r>
      <w:r>
        <w:t xml:space="preserve">(other than money market mutual funds) have long been reported with common and preferred stocks.  However, over time, these investments have gone </w:t>
      </w:r>
      <w:r w:rsidRPr="00AC3A0B">
        <w:t xml:space="preserve">from being a relatively minor investment option for </w:t>
      </w:r>
      <w:r>
        <w:t xml:space="preserve">managed </w:t>
      </w:r>
      <w:r w:rsidRPr="00AC3A0B">
        <w:t xml:space="preserve">fiduciary accounts to being </w:t>
      </w:r>
      <w:r>
        <w:t xml:space="preserve">one of the most significant asset types </w:t>
      </w:r>
      <w:r w:rsidRPr="00AC3A0B">
        <w:t xml:space="preserve">for </w:t>
      </w:r>
      <w:r>
        <w:t xml:space="preserve">managed </w:t>
      </w:r>
      <w:r w:rsidRPr="00AC3A0B">
        <w:t>fiduciary accounts.</w:t>
      </w:r>
      <w:r>
        <w:t xml:space="preserve">  </w:t>
      </w:r>
    </w:p>
    <w:p w:rsidR="00095BE0" w:rsidRDefault="00095BE0" w:rsidP="00414C5D">
      <w:pPr>
        <w:tabs>
          <w:tab w:val="left" w:pos="540"/>
          <w:tab w:val="left" w:pos="1440"/>
          <w:tab w:val="left" w:pos="5040"/>
        </w:tabs>
        <w:ind w:firstLine="720"/>
        <w:jc w:val="both"/>
      </w:pPr>
    </w:p>
    <w:p w:rsidR="00414C5D" w:rsidRDefault="00414C5D" w:rsidP="00414C5D">
      <w:pPr>
        <w:tabs>
          <w:tab w:val="left" w:pos="540"/>
          <w:tab w:val="left" w:pos="1440"/>
          <w:tab w:val="left" w:pos="5040"/>
        </w:tabs>
        <w:ind w:firstLine="720"/>
        <w:jc w:val="both"/>
      </w:pPr>
      <w:r>
        <w:t xml:space="preserve">As a consequence, </w:t>
      </w:r>
      <w:r w:rsidRPr="00AC3A0B">
        <w:t xml:space="preserve">the agencies </w:t>
      </w:r>
      <w:r>
        <w:t xml:space="preserve">lack </w:t>
      </w:r>
      <w:r w:rsidRPr="00AC3A0B">
        <w:t>specific data on discretionary investments in mutual funds</w:t>
      </w:r>
      <w:r>
        <w:t xml:space="preserve"> (other than money market mutual funds) despite their </w:t>
      </w:r>
      <w:r w:rsidRPr="00AC3A0B">
        <w:t xml:space="preserve">distinctive </w:t>
      </w:r>
      <w:r>
        <w:t xml:space="preserve">differences </w:t>
      </w:r>
      <w:r w:rsidRPr="00AC3A0B">
        <w:t xml:space="preserve">from investments in individual common stocks.  </w:t>
      </w:r>
      <w:r>
        <w:t xml:space="preserve">Given these differences and the growth in mutual </w:t>
      </w:r>
      <w:r>
        <w:lastRenderedPageBreak/>
        <w:t>fund holdings in managed fiduciary accounts, the a</w:t>
      </w:r>
      <w:r w:rsidRPr="00AC3A0B">
        <w:t xml:space="preserve">gencies </w:t>
      </w:r>
      <w:r>
        <w:t xml:space="preserve">are proposing to add two new items to Memorandum item 1 to collect data on investments in equity mutual funds and in other (non-money </w:t>
      </w:r>
      <w:r w:rsidRPr="00C752E5">
        <w:t xml:space="preserve">market) mutual funds separately from common and preferred stocks.  </w:t>
      </w:r>
    </w:p>
    <w:p w:rsidR="00095BE0" w:rsidRPr="00C752E5" w:rsidRDefault="00095BE0" w:rsidP="00414C5D">
      <w:pPr>
        <w:tabs>
          <w:tab w:val="left" w:pos="540"/>
          <w:tab w:val="left" w:pos="1440"/>
          <w:tab w:val="left" w:pos="5040"/>
        </w:tabs>
        <w:ind w:firstLine="720"/>
        <w:jc w:val="both"/>
      </w:pPr>
    </w:p>
    <w:p w:rsidR="00CA49D8" w:rsidRDefault="00414C5D" w:rsidP="00CA49D8">
      <w:pPr>
        <w:tabs>
          <w:tab w:val="left" w:pos="1440"/>
        </w:tabs>
        <w:ind w:firstLine="720"/>
        <w:jc w:val="both"/>
      </w:pPr>
      <w:r>
        <w:t xml:space="preserve">Investments in </w:t>
      </w:r>
      <w:r w:rsidRPr="00C752E5">
        <w:t xml:space="preserve">hedge funds and private equity have grown rapidly since the implementation of </w:t>
      </w:r>
      <w:r>
        <w:t xml:space="preserve">Schedule </w:t>
      </w:r>
      <w:r w:rsidRPr="00C752E5">
        <w:t>RC-T</w:t>
      </w:r>
      <w:r>
        <w:t xml:space="preserve"> in 2001</w:t>
      </w:r>
      <w:r w:rsidRPr="00C752E5">
        <w:t>, with large institutional investors, e.g.</w:t>
      </w:r>
      <w:r>
        <w:t>,</w:t>
      </w:r>
      <w:r w:rsidRPr="00C752E5">
        <w:t xml:space="preserve"> large pension plans, increasing their allocation to these types on investments in order to increase portfolio returns and pursue absolute return strategies.  </w:t>
      </w:r>
      <w:r>
        <w:t>As mentioned above,</w:t>
      </w:r>
      <w:r w:rsidRPr="00C752E5">
        <w:t xml:space="preserve"> these types of investments are </w:t>
      </w:r>
      <w:r>
        <w:t xml:space="preserve">currently </w:t>
      </w:r>
      <w:r w:rsidRPr="00C752E5">
        <w:t xml:space="preserve">reported in the </w:t>
      </w:r>
      <w:r>
        <w:t>“c</w:t>
      </w:r>
      <w:r w:rsidRPr="00C752E5">
        <w:t xml:space="preserve">ommon </w:t>
      </w:r>
      <w:r>
        <w:t>and preferred s</w:t>
      </w:r>
      <w:r w:rsidRPr="00C752E5">
        <w:t>tock</w:t>
      </w:r>
      <w:r>
        <w:t>s” asset type in</w:t>
      </w:r>
      <w:r w:rsidRPr="00C752E5">
        <w:t xml:space="preserve"> Memorandum </w:t>
      </w:r>
      <w:r>
        <w:t>i</w:t>
      </w:r>
      <w:r w:rsidRPr="00C752E5">
        <w:t xml:space="preserve">tem 1.  However, given their unique characteristics and risks and the increasing role such investments </w:t>
      </w:r>
      <w:r>
        <w:t xml:space="preserve">are </w:t>
      </w:r>
      <w:r w:rsidRPr="00C752E5">
        <w:t xml:space="preserve">having in </w:t>
      </w:r>
      <w:r>
        <w:t xml:space="preserve">managed </w:t>
      </w:r>
      <w:r w:rsidRPr="00C752E5">
        <w:t>fiduciary portfolios, the agencies</w:t>
      </w:r>
      <w:r>
        <w:t xml:space="preserve"> believe there is a need to identify the volume of these investments </w:t>
      </w:r>
      <w:r w:rsidRPr="00C752E5">
        <w:t xml:space="preserve">to monitor both aggregate </w:t>
      </w:r>
      <w:r>
        <w:t xml:space="preserve">trust </w:t>
      </w:r>
      <w:r w:rsidRPr="00C752E5">
        <w:t>industry exposure</w:t>
      </w:r>
      <w:r>
        <w:t xml:space="preserve"> and trust insti</w:t>
      </w:r>
      <w:r w:rsidRPr="00C752E5">
        <w:t>tution</w:t>
      </w:r>
      <w:r>
        <w:t>-</w:t>
      </w:r>
      <w:r w:rsidRPr="00C752E5">
        <w:t>specific exposure.</w:t>
      </w:r>
      <w:r>
        <w:t xml:space="preserve">  </w:t>
      </w:r>
      <w:r w:rsidR="00CA49D8">
        <w:t xml:space="preserve">Therefore, the agencies also propose to revise Memorandum item 1 to </w:t>
      </w:r>
      <w:r w:rsidR="00CA49D8" w:rsidRPr="00D130A9">
        <w:t>exclude</w:t>
      </w:r>
      <w:r w:rsidR="00CA49D8">
        <w:t xml:space="preserve"> investments in unregistered funds and private equity </w:t>
      </w:r>
      <w:r w:rsidR="00CA49D8" w:rsidRPr="00D130A9">
        <w:t>from the</w:t>
      </w:r>
      <w:r w:rsidR="00CA49D8">
        <w:t xml:space="preserve"> </w:t>
      </w:r>
      <w:proofErr w:type="spellStart"/>
      <w:r w:rsidR="00CA49D8">
        <w:t>subitem</w:t>
      </w:r>
      <w:proofErr w:type="spellEnd"/>
      <w:r w:rsidR="00CA49D8">
        <w:t xml:space="preserve"> for investments in c</w:t>
      </w:r>
      <w:r w:rsidR="00CA49D8" w:rsidRPr="00D130A9">
        <w:t xml:space="preserve">ommon and </w:t>
      </w:r>
      <w:r w:rsidR="00CA49D8">
        <w:t>p</w:t>
      </w:r>
      <w:r w:rsidR="00CA49D8" w:rsidRPr="00D130A9">
        <w:t xml:space="preserve">referred </w:t>
      </w:r>
      <w:r w:rsidR="00CA49D8">
        <w:t>s</w:t>
      </w:r>
      <w:r w:rsidR="00CA49D8" w:rsidRPr="00D130A9">
        <w:t>tock</w:t>
      </w:r>
      <w:r w:rsidR="00CA49D8">
        <w:t xml:space="preserve">s.  Instead, each type of investment will be reported as a separate component of “Total managed assets held in fiduciary accounts,” with the </w:t>
      </w:r>
      <w:proofErr w:type="spellStart"/>
      <w:r w:rsidR="00CA49D8">
        <w:t>subitems</w:t>
      </w:r>
      <w:proofErr w:type="spellEnd"/>
      <w:r w:rsidR="00CA49D8">
        <w:t xml:space="preserve"> within Memorandum item 1 renumbered accordingly.  </w:t>
      </w:r>
      <w:r w:rsidR="00CA49D8" w:rsidRPr="00D130A9">
        <w:t xml:space="preserve">  </w:t>
      </w:r>
    </w:p>
    <w:p w:rsidR="00095BE0" w:rsidRDefault="00095BE0" w:rsidP="00CA49D8">
      <w:pPr>
        <w:tabs>
          <w:tab w:val="left" w:pos="540"/>
          <w:tab w:val="left" w:pos="1440"/>
          <w:tab w:val="left" w:pos="5040"/>
        </w:tabs>
        <w:jc w:val="both"/>
      </w:pPr>
    </w:p>
    <w:p w:rsidR="00414C5D" w:rsidRDefault="00414C5D" w:rsidP="00414C5D">
      <w:pPr>
        <w:tabs>
          <w:tab w:val="left" w:pos="540"/>
          <w:tab w:val="left" w:pos="1440"/>
          <w:tab w:val="left" w:pos="5040"/>
        </w:tabs>
        <w:ind w:firstLine="720"/>
        <w:jc w:val="both"/>
        <w:rPr>
          <w:color w:val="000000"/>
        </w:rPr>
      </w:pPr>
      <w:r>
        <w:rPr>
          <w:color w:val="000000"/>
        </w:rPr>
        <w:t xml:space="preserve">Finally, since their inception in 1994, mutual funds for which the reporting trust institution or its subsidiary or affiliate is the sponsor or serves as an investment advisor (also referred to as proprietary mutual funds) have posed a significant fiduciary risk when the institution makes investments in such mutual funds for the fiduciary accounts it manages.  In this situation, the institution’s dual roles present a conflict of interest, which has given rise to litigation on a number of occasions.  </w:t>
      </w:r>
      <w:r w:rsidRPr="0085162B">
        <w:rPr>
          <w:color w:val="000000"/>
        </w:rPr>
        <w:t xml:space="preserve">Therefore, </w:t>
      </w:r>
      <w:r>
        <w:rPr>
          <w:color w:val="000000"/>
        </w:rPr>
        <w:t xml:space="preserve">to supplement the proposed expanded information on mutual funds held in managed fiduciary accounts, the agencies are proposing to add items to Memorandum item 1 for </w:t>
      </w:r>
      <w:r w:rsidRPr="0085162B">
        <w:rPr>
          <w:color w:val="000000"/>
        </w:rPr>
        <w:t xml:space="preserve">the reporting of </w:t>
      </w:r>
      <w:r>
        <w:rPr>
          <w:color w:val="000000"/>
        </w:rPr>
        <w:t xml:space="preserve">the market value of </w:t>
      </w:r>
      <w:r w:rsidRPr="0085162B">
        <w:rPr>
          <w:color w:val="000000"/>
        </w:rPr>
        <w:t>discretionary investments in proprietary mutual funds</w:t>
      </w:r>
      <w:r>
        <w:rPr>
          <w:color w:val="000000"/>
        </w:rPr>
        <w:t xml:space="preserve"> and the number of managed accounts holding such investments.  This information will assist the agencies in</w:t>
      </w:r>
      <w:r w:rsidRPr="0085162B">
        <w:rPr>
          <w:color w:val="000000"/>
        </w:rPr>
        <w:t xml:space="preserve"> measuring and monitoring the</w:t>
      </w:r>
      <w:r>
        <w:rPr>
          <w:color w:val="000000"/>
        </w:rPr>
        <w:t xml:space="preserve"> risk exposure of the trust </w:t>
      </w:r>
      <w:r w:rsidRPr="0085162B">
        <w:rPr>
          <w:color w:val="000000"/>
        </w:rPr>
        <w:t>industry</w:t>
      </w:r>
      <w:r>
        <w:rPr>
          <w:color w:val="000000"/>
        </w:rPr>
        <w:t xml:space="preserve"> </w:t>
      </w:r>
      <w:r w:rsidRPr="0085162B">
        <w:rPr>
          <w:color w:val="000000"/>
        </w:rPr>
        <w:t xml:space="preserve">and individual </w:t>
      </w:r>
      <w:r>
        <w:rPr>
          <w:color w:val="000000"/>
        </w:rPr>
        <w:t xml:space="preserve">trust </w:t>
      </w:r>
      <w:r w:rsidRPr="0085162B">
        <w:rPr>
          <w:color w:val="000000"/>
        </w:rPr>
        <w:t xml:space="preserve">institutions with respect to the conflicts of interest inherent in </w:t>
      </w:r>
      <w:r>
        <w:rPr>
          <w:color w:val="000000"/>
        </w:rPr>
        <w:t>discretionary investments in proprietary mutual funds</w:t>
      </w:r>
      <w:r w:rsidRPr="0085162B">
        <w:rPr>
          <w:color w:val="000000"/>
        </w:rPr>
        <w:t>.</w:t>
      </w:r>
    </w:p>
    <w:p w:rsidR="00414C5D" w:rsidRDefault="00414C5D" w:rsidP="00414C5D">
      <w:pPr>
        <w:tabs>
          <w:tab w:val="left" w:pos="540"/>
          <w:tab w:val="left" w:pos="1440"/>
          <w:tab w:val="left" w:pos="5040"/>
        </w:tabs>
        <w:ind w:firstLine="720"/>
        <w:jc w:val="both"/>
        <w:rPr>
          <w:color w:val="000000"/>
        </w:rPr>
      </w:pPr>
    </w:p>
    <w:p w:rsidR="00414C5D" w:rsidRDefault="00414C5D" w:rsidP="00414C5D">
      <w:pPr>
        <w:tabs>
          <w:tab w:val="left" w:pos="540"/>
          <w:tab w:val="left" w:pos="1440"/>
          <w:tab w:val="left" w:pos="5040"/>
        </w:tabs>
        <w:jc w:val="both"/>
        <w:rPr>
          <w:color w:val="000000"/>
        </w:rPr>
      </w:pPr>
      <w:r>
        <w:rPr>
          <w:color w:val="000000"/>
          <w:u w:val="single"/>
        </w:rPr>
        <w:t xml:space="preserve">E.  </w:t>
      </w:r>
      <w:r w:rsidRPr="005C352A">
        <w:rPr>
          <w:color w:val="000000"/>
          <w:u w:val="single"/>
        </w:rPr>
        <w:t>Corporate Trust and Agency Accounts</w:t>
      </w:r>
      <w:r>
        <w:rPr>
          <w:color w:val="000000"/>
        </w:rPr>
        <w:t xml:space="preserve">  </w:t>
      </w:r>
    </w:p>
    <w:p w:rsidR="00414C5D" w:rsidRDefault="00414C5D" w:rsidP="00414C5D">
      <w:pPr>
        <w:tabs>
          <w:tab w:val="left" w:pos="540"/>
          <w:tab w:val="left" w:pos="1440"/>
          <w:tab w:val="left" w:pos="5040"/>
        </w:tabs>
        <w:ind w:firstLine="720"/>
        <w:jc w:val="both"/>
        <w:rPr>
          <w:color w:val="000000"/>
        </w:rPr>
      </w:pPr>
    </w:p>
    <w:p w:rsidR="00414C5D" w:rsidRPr="004208AA" w:rsidRDefault="00414C5D" w:rsidP="00414C5D">
      <w:pPr>
        <w:tabs>
          <w:tab w:val="left" w:pos="540"/>
          <w:tab w:val="left" w:pos="1440"/>
          <w:tab w:val="left" w:pos="5040"/>
        </w:tabs>
        <w:ind w:firstLine="720"/>
        <w:jc w:val="both"/>
        <w:rPr>
          <w:color w:val="FF0000"/>
        </w:rPr>
      </w:pPr>
      <w:r>
        <w:rPr>
          <w:color w:val="000000"/>
        </w:rPr>
        <w:t>Trust institutions currently report the number of corporate and municipal debt issues for which the institution serves as trustee and the outstanding principal amount of these debt issues in Memorandum item 2.a of Schedule RC-T.  O</w:t>
      </w:r>
      <w:r w:rsidRPr="005C352A">
        <w:rPr>
          <w:color w:val="000000"/>
        </w:rPr>
        <w:t>ne of the major risks in the area of corporate trust administration</w:t>
      </w:r>
      <w:r>
        <w:rPr>
          <w:color w:val="000000"/>
        </w:rPr>
        <w:t xml:space="preserve"> involves debt issues that are in substantive default</w:t>
      </w:r>
      <w:r w:rsidRPr="004208AA">
        <w:rPr>
          <w:color w:val="FF0000"/>
        </w:rPr>
        <w:t xml:space="preserve">.  </w:t>
      </w:r>
      <w:r w:rsidRPr="008D41D2">
        <w:t xml:space="preserve">A substantive default occurs when the issuer fails to make a required payment of interest or principal, defaults on a required payment into a sinking fund, or is declared bankrupt or insolvent. </w:t>
      </w:r>
      <w:r w:rsidRPr="004208AA">
        <w:rPr>
          <w:color w:val="FF0000"/>
        </w:rPr>
        <w:t xml:space="preserve"> </w:t>
      </w:r>
      <w:r w:rsidR="00CA49D8">
        <w:rPr>
          <w:color w:val="000000"/>
        </w:rPr>
        <w:t>However,</w:t>
      </w:r>
      <w:r w:rsidR="00CA49D8" w:rsidRPr="00351869">
        <w:rPr>
          <w:color w:val="000000"/>
        </w:rPr>
        <w:t xml:space="preserve"> issues </w:t>
      </w:r>
      <w:r w:rsidR="008D41D2">
        <w:rPr>
          <w:color w:val="000000"/>
        </w:rPr>
        <w:t>would</w:t>
      </w:r>
      <w:r w:rsidR="00CA49D8" w:rsidRPr="00351869">
        <w:rPr>
          <w:color w:val="000000"/>
        </w:rPr>
        <w:t xml:space="preserve"> not be </w:t>
      </w:r>
      <w:r w:rsidR="008D41D2">
        <w:rPr>
          <w:color w:val="000000"/>
        </w:rPr>
        <w:t>considered</w:t>
      </w:r>
      <w:r w:rsidR="00CA49D8" w:rsidRPr="00351869">
        <w:rPr>
          <w:color w:val="000000"/>
        </w:rPr>
        <w:t xml:space="preserve"> in substantive default until such default has been declared</w:t>
      </w:r>
      <w:r w:rsidR="00CA49D8">
        <w:rPr>
          <w:color w:val="000000"/>
        </w:rPr>
        <w:t xml:space="preserve"> by the trustee</w:t>
      </w:r>
      <w:r w:rsidR="00CA49D8" w:rsidRPr="00351869">
        <w:rPr>
          <w:color w:val="000000"/>
        </w:rPr>
        <w:t xml:space="preserve">.  Similarly, issues </w:t>
      </w:r>
      <w:r w:rsidR="008D41D2">
        <w:rPr>
          <w:color w:val="000000"/>
        </w:rPr>
        <w:t>w</w:t>
      </w:r>
      <w:r w:rsidR="00CA49D8" w:rsidRPr="00351869">
        <w:rPr>
          <w:color w:val="000000"/>
        </w:rPr>
        <w:t xml:space="preserve">ould not be </w:t>
      </w:r>
      <w:r w:rsidR="008D41D2">
        <w:rPr>
          <w:color w:val="000000"/>
        </w:rPr>
        <w:t>considered</w:t>
      </w:r>
      <w:r w:rsidR="00CA49D8" w:rsidRPr="00351869">
        <w:rPr>
          <w:color w:val="000000"/>
        </w:rPr>
        <w:t xml:space="preserve"> as being in substantive default during a cure period, provided the bond indenture provides for a cure period.  Private placement leases where the trustee is required to delay or waive the declaration of an event of default, unless requested in writing to make such declaration</w:t>
      </w:r>
      <w:r w:rsidR="00CA49D8">
        <w:rPr>
          <w:color w:val="000000"/>
        </w:rPr>
        <w:t>,</w:t>
      </w:r>
      <w:r w:rsidR="008D41D2">
        <w:rPr>
          <w:color w:val="000000"/>
        </w:rPr>
        <w:t xml:space="preserve"> w</w:t>
      </w:r>
      <w:r w:rsidR="00CA49D8" w:rsidRPr="00351869">
        <w:rPr>
          <w:color w:val="000000"/>
        </w:rPr>
        <w:t xml:space="preserve">ould not be </w:t>
      </w:r>
      <w:r w:rsidR="008D41D2">
        <w:rPr>
          <w:color w:val="000000"/>
        </w:rPr>
        <w:t>considered</w:t>
      </w:r>
      <w:r w:rsidR="00CA49D8" w:rsidRPr="00351869">
        <w:rPr>
          <w:color w:val="000000"/>
        </w:rPr>
        <w:t xml:space="preserve"> as being in substantive default, </w:t>
      </w:r>
      <w:proofErr w:type="gramStart"/>
      <w:r w:rsidR="00CA49D8" w:rsidRPr="00351869">
        <w:rPr>
          <w:color w:val="000000"/>
        </w:rPr>
        <w:t>provided</w:t>
      </w:r>
      <w:proofErr w:type="gramEnd"/>
      <w:r w:rsidR="00CA49D8" w:rsidRPr="00351869">
        <w:rPr>
          <w:color w:val="000000"/>
        </w:rPr>
        <w:t xml:space="preserve"> such written request has not been made.  Once a trustee’s duties with respect to an issue in substantive default have been completed, th</w:t>
      </w:r>
      <w:r w:rsidR="008D41D2">
        <w:rPr>
          <w:color w:val="000000"/>
        </w:rPr>
        <w:t>e issue should no longer be considered</w:t>
      </w:r>
      <w:r w:rsidR="00CA49D8">
        <w:rPr>
          <w:color w:val="000000"/>
        </w:rPr>
        <w:t xml:space="preserve"> as being in default.</w:t>
      </w:r>
    </w:p>
    <w:p w:rsidR="00095BE0" w:rsidRDefault="00095BE0" w:rsidP="00414C5D">
      <w:pPr>
        <w:tabs>
          <w:tab w:val="left" w:pos="540"/>
          <w:tab w:val="left" w:pos="1440"/>
          <w:tab w:val="left" w:pos="5040"/>
        </w:tabs>
        <w:ind w:firstLine="720"/>
        <w:jc w:val="both"/>
        <w:rPr>
          <w:color w:val="000000"/>
        </w:rPr>
      </w:pPr>
    </w:p>
    <w:p w:rsidR="00414C5D" w:rsidRDefault="00414C5D" w:rsidP="00414C5D">
      <w:pPr>
        <w:tabs>
          <w:tab w:val="left" w:pos="540"/>
          <w:tab w:val="left" w:pos="1440"/>
          <w:tab w:val="left" w:pos="5040"/>
        </w:tabs>
        <w:ind w:firstLine="720"/>
        <w:jc w:val="both"/>
        <w:rPr>
          <w:color w:val="000000"/>
        </w:rPr>
      </w:pPr>
      <w:r w:rsidRPr="005C352A">
        <w:rPr>
          <w:color w:val="000000"/>
        </w:rPr>
        <w:lastRenderedPageBreak/>
        <w:t xml:space="preserve">The occurrence of a substantive default significantly raises the risk profile for an indenture trustee of a defaulted issue.  In such cases, every action or failure to act </w:t>
      </w:r>
      <w:r>
        <w:rPr>
          <w:color w:val="000000"/>
        </w:rPr>
        <w:t xml:space="preserve">by the trustee </w:t>
      </w:r>
      <w:r w:rsidRPr="005C352A">
        <w:rPr>
          <w:color w:val="000000"/>
        </w:rPr>
        <w:t>is scrutinized intensely by the holders of the defaulted issue</w:t>
      </w:r>
      <w:r>
        <w:rPr>
          <w:color w:val="000000"/>
        </w:rPr>
        <w:t>, which brings about a</w:t>
      </w:r>
      <w:r w:rsidRPr="005C352A">
        <w:rPr>
          <w:color w:val="000000"/>
        </w:rPr>
        <w:t xml:space="preserve"> heightened risk of being sued.  In addition, the administrative demands in such a situation can result in </w:t>
      </w:r>
      <w:r>
        <w:rPr>
          <w:color w:val="000000"/>
        </w:rPr>
        <w:t xml:space="preserve">the incurrence of </w:t>
      </w:r>
      <w:r w:rsidRPr="005C352A">
        <w:rPr>
          <w:color w:val="000000"/>
        </w:rPr>
        <w:t xml:space="preserve">significant expenses and </w:t>
      </w:r>
      <w:r>
        <w:rPr>
          <w:color w:val="000000"/>
        </w:rPr>
        <w:t xml:space="preserve">the </w:t>
      </w:r>
      <w:r w:rsidRPr="005C352A">
        <w:rPr>
          <w:color w:val="000000"/>
        </w:rPr>
        <w:t>distraction of managerial time and attention from other areas of the trust department.</w:t>
      </w:r>
      <w:r>
        <w:rPr>
          <w:color w:val="000000"/>
        </w:rPr>
        <w:t xml:space="preserve">  Thus, to monitor and better understand the risk profile of trust institutions serving as an indenture trustee for debt securities and changes therein, the agencies are proposing to require trust institutions </w:t>
      </w:r>
      <w:r w:rsidRPr="005C352A">
        <w:rPr>
          <w:color w:val="000000"/>
        </w:rPr>
        <w:t>to report the number of such issues that are in substantive default and the principal amount outstanding for th</w:t>
      </w:r>
      <w:r>
        <w:rPr>
          <w:color w:val="000000"/>
        </w:rPr>
        <w:t>e</w:t>
      </w:r>
      <w:r w:rsidRPr="005C352A">
        <w:rPr>
          <w:color w:val="000000"/>
        </w:rPr>
        <w:t xml:space="preserve">se issues.  </w:t>
      </w:r>
    </w:p>
    <w:p w:rsidR="00095BE0" w:rsidRDefault="00095BE0" w:rsidP="00414C5D">
      <w:pPr>
        <w:tabs>
          <w:tab w:val="left" w:pos="540"/>
          <w:tab w:val="left" w:pos="1440"/>
          <w:tab w:val="left" w:pos="5040"/>
        </w:tabs>
        <w:ind w:firstLine="720"/>
        <w:jc w:val="both"/>
        <w:rPr>
          <w:color w:val="000000"/>
        </w:rPr>
      </w:pPr>
    </w:p>
    <w:p w:rsidR="00414C5D" w:rsidRDefault="008D41D2" w:rsidP="008D41D2">
      <w:pPr>
        <w:tabs>
          <w:tab w:val="left" w:pos="540"/>
          <w:tab w:val="left" w:pos="1440"/>
          <w:tab w:val="left" w:pos="5040"/>
        </w:tabs>
        <w:ind w:firstLine="720"/>
        <w:jc w:val="both"/>
        <w:rPr>
          <w:color w:val="000000"/>
        </w:rPr>
      </w:pPr>
      <w:r>
        <w:rPr>
          <w:color w:val="000000"/>
        </w:rPr>
        <w:t>The agencies propose to clarify the instructions for Memorandum i</w:t>
      </w:r>
      <w:r w:rsidRPr="00351869">
        <w:rPr>
          <w:color w:val="000000"/>
        </w:rPr>
        <w:t xml:space="preserve">tem 2 to </w:t>
      </w:r>
      <w:r>
        <w:rPr>
          <w:color w:val="000000"/>
        </w:rPr>
        <w:t>indicate</w:t>
      </w:r>
      <w:r w:rsidRPr="00351869">
        <w:rPr>
          <w:color w:val="000000"/>
        </w:rPr>
        <w:t xml:space="preserve"> th</w:t>
      </w:r>
      <w:r>
        <w:rPr>
          <w:color w:val="000000"/>
        </w:rPr>
        <w:t xml:space="preserve">at “amount outstanding” for debt instruments </w:t>
      </w:r>
      <w:r w:rsidRPr="00351869">
        <w:rPr>
          <w:color w:val="000000"/>
        </w:rPr>
        <w:t>mean</w:t>
      </w:r>
      <w:r>
        <w:rPr>
          <w:color w:val="000000"/>
        </w:rPr>
        <w:t>s the unpaid principal balance</w:t>
      </w:r>
      <w:r w:rsidRPr="00351869">
        <w:rPr>
          <w:color w:val="000000"/>
        </w:rPr>
        <w:t>.</w:t>
      </w:r>
      <w:r>
        <w:rPr>
          <w:color w:val="000000"/>
        </w:rPr>
        <w:t xml:space="preserve">  For trust preferred securities, the “amount outstanding” would be the redemption price.  </w:t>
      </w:r>
      <w:r w:rsidR="00414C5D">
        <w:rPr>
          <w:color w:val="000000"/>
        </w:rPr>
        <w:t xml:space="preserve">In addition, the agencies are proposing to revise the instructions for reporting on corporate trust accounts to state </w:t>
      </w:r>
      <w:r w:rsidR="00414C5D" w:rsidRPr="00390B2F">
        <w:rPr>
          <w:color w:val="000000"/>
        </w:rPr>
        <w:t xml:space="preserve">that issues of trust preferred stock for which the institution is trustee should be included in </w:t>
      </w:r>
      <w:r w:rsidR="00414C5D">
        <w:rPr>
          <w:color w:val="000000"/>
        </w:rPr>
        <w:t>the amounts reported for corporate and municipal trusteeships.</w:t>
      </w:r>
    </w:p>
    <w:p w:rsidR="00414C5D" w:rsidRDefault="00414C5D" w:rsidP="00414C5D">
      <w:pPr>
        <w:tabs>
          <w:tab w:val="left" w:pos="540"/>
          <w:tab w:val="left" w:pos="1440"/>
          <w:tab w:val="left" w:pos="5040"/>
        </w:tabs>
        <w:jc w:val="both"/>
        <w:rPr>
          <w:color w:val="000000"/>
          <w:u w:val="single"/>
        </w:rPr>
      </w:pPr>
    </w:p>
    <w:p w:rsidR="00414C5D" w:rsidRDefault="00414C5D" w:rsidP="00414C5D">
      <w:pPr>
        <w:tabs>
          <w:tab w:val="left" w:pos="540"/>
          <w:tab w:val="left" w:pos="1440"/>
          <w:tab w:val="left" w:pos="5040"/>
        </w:tabs>
        <w:jc w:val="both"/>
        <w:rPr>
          <w:color w:val="000000"/>
        </w:rPr>
      </w:pPr>
      <w:r w:rsidRPr="007D7D5A">
        <w:rPr>
          <w:color w:val="000000"/>
          <w:u w:val="single"/>
        </w:rPr>
        <w:t>F.  Instructional Clarifications</w:t>
      </w:r>
      <w:r>
        <w:rPr>
          <w:color w:val="000000"/>
        </w:rPr>
        <w:t xml:space="preserve">  </w:t>
      </w:r>
    </w:p>
    <w:p w:rsidR="00414C5D" w:rsidRDefault="00414C5D" w:rsidP="00414C5D">
      <w:pPr>
        <w:tabs>
          <w:tab w:val="left" w:pos="540"/>
          <w:tab w:val="left" w:pos="1440"/>
          <w:tab w:val="left" w:pos="5040"/>
        </w:tabs>
        <w:ind w:firstLine="720"/>
        <w:jc w:val="both"/>
        <w:rPr>
          <w:color w:val="000000"/>
        </w:rPr>
      </w:pPr>
    </w:p>
    <w:p w:rsidR="00414C5D" w:rsidRDefault="00414C5D" w:rsidP="00414C5D">
      <w:pPr>
        <w:tabs>
          <w:tab w:val="left" w:pos="540"/>
          <w:tab w:val="left" w:pos="1440"/>
          <w:tab w:val="left" w:pos="5040"/>
        </w:tabs>
        <w:ind w:firstLine="720"/>
        <w:jc w:val="both"/>
        <w:rPr>
          <w:color w:val="000000"/>
        </w:rPr>
      </w:pPr>
      <w:r>
        <w:rPr>
          <w:color w:val="000000"/>
        </w:rPr>
        <w:t>The instructions for reporting the managed and non-managed assets and number of managed and non-managed accounts for defined contribution plans and defined benefit plans in items 5.a and 5.b of Schedule RC-T, respectively, would be revised to indicate that employee benefit accounts for which the trust institution serves as a directed trustee should be reported as non-managed accounts.</w:t>
      </w:r>
    </w:p>
    <w:p w:rsidR="004208AA" w:rsidRDefault="004208AA" w:rsidP="00414C5D">
      <w:pPr>
        <w:tabs>
          <w:tab w:val="left" w:pos="540"/>
          <w:tab w:val="left" w:pos="1440"/>
          <w:tab w:val="left" w:pos="5040"/>
        </w:tabs>
        <w:ind w:firstLine="720"/>
        <w:jc w:val="both"/>
        <w:rPr>
          <w:color w:val="000000"/>
        </w:rPr>
      </w:pPr>
    </w:p>
    <w:p w:rsidR="00414C5D" w:rsidRPr="00390B2F" w:rsidRDefault="00414C5D" w:rsidP="00414C5D">
      <w:pPr>
        <w:tabs>
          <w:tab w:val="left" w:pos="540"/>
          <w:tab w:val="left" w:pos="1440"/>
          <w:tab w:val="left" w:pos="5040"/>
        </w:tabs>
        <w:ind w:firstLine="720"/>
        <w:jc w:val="both"/>
        <w:rPr>
          <w:color w:val="000000"/>
        </w:rPr>
      </w:pPr>
      <w:r>
        <w:rPr>
          <w:color w:val="000000"/>
        </w:rPr>
        <w:t xml:space="preserve">The instructions for reporting on the number of and market value of assets held in collective investment funds and common trust funds in Memorandum item 3 would be clarified by stating that </w:t>
      </w:r>
      <w:r w:rsidRPr="00A30222">
        <w:rPr>
          <w:color w:val="000000"/>
        </w:rPr>
        <w:t xml:space="preserve">the number of funds should be reported, not the number of assets held by </w:t>
      </w:r>
      <w:r>
        <w:rPr>
          <w:color w:val="000000"/>
        </w:rPr>
        <w:t xml:space="preserve">these </w:t>
      </w:r>
      <w:r w:rsidRPr="00A30222">
        <w:rPr>
          <w:color w:val="000000"/>
        </w:rPr>
        <w:t>funds</w:t>
      </w:r>
      <w:r>
        <w:rPr>
          <w:color w:val="000000"/>
        </w:rPr>
        <w:t xml:space="preserve">, the </w:t>
      </w:r>
      <w:r w:rsidRPr="00A30222">
        <w:rPr>
          <w:color w:val="000000"/>
        </w:rPr>
        <w:t>number of participants</w:t>
      </w:r>
      <w:r>
        <w:rPr>
          <w:color w:val="000000"/>
        </w:rPr>
        <w:t>,</w:t>
      </w:r>
      <w:r w:rsidRPr="00A30222">
        <w:rPr>
          <w:color w:val="000000"/>
        </w:rPr>
        <w:t xml:space="preserve"> or the number of accounts invested in the funds</w:t>
      </w:r>
      <w:r>
        <w:rPr>
          <w:color w:val="000000"/>
        </w:rPr>
        <w:t>.</w:t>
      </w:r>
    </w:p>
    <w:p w:rsidR="00414C5D" w:rsidRPr="00C752E5" w:rsidRDefault="00414C5D" w:rsidP="00414C5D">
      <w:pPr>
        <w:ind w:firstLine="720"/>
        <w:jc w:val="both"/>
        <w:rPr>
          <w:noProof/>
        </w:rPr>
      </w:pPr>
      <w:r w:rsidRPr="00C752E5">
        <w:rPr>
          <w:noProof/>
        </w:rPr>
        <w:t xml:space="preserve">  </w:t>
      </w:r>
    </w:p>
    <w:p w:rsidR="00005013" w:rsidRDefault="00005013">
      <w:pPr>
        <w:rPr>
          <w:rFonts w:ascii="Times New Roman" w:hAnsi="Times New Roman"/>
          <w:b/>
          <w:bCs/>
        </w:rPr>
      </w:pPr>
    </w:p>
    <w:p w:rsidR="000E7D57" w:rsidRDefault="000E7D57">
      <w:pPr>
        <w:rPr>
          <w:rFonts w:ascii="Times New Roman" w:hAnsi="Times New Roman"/>
        </w:rPr>
      </w:pPr>
      <w:r>
        <w:rPr>
          <w:rFonts w:ascii="Times New Roman" w:hAnsi="Times New Roman"/>
          <w:b/>
          <w:bCs/>
        </w:rPr>
        <w:t>Time Schedule for Information Collection</w:t>
      </w:r>
    </w:p>
    <w:p w:rsidR="000E7D57" w:rsidRDefault="000E7D57">
      <w:pPr>
        <w:widowControl/>
        <w:tabs>
          <w:tab w:val="left" w:pos="360"/>
        </w:tabs>
        <w:rPr>
          <w:rFonts w:ascii="Times New Roman" w:hAnsi="Times New Roman"/>
        </w:rPr>
      </w:pPr>
    </w:p>
    <w:p w:rsidR="000E7D57" w:rsidRDefault="000E7D57" w:rsidP="00804EB1">
      <w:pPr>
        <w:pStyle w:val="BodyTextIndent3"/>
        <w:widowControl/>
        <w:jc w:val="both"/>
        <w:rPr>
          <w:rFonts w:ascii="Times New Roman" w:hAnsi="Times New Roman"/>
        </w:rPr>
      </w:pPr>
      <w:r>
        <w:rPr>
          <w:rFonts w:ascii="Times New Roman" w:hAnsi="Times New Roman"/>
        </w:rPr>
        <w:t>The Call Reports are collected quarterly as of the end of the last calendar day of March, June, September, and December.  Less frequent collection of Call Reports would reduce the Federal Reserve</w:t>
      </w:r>
      <w:r w:rsidR="00E30374">
        <w:rPr>
          <w:rFonts w:ascii="Times New Roman" w:hAnsi="Times New Roman"/>
        </w:rPr>
        <w:t>’</w:t>
      </w:r>
      <w:r>
        <w:rPr>
          <w:rFonts w:ascii="Times New Roman" w:hAnsi="Times New Roman"/>
        </w:rPr>
        <w:t xml:space="preserve">s ability to identify on a timely basis those banks that are experiencing adverse changes in their condition so that appropriate corrective measures can be implemented to restore their safety and soundness.  State member banks must submit the Call Reports to the appropriate Federal Reserve Bank within thirty calendar days following the as-of date; a </w:t>
      </w:r>
      <w:r w:rsidR="004C6593">
        <w:rPr>
          <w:rFonts w:ascii="Times New Roman" w:hAnsi="Times New Roman"/>
        </w:rPr>
        <w:t>five</w:t>
      </w:r>
      <w:r>
        <w:rPr>
          <w:rFonts w:ascii="Times New Roman" w:hAnsi="Times New Roman"/>
        </w:rPr>
        <w:t xml:space="preserve">-day extension </w:t>
      </w:r>
      <w:r w:rsidR="00607487">
        <w:rPr>
          <w:rFonts w:ascii="Times New Roman" w:hAnsi="Times New Roman"/>
        </w:rPr>
        <w:t>is</w:t>
      </w:r>
      <w:r>
        <w:rPr>
          <w:rFonts w:ascii="Times New Roman" w:hAnsi="Times New Roman"/>
        </w:rPr>
        <w:t xml:space="preserve"> given to banks with</w:t>
      </w:r>
      <w:r w:rsidR="00804EB1">
        <w:rPr>
          <w:rFonts w:ascii="Times New Roman" w:hAnsi="Times New Roman"/>
        </w:rPr>
        <w:t xml:space="preserve"> more than one foreign office.</w:t>
      </w:r>
    </w:p>
    <w:p w:rsidR="000E7D57" w:rsidRDefault="000E7D57">
      <w:pPr>
        <w:widowControl/>
        <w:tabs>
          <w:tab w:val="left" w:pos="360"/>
        </w:tabs>
        <w:rPr>
          <w:rFonts w:ascii="Times New Roman" w:hAnsi="Times New Roman"/>
        </w:rPr>
      </w:pPr>
    </w:p>
    <w:p w:rsidR="00591647" w:rsidRDefault="00D04052" w:rsidP="00591647">
      <w:pPr>
        <w:widowControl/>
        <w:tabs>
          <w:tab w:val="left" w:pos="360"/>
        </w:tabs>
        <w:rPr>
          <w:rFonts w:ascii="Times New Roman" w:hAnsi="Times New Roman"/>
          <w:color w:val="000000"/>
        </w:rPr>
      </w:pPr>
      <w:r>
        <w:rPr>
          <w:rFonts w:ascii="Times New Roman" w:hAnsi="Times New Roman"/>
        </w:rPr>
        <w:tab/>
      </w:r>
      <w:r>
        <w:rPr>
          <w:rFonts w:ascii="Times New Roman" w:hAnsi="Times New Roman"/>
        </w:rPr>
        <w:tab/>
      </w:r>
      <w:r w:rsidR="000E7D57">
        <w:rPr>
          <w:rFonts w:ascii="Times New Roman" w:hAnsi="Times New Roman"/>
        </w:rPr>
        <w:t xml:space="preserve">Aggregate data are published in the </w:t>
      </w:r>
      <w:r w:rsidR="000E7D57">
        <w:rPr>
          <w:rFonts w:ascii="Times New Roman" w:hAnsi="Times New Roman"/>
          <w:i/>
          <w:iCs/>
        </w:rPr>
        <w:t>Federal Reserve Bulletin</w:t>
      </w:r>
      <w:r w:rsidR="000E7D57">
        <w:rPr>
          <w:rFonts w:ascii="Times New Roman" w:hAnsi="Times New Roman"/>
        </w:rPr>
        <w:t xml:space="preserve"> and the </w:t>
      </w:r>
      <w:r w:rsidR="000E7D57">
        <w:rPr>
          <w:rFonts w:ascii="Times New Roman" w:hAnsi="Times New Roman"/>
          <w:i/>
          <w:iCs/>
        </w:rPr>
        <w:t>Annual Statistical Digest</w:t>
      </w:r>
      <w:r w:rsidR="000E7D57">
        <w:rPr>
          <w:rFonts w:ascii="Times New Roman" w:hAnsi="Times New Roman"/>
        </w:rPr>
        <w:t xml:space="preserve">.  Additionally, data are used in the </w:t>
      </w:r>
      <w:r w:rsidR="000E7D57">
        <w:rPr>
          <w:rFonts w:ascii="Times New Roman" w:hAnsi="Times New Roman"/>
          <w:i/>
          <w:iCs/>
        </w:rPr>
        <w:t>Uniform Bank Performance Report (UBPR)</w:t>
      </w:r>
      <w:r w:rsidR="000E7D57">
        <w:rPr>
          <w:rFonts w:ascii="Times New Roman" w:hAnsi="Times New Roman"/>
        </w:rPr>
        <w:t xml:space="preserve"> and the </w:t>
      </w:r>
      <w:r w:rsidR="000E7D57">
        <w:rPr>
          <w:rFonts w:ascii="Times New Roman" w:hAnsi="Times New Roman"/>
          <w:i/>
          <w:iCs/>
        </w:rPr>
        <w:t>Annual Report of the FFIEC</w:t>
      </w:r>
      <w:r w:rsidR="000E7D57">
        <w:rPr>
          <w:rFonts w:ascii="Times New Roman" w:hAnsi="Times New Roman"/>
        </w:rPr>
        <w:t xml:space="preserve">.  Individual respondent data, excluding confidential information, are available to the public from the National Technical Information Service in </w:t>
      </w:r>
      <w:smartTag w:uri="urn:schemas-microsoft-com:office:smarttags" w:element="place">
        <w:smartTag w:uri="urn:schemas-microsoft-com:office:smarttags" w:element="City">
          <w:r w:rsidR="000E7D57">
            <w:rPr>
              <w:rFonts w:ascii="Times New Roman" w:hAnsi="Times New Roman"/>
            </w:rPr>
            <w:t>Springfield</w:t>
          </w:r>
        </w:smartTag>
        <w:r w:rsidR="000E7D57">
          <w:rPr>
            <w:rFonts w:ascii="Times New Roman" w:hAnsi="Times New Roman"/>
          </w:rPr>
          <w:t xml:space="preserve">, </w:t>
        </w:r>
        <w:smartTag w:uri="urn:schemas-microsoft-com:office:smarttags" w:element="State">
          <w:r w:rsidR="000E7D57">
            <w:rPr>
              <w:rFonts w:ascii="Times New Roman" w:hAnsi="Times New Roman"/>
            </w:rPr>
            <w:t>Virginia</w:t>
          </w:r>
        </w:smartTag>
      </w:smartTag>
      <w:r w:rsidR="000E7D57">
        <w:rPr>
          <w:rFonts w:ascii="Times New Roman" w:hAnsi="Times New Roman"/>
        </w:rPr>
        <w:t xml:space="preserve">, upon request approximately twelve weeks after the report date.  </w:t>
      </w:r>
      <w:r w:rsidR="00591647">
        <w:rPr>
          <w:rFonts w:ascii="Times New Roman" w:hAnsi="Times New Roman"/>
          <w:color w:val="000000"/>
        </w:rPr>
        <w:t xml:space="preserve">Data are also available from the FFIEC Central Data Repository Public Data Distribution (CDR PDD) web site </w:t>
      </w:r>
      <w:r w:rsidR="00591647">
        <w:rPr>
          <w:rFonts w:ascii="Times New Roman" w:hAnsi="Times New Roman"/>
          <w:color w:val="000000"/>
        </w:rPr>
        <w:lastRenderedPageBreak/>
        <w:t>(https://cdr.ffiec.gov/public/). Data for the current quarter are made available, when submitted by each bank, beginning approximately 15 calendar days after the report date. Updated or revised data may replace data already posted at any time thereafter.</w:t>
      </w:r>
    </w:p>
    <w:p w:rsidR="005E3887" w:rsidRDefault="005E3887">
      <w:pPr>
        <w:widowControl/>
        <w:tabs>
          <w:tab w:val="left" w:pos="360"/>
        </w:tabs>
        <w:rPr>
          <w:rFonts w:ascii="Times New Roman" w:hAnsi="Times New Roman"/>
          <w:b/>
          <w:bCs/>
        </w:rPr>
      </w:pPr>
    </w:p>
    <w:p w:rsidR="000E7D57" w:rsidRDefault="000E7D57">
      <w:pPr>
        <w:widowControl/>
        <w:tabs>
          <w:tab w:val="left" w:pos="360"/>
        </w:tabs>
        <w:rPr>
          <w:rFonts w:ascii="Times New Roman" w:hAnsi="Times New Roman"/>
        </w:rPr>
      </w:pPr>
      <w:r>
        <w:rPr>
          <w:rFonts w:ascii="Times New Roman" w:hAnsi="Times New Roman"/>
          <w:b/>
          <w:bCs/>
        </w:rPr>
        <w:t>Legal Status</w:t>
      </w:r>
    </w:p>
    <w:p w:rsidR="000E7D57" w:rsidRDefault="000E7D57">
      <w:pPr>
        <w:widowControl/>
        <w:tabs>
          <w:tab w:val="left" w:pos="360"/>
        </w:tabs>
        <w:rPr>
          <w:rFonts w:ascii="Times New Roman" w:hAnsi="Times New Roman"/>
        </w:rPr>
      </w:pPr>
    </w:p>
    <w:p w:rsidR="000E7D57" w:rsidRDefault="000E7D57" w:rsidP="00804EB1">
      <w:pPr>
        <w:pStyle w:val="BodyTextIndent3"/>
        <w:widowControl/>
        <w:jc w:val="both"/>
        <w:rPr>
          <w:rFonts w:ascii="Times New Roman" w:hAnsi="Times New Roman"/>
        </w:rPr>
      </w:pPr>
      <w:r>
        <w:rPr>
          <w:rFonts w:ascii="Times New Roman" w:hAnsi="Times New Roman"/>
        </w:rPr>
        <w:t xml:space="preserve">The </w:t>
      </w:r>
      <w:r w:rsidR="00F54ECB">
        <w:rPr>
          <w:rFonts w:ascii="Times New Roman" w:hAnsi="Times New Roman"/>
        </w:rPr>
        <w:t xml:space="preserve">Board’s </w:t>
      </w:r>
      <w:r>
        <w:rPr>
          <w:rFonts w:ascii="Times New Roman" w:hAnsi="Times New Roman"/>
        </w:rPr>
        <w:t xml:space="preserve">Legal Division has determined that Section 9 of the Federal Reserve Act [12 U.S.C. 324] authorizes the </w:t>
      </w:r>
      <w:r w:rsidR="00F54ECB">
        <w:rPr>
          <w:rFonts w:ascii="Times New Roman" w:hAnsi="Times New Roman"/>
        </w:rPr>
        <w:t>Board</w:t>
      </w:r>
      <w:r>
        <w:rPr>
          <w:rFonts w:ascii="Times New Roman" w:hAnsi="Times New Roman"/>
        </w:rPr>
        <w:t xml:space="preserve"> to require these reports from all banks admitted to membership in the Federal Reserve System.  The Board</w:t>
      </w:r>
      <w:r w:rsidR="00E30374">
        <w:rPr>
          <w:rFonts w:ascii="Times New Roman" w:hAnsi="Times New Roman"/>
        </w:rPr>
        <w:t>’</w:t>
      </w:r>
      <w:r>
        <w:rPr>
          <w:rFonts w:ascii="Times New Roman" w:hAnsi="Times New Roman"/>
        </w:rPr>
        <w:t>s Legal Division has also determined that the individual respondent information contained in the trust schedule, RC-T are exempt from disclosure pursuant to the Freedom of Information Act [5 U.S.C. 552(b)(4) and (8)]</w:t>
      </w:r>
      <w:r w:rsidR="004208AA">
        <w:rPr>
          <w:rFonts w:ascii="Times New Roman" w:hAnsi="Times New Roman"/>
        </w:rPr>
        <w:t xml:space="preserve"> for periods prior to March 31, 2009</w:t>
      </w:r>
      <w:r>
        <w:rPr>
          <w:rFonts w:ascii="Times New Roman" w:hAnsi="Times New Roman"/>
        </w:rPr>
        <w:t xml:space="preserve">.  Finally, Column A and Memorandum </w:t>
      </w:r>
      <w:r w:rsidR="0080082A">
        <w:rPr>
          <w:rFonts w:ascii="Times New Roman" w:hAnsi="Times New Roman"/>
        </w:rPr>
        <w:t>item</w:t>
      </w:r>
      <w:r>
        <w:rPr>
          <w:rFonts w:ascii="Times New Roman" w:hAnsi="Times New Roman"/>
        </w:rPr>
        <w:t xml:space="preserve"> 1 to Schedule RC-N, </w:t>
      </w:r>
      <w:r w:rsidR="00E30374">
        <w:rPr>
          <w:rFonts w:ascii="Times New Roman" w:hAnsi="Times New Roman"/>
        </w:rPr>
        <w:t>“</w:t>
      </w:r>
      <w:r>
        <w:rPr>
          <w:rFonts w:ascii="Times New Roman" w:hAnsi="Times New Roman"/>
        </w:rPr>
        <w:t>Past Due and Nonaccrual Loans, Leases, and Other Assets,</w:t>
      </w:r>
      <w:r w:rsidR="00E30374">
        <w:rPr>
          <w:rFonts w:ascii="Times New Roman" w:hAnsi="Times New Roman"/>
        </w:rPr>
        <w:t>”</w:t>
      </w:r>
      <w:r>
        <w:rPr>
          <w:rFonts w:ascii="Times New Roman" w:hAnsi="Times New Roman"/>
        </w:rPr>
        <w:t xml:space="preserve"> are exempt from disclosure pursuant to the Freedom of Information Act [5 U.S.C. 552(b)(4) and (8)] for periods prior to March 31, 2001.</w:t>
      </w:r>
    </w:p>
    <w:p w:rsidR="00D43CA3" w:rsidRDefault="00D43CA3">
      <w:pPr>
        <w:widowControl/>
        <w:tabs>
          <w:tab w:val="left" w:pos="360"/>
        </w:tabs>
        <w:rPr>
          <w:rFonts w:ascii="Times New Roman" w:hAnsi="Times New Roman"/>
          <w:b/>
          <w:bCs/>
        </w:rPr>
      </w:pPr>
    </w:p>
    <w:p w:rsidR="000E7D57" w:rsidRDefault="000E7D57">
      <w:pPr>
        <w:widowControl/>
        <w:tabs>
          <w:tab w:val="left" w:pos="360"/>
        </w:tabs>
        <w:rPr>
          <w:rFonts w:ascii="Times New Roman" w:hAnsi="Times New Roman"/>
        </w:rPr>
      </w:pPr>
      <w:r>
        <w:rPr>
          <w:rFonts w:ascii="Times New Roman" w:hAnsi="Times New Roman"/>
          <w:b/>
          <w:bCs/>
        </w:rPr>
        <w:t xml:space="preserve">Consultation </w:t>
      </w:r>
      <w:proofErr w:type="gramStart"/>
      <w:r>
        <w:rPr>
          <w:rFonts w:ascii="Times New Roman" w:hAnsi="Times New Roman"/>
          <w:b/>
          <w:bCs/>
        </w:rPr>
        <w:t>Outside</w:t>
      </w:r>
      <w:proofErr w:type="gramEnd"/>
      <w:r>
        <w:rPr>
          <w:rFonts w:ascii="Times New Roman" w:hAnsi="Times New Roman"/>
          <w:b/>
          <w:bCs/>
        </w:rPr>
        <w:t xml:space="preserve"> the Agency</w:t>
      </w:r>
      <w:r w:rsidR="00B2384E">
        <w:rPr>
          <w:rFonts w:ascii="Times New Roman" w:hAnsi="Times New Roman"/>
          <w:b/>
          <w:bCs/>
        </w:rPr>
        <w:t xml:space="preserve"> and Discussion of Public Comments</w:t>
      </w:r>
    </w:p>
    <w:p w:rsidR="000E7D57" w:rsidRDefault="000E7D57">
      <w:pPr>
        <w:widowControl/>
        <w:tabs>
          <w:tab w:val="left" w:pos="360"/>
        </w:tabs>
        <w:rPr>
          <w:rFonts w:ascii="Times New Roman" w:hAnsi="Times New Roman"/>
        </w:rPr>
      </w:pPr>
    </w:p>
    <w:p w:rsidR="001606EC" w:rsidRDefault="003E1198" w:rsidP="001606EC">
      <w:pPr>
        <w:ind w:firstLine="720"/>
        <w:jc w:val="both"/>
      </w:pPr>
      <w:r>
        <w:rPr>
          <w:rFonts w:ascii="Times New Roman" w:hAnsi="Times New Roman"/>
          <w:color w:val="000000"/>
        </w:rPr>
        <w:t>T</w:t>
      </w:r>
      <w:r w:rsidRPr="00E93E9C">
        <w:rPr>
          <w:rFonts w:ascii="Times New Roman" w:hAnsi="Times New Roman"/>
          <w:color w:val="000000"/>
        </w:rPr>
        <w:t xml:space="preserve">he </w:t>
      </w:r>
      <w:r>
        <w:rPr>
          <w:rFonts w:ascii="Times New Roman" w:hAnsi="Times New Roman"/>
          <w:color w:val="000000"/>
        </w:rPr>
        <w:t>agencies</w:t>
      </w:r>
      <w:r w:rsidRPr="00E93E9C">
        <w:rPr>
          <w:rFonts w:ascii="Times New Roman" w:hAnsi="Times New Roman"/>
          <w:color w:val="000000"/>
        </w:rPr>
        <w:t xml:space="preserve"> published the notice for comment in the </w:t>
      </w:r>
      <w:r w:rsidRPr="00E93E9C">
        <w:rPr>
          <w:rFonts w:ascii="Times New Roman" w:hAnsi="Times New Roman"/>
          <w:i/>
          <w:iCs/>
          <w:color w:val="000000"/>
        </w:rPr>
        <w:t>Federal Register</w:t>
      </w:r>
      <w:r>
        <w:rPr>
          <w:rFonts w:ascii="Times New Roman" w:hAnsi="Times New Roman"/>
          <w:i/>
          <w:iCs/>
          <w:color w:val="000000"/>
        </w:rPr>
        <w:t xml:space="preserve"> </w:t>
      </w:r>
      <w:r>
        <w:rPr>
          <w:rFonts w:ascii="Times New Roman" w:hAnsi="Times New Roman"/>
          <w:iCs/>
          <w:color w:val="000000"/>
        </w:rPr>
        <w:t xml:space="preserve">on </w:t>
      </w:r>
      <w:smartTag w:uri="urn:schemas-microsoft-com:office:smarttags" w:element="date">
        <w:smartTagPr>
          <w:attr w:name="Month" w:val="9"/>
          <w:attr w:name="Day" w:val="23"/>
          <w:attr w:name="Year" w:val="2008"/>
        </w:smartTagPr>
        <w:r w:rsidR="005E3887">
          <w:rPr>
            <w:rFonts w:ascii="Times New Roman" w:hAnsi="Times New Roman"/>
            <w:iCs/>
            <w:color w:val="000000"/>
          </w:rPr>
          <w:t xml:space="preserve">September </w:t>
        </w:r>
        <w:r w:rsidR="00E14183">
          <w:rPr>
            <w:rFonts w:ascii="Times New Roman" w:hAnsi="Times New Roman"/>
            <w:iCs/>
            <w:color w:val="000000"/>
          </w:rPr>
          <w:t>23</w:t>
        </w:r>
        <w:r>
          <w:rPr>
            <w:rFonts w:ascii="Times New Roman" w:hAnsi="Times New Roman"/>
            <w:iCs/>
            <w:color w:val="000000"/>
          </w:rPr>
          <w:t xml:space="preserve">, </w:t>
        </w:r>
        <w:r w:rsidR="005E3887">
          <w:rPr>
            <w:rFonts w:ascii="Times New Roman" w:hAnsi="Times New Roman"/>
            <w:iCs/>
            <w:color w:val="000000"/>
          </w:rPr>
          <w:t>200</w:t>
        </w:r>
        <w:r w:rsidR="00E14183">
          <w:rPr>
            <w:rFonts w:ascii="Times New Roman" w:hAnsi="Times New Roman"/>
            <w:iCs/>
            <w:color w:val="000000"/>
          </w:rPr>
          <w:t>8</w:t>
        </w:r>
      </w:smartTag>
      <w:r w:rsidR="00E14183">
        <w:rPr>
          <w:rFonts w:ascii="Times New Roman" w:hAnsi="Times New Roman"/>
          <w:iCs/>
          <w:color w:val="000000"/>
        </w:rPr>
        <w:t xml:space="preserve"> </w:t>
      </w:r>
      <w:r w:rsidRPr="00E93E9C">
        <w:rPr>
          <w:rFonts w:ascii="Times New Roman" w:hAnsi="Times New Roman"/>
          <w:iCs/>
          <w:color w:val="000000"/>
        </w:rPr>
        <w:t>(</w:t>
      </w:r>
      <w:r w:rsidR="005E3887" w:rsidRPr="00E93E9C">
        <w:rPr>
          <w:rFonts w:ascii="Times New Roman" w:hAnsi="Times New Roman"/>
          <w:iCs/>
          <w:color w:val="000000"/>
        </w:rPr>
        <w:t>7</w:t>
      </w:r>
      <w:r w:rsidR="00E14183">
        <w:rPr>
          <w:rFonts w:ascii="Times New Roman" w:hAnsi="Times New Roman"/>
          <w:iCs/>
          <w:color w:val="000000"/>
        </w:rPr>
        <w:t>3</w:t>
      </w:r>
      <w:r w:rsidR="005E3887" w:rsidRPr="00E93E9C">
        <w:rPr>
          <w:rFonts w:ascii="Times New Roman" w:hAnsi="Times New Roman"/>
          <w:iCs/>
          <w:color w:val="000000"/>
        </w:rPr>
        <w:t xml:space="preserve"> </w:t>
      </w:r>
      <w:r w:rsidRPr="00E93E9C">
        <w:rPr>
          <w:rFonts w:ascii="Times New Roman" w:hAnsi="Times New Roman"/>
          <w:iCs/>
          <w:color w:val="000000"/>
        </w:rPr>
        <w:t xml:space="preserve">FR </w:t>
      </w:r>
      <w:r w:rsidR="005E3887">
        <w:rPr>
          <w:rFonts w:ascii="Times New Roman" w:hAnsi="Times New Roman"/>
          <w:iCs/>
          <w:color w:val="000000"/>
        </w:rPr>
        <w:t>5</w:t>
      </w:r>
      <w:r w:rsidR="00E14183">
        <w:rPr>
          <w:rFonts w:ascii="Times New Roman" w:hAnsi="Times New Roman"/>
          <w:iCs/>
          <w:color w:val="000000"/>
        </w:rPr>
        <w:t>4807</w:t>
      </w:r>
      <w:r w:rsidRPr="00E93E9C">
        <w:rPr>
          <w:rFonts w:ascii="Times New Roman" w:hAnsi="Times New Roman"/>
          <w:iCs/>
          <w:color w:val="000000"/>
        </w:rPr>
        <w:t>)</w:t>
      </w:r>
      <w:r>
        <w:rPr>
          <w:rFonts w:ascii="Times New Roman" w:hAnsi="Times New Roman"/>
          <w:iCs/>
          <w:color w:val="000000"/>
        </w:rPr>
        <w:t xml:space="preserve"> and </w:t>
      </w:r>
      <w:r w:rsidR="000F753D">
        <w:rPr>
          <w:rFonts w:ascii="Times New Roman" w:hAnsi="Times New Roman"/>
          <w:iCs/>
          <w:color w:val="000000"/>
        </w:rPr>
        <w:t xml:space="preserve">collectively </w:t>
      </w:r>
      <w:r>
        <w:rPr>
          <w:rFonts w:ascii="Times New Roman" w:hAnsi="Times New Roman"/>
          <w:iCs/>
          <w:color w:val="000000"/>
        </w:rPr>
        <w:t xml:space="preserve">received </w:t>
      </w:r>
      <w:r w:rsidR="00E14183">
        <w:rPr>
          <w:rFonts w:ascii="Times New Roman" w:hAnsi="Times New Roman"/>
          <w:iCs/>
          <w:color w:val="000000"/>
        </w:rPr>
        <w:t>seven</w:t>
      </w:r>
      <w:r w:rsidR="005E3887">
        <w:rPr>
          <w:rFonts w:ascii="Times New Roman" w:hAnsi="Times New Roman"/>
          <w:iCs/>
          <w:color w:val="000000"/>
        </w:rPr>
        <w:t xml:space="preserve"> </w:t>
      </w:r>
      <w:r>
        <w:rPr>
          <w:rFonts w:ascii="Times New Roman" w:hAnsi="Times New Roman"/>
          <w:iCs/>
          <w:color w:val="000000"/>
        </w:rPr>
        <w:t>public comment letters</w:t>
      </w:r>
      <w:r w:rsidRPr="00E93E9C">
        <w:rPr>
          <w:rFonts w:ascii="Times New Roman" w:hAnsi="Times New Roman"/>
          <w:color w:val="000000"/>
        </w:rPr>
        <w:t>.</w:t>
      </w:r>
      <w:r>
        <w:rPr>
          <w:rFonts w:ascii="Times New Roman" w:hAnsi="Times New Roman"/>
          <w:color w:val="000000"/>
        </w:rPr>
        <w:t xml:space="preserve">  </w:t>
      </w:r>
      <w:r w:rsidR="000F753D" w:rsidRPr="00176C9A">
        <w:t>The comment period for this notice expire</w:t>
      </w:r>
      <w:r w:rsidR="000F753D">
        <w:t>d</w:t>
      </w:r>
      <w:r w:rsidR="000F753D" w:rsidRPr="00176C9A">
        <w:t xml:space="preserve"> on </w:t>
      </w:r>
      <w:smartTag w:uri="urn:schemas-microsoft-com:office:smarttags" w:element="date">
        <w:smartTagPr>
          <w:attr w:name="Month" w:val="11"/>
          <w:attr w:name="Day" w:val="24"/>
          <w:attr w:name="Year" w:val="2008"/>
        </w:smartTagPr>
        <w:r w:rsidR="000F753D">
          <w:t xml:space="preserve">November </w:t>
        </w:r>
        <w:r w:rsidR="00E14183">
          <w:t>24, 2008</w:t>
        </w:r>
      </w:smartTag>
      <w:r w:rsidR="000F753D" w:rsidRPr="00176C9A">
        <w:t>.</w:t>
      </w:r>
      <w:r w:rsidR="000F753D">
        <w:t xml:space="preserve"> </w:t>
      </w:r>
      <w:r>
        <w:rPr>
          <w:rFonts w:ascii="Times New Roman" w:hAnsi="Times New Roman"/>
          <w:color w:val="000000"/>
        </w:rPr>
        <w:t>The agencies modified the proposal in response to several comment letters.</w:t>
      </w:r>
      <w:r w:rsidR="001606EC">
        <w:rPr>
          <w:rFonts w:ascii="Times New Roman" w:hAnsi="Times New Roman"/>
          <w:color w:val="000000"/>
        </w:rPr>
        <w:t xml:space="preserve">  </w:t>
      </w:r>
      <w:r w:rsidR="001606EC" w:rsidRPr="002016E1">
        <w:t xml:space="preserve">On </w:t>
      </w:r>
      <w:r w:rsidR="004208AA">
        <w:t>January 28</w:t>
      </w:r>
      <w:r w:rsidR="001606EC">
        <w:t>, 200</w:t>
      </w:r>
      <w:r w:rsidR="00E14183">
        <w:t>9</w:t>
      </w:r>
      <w:r w:rsidR="001606EC" w:rsidRPr="002016E1">
        <w:t xml:space="preserve">, the Federal Reserve published a final notice in the </w:t>
      </w:r>
      <w:r w:rsidR="001606EC" w:rsidRPr="002016E1">
        <w:rPr>
          <w:i/>
        </w:rPr>
        <w:t>Federal Register</w:t>
      </w:r>
      <w:r w:rsidR="001606EC" w:rsidRPr="002016E1">
        <w:t xml:space="preserve"> (7</w:t>
      </w:r>
      <w:r w:rsidR="00E14183">
        <w:t>4</w:t>
      </w:r>
      <w:r w:rsidR="001606EC" w:rsidRPr="002016E1">
        <w:t> FR </w:t>
      </w:r>
      <w:r w:rsidR="004208AA">
        <w:t>5028</w:t>
      </w:r>
      <w:r w:rsidR="001606EC" w:rsidRPr="002016E1">
        <w:t xml:space="preserve">) </w:t>
      </w:r>
      <w:r w:rsidR="001606EC" w:rsidRPr="00176C9A">
        <w:t>o</w:t>
      </w:r>
      <w:r w:rsidR="001606EC">
        <w:t>n</w:t>
      </w:r>
      <w:r w:rsidR="001606EC" w:rsidRPr="00176C9A">
        <w:t xml:space="preserve"> the </w:t>
      </w:r>
      <w:r w:rsidR="001606EC">
        <w:t>Call Reports</w:t>
      </w:r>
      <w:r w:rsidR="00B2384E">
        <w:t>, including a more detailed discussion of the comments received</w:t>
      </w:r>
      <w:r w:rsidR="001606EC" w:rsidRPr="002016E1">
        <w:t>.</w:t>
      </w:r>
    </w:p>
    <w:p w:rsidR="003E1198" w:rsidRDefault="003E1198" w:rsidP="003E1198">
      <w:pPr>
        <w:pStyle w:val="BodyText"/>
        <w:spacing w:line="240" w:lineRule="auto"/>
        <w:ind w:firstLine="720"/>
        <w:rPr>
          <w:rFonts w:ascii="Times New Roman" w:hAnsi="Times New Roman"/>
          <w:color w:val="000000"/>
          <w:szCs w:val="24"/>
        </w:rPr>
      </w:pPr>
    </w:p>
    <w:p w:rsidR="00BA5648" w:rsidRDefault="00BA5648" w:rsidP="00BA5648">
      <w:pPr>
        <w:pStyle w:val="HTMLPreformatted"/>
        <w:rPr>
          <w:rFonts w:ascii="Times New Roman" w:hAnsi="Times New Roman"/>
          <w:sz w:val="24"/>
          <w:szCs w:val="24"/>
        </w:rPr>
      </w:pPr>
      <w:r>
        <w:rPr>
          <w:rFonts w:ascii="Times New Roman" w:hAnsi="Times New Roman"/>
          <w:sz w:val="24"/>
          <w:szCs w:val="24"/>
        </w:rPr>
        <w:tab/>
      </w:r>
      <w:r w:rsidR="00B2384E" w:rsidRPr="00B2384E">
        <w:rPr>
          <w:rFonts w:ascii="Times New Roman" w:hAnsi="Times New Roman"/>
          <w:b/>
          <w:sz w:val="24"/>
          <w:szCs w:val="24"/>
        </w:rPr>
        <w:t>Public Comments</w:t>
      </w:r>
      <w:r w:rsidR="00B2384E">
        <w:rPr>
          <w:rFonts w:ascii="Times New Roman" w:hAnsi="Times New Roman"/>
          <w:b/>
          <w:sz w:val="24"/>
          <w:szCs w:val="24"/>
        </w:rPr>
        <w:t>:</w:t>
      </w:r>
      <w:r w:rsidR="00B2384E">
        <w:rPr>
          <w:rFonts w:ascii="Times New Roman" w:hAnsi="Times New Roman"/>
          <w:sz w:val="24"/>
          <w:szCs w:val="24"/>
        </w:rPr>
        <w:t xml:space="preserve">  </w:t>
      </w:r>
      <w:r w:rsidRPr="00497F51">
        <w:rPr>
          <w:rFonts w:ascii="Times New Roman" w:hAnsi="Times New Roman"/>
          <w:sz w:val="24"/>
          <w:szCs w:val="24"/>
        </w:rPr>
        <w:t xml:space="preserve">The agencies collectively received comments from seven respondents:  two banks, one bank holding company, three bankers’ organizations, and a bank insurance consultant.   None of these </w:t>
      </w:r>
      <w:proofErr w:type="spellStart"/>
      <w:r w:rsidRPr="00497F51">
        <w:rPr>
          <w:rFonts w:ascii="Times New Roman" w:hAnsi="Times New Roman"/>
          <w:sz w:val="24"/>
          <w:szCs w:val="24"/>
        </w:rPr>
        <w:t>commenters</w:t>
      </w:r>
      <w:proofErr w:type="spellEnd"/>
      <w:r w:rsidRPr="00497F51">
        <w:rPr>
          <w:rFonts w:ascii="Times New Roman" w:hAnsi="Times New Roman"/>
          <w:sz w:val="24"/>
          <w:szCs w:val="24"/>
        </w:rPr>
        <w:t xml:space="preserve"> specifically addressed all of the aspects of the proposal.  Rather, individual respondents commented upon one or more of the proposed Call Report changes.  In two cases, </w:t>
      </w:r>
      <w:proofErr w:type="spellStart"/>
      <w:r w:rsidRPr="00497F51">
        <w:rPr>
          <w:rFonts w:ascii="Times New Roman" w:hAnsi="Times New Roman"/>
          <w:sz w:val="24"/>
          <w:szCs w:val="24"/>
        </w:rPr>
        <w:t>commenters</w:t>
      </w:r>
      <w:proofErr w:type="spellEnd"/>
      <w:r w:rsidRPr="00497F51">
        <w:rPr>
          <w:rFonts w:ascii="Times New Roman" w:hAnsi="Times New Roman"/>
          <w:sz w:val="24"/>
          <w:szCs w:val="24"/>
        </w:rPr>
        <w:t xml:space="preserve"> brought up reporting matters that were not addressed in the agencies’ proposal.  </w:t>
      </w:r>
    </w:p>
    <w:p w:rsidR="00BA5648" w:rsidRDefault="00BA5648" w:rsidP="00BA5648">
      <w:pPr>
        <w:pStyle w:val="HTMLPreformatted"/>
        <w:rPr>
          <w:rFonts w:ascii="Times New Roman" w:hAnsi="Times New Roman"/>
          <w:sz w:val="24"/>
          <w:szCs w:val="24"/>
        </w:rPr>
      </w:pPr>
    </w:p>
    <w:p w:rsidR="00BA5648" w:rsidRPr="00497F51" w:rsidRDefault="00BA5648" w:rsidP="00BA5648">
      <w:pPr>
        <w:pStyle w:val="HTMLPreformatted"/>
        <w:rPr>
          <w:rFonts w:ascii="Times New Roman" w:hAnsi="Times New Roman"/>
          <w:sz w:val="24"/>
          <w:szCs w:val="24"/>
        </w:rPr>
      </w:pPr>
      <w:r>
        <w:rPr>
          <w:rFonts w:ascii="Times New Roman" w:hAnsi="Times New Roman"/>
          <w:sz w:val="24"/>
          <w:szCs w:val="24"/>
        </w:rPr>
        <w:tab/>
        <w:t>With respect to general comments about the proposal, o</w:t>
      </w:r>
      <w:r w:rsidRPr="00497F51">
        <w:rPr>
          <w:rFonts w:ascii="Times New Roman" w:hAnsi="Times New Roman"/>
          <w:sz w:val="24"/>
          <w:szCs w:val="24"/>
        </w:rPr>
        <w:t>ne bankers’ organization stated that it believed that the proposed revisions would provide additional information that would be useful to the agencies’ assessment of risk.  This organization expressed general agreement, on balance, with the proposed revisions, but also offered several suggested changes for the agencies’ consideration.</w:t>
      </w:r>
      <w:r>
        <w:rPr>
          <w:rFonts w:ascii="Times New Roman" w:hAnsi="Times New Roman"/>
          <w:sz w:val="24"/>
          <w:szCs w:val="24"/>
        </w:rPr>
        <w:t xml:space="preserve"> </w:t>
      </w:r>
      <w:r w:rsidRPr="00497F51">
        <w:rPr>
          <w:rFonts w:ascii="Times New Roman" w:hAnsi="Times New Roman"/>
          <w:sz w:val="24"/>
          <w:szCs w:val="24"/>
        </w:rPr>
        <w:t xml:space="preserve">Another bankers’ organization indicated its understanding of the agencies’ need for more information on certain types of loans currently under stress, but noted that the proposed revisions would require many community banks to submit significantly more data in the Call Report.  This organization hoped that the increased staff time that would be needed to provide the proposed Call Report data would be offset by a reduction in on-site examination time through examiners’ use of these data to better focus their examination priorities.  In this regard, the agencies’ intent in proposing the revisions to the Call Report was to enhance their risk-focused supervision, both from an off-site and an on-site perspective.  The third bankers’ organization commented on the amount of lead time necessary for institutions to implement systems changes to enable them to provide the requested additional data, </w:t>
      </w:r>
      <w:r w:rsidRPr="00497F51">
        <w:rPr>
          <w:rFonts w:ascii="Times New Roman" w:hAnsi="Times New Roman"/>
          <w:sz w:val="24"/>
          <w:szCs w:val="24"/>
        </w:rPr>
        <w:lastRenderedPageBreak/>
        <w:t xml:space="preserve">recommending a minimum of three months between the agencies’ publication of final revisions in the </w:t>
      </w:r>
      <w:r w:rsidRPr="00B2384E">
        <w:rPr>
          <w:rFonts w:ascii="Times New Roman" w:hAnsi="Times New Roman"/>
          <w:i/>
          <w:sz w:val="24"/>
          <w:szCs w:val="24"/>
        </w:rPr>
        <w:t>Federal Register</w:t>
      </w:r>
      <w:r w:rsidRPr="00497F51">
        <w:rPr>
          <w:rFonts w:ascii="Times New Roman" w:hAnsi="Times New Roman"/>
          <w:sz w:val="24"/>
          <w:szCs w:val="24"/>
        </w:rPr>
        <w:t xml:space="preserve"> and the effective date of the reporting changes.</w:t>
      </w:r>
    </w:p>
    <w:p w:rsidR="00BA5648" w:rsidRDefault="00BA5648" w:rsidP="00BA5648">
      <w:pPr>
        <w:pStyle w:val="HTMLPreformatted"/>
        <w:rPr>
          <w:rFonts w:ascii="Times New Roman" w:hAnsi="Times New Roman"/>
          <w:sz w:val="24"/>
          <w:szCs w:val="24"/>
        </w:rPr>
      </w:pPr>
    </w:p>
    <w:p w:rsidR="00BA5648" w:rsidRPr="00497F51" w:rsidRDefault="00BA5648" w:rsidP="00BA5648">
      <w:pPr>
        <w:pStyle w:val="HTMLPreformatted"/>
        <w:rPr>
          <w:rFonts w:ascii="Times New Roman" w:hAnsi="Times New Roman"/>
          <w:sz w:val="24"/>
          <w:szCs w:val="24"/>
        </w:rPr>
      </w:pPr>
      <w:r>
        <w:rPr>
          <w:rFonts w:ascii="Times New Roman" w:hAnsi="Times New Roman"/>
          <w:sz w:val="24"/>
          <w:szCs w:val="24"/>
        </w:rPr>
        <w:tab/>
      </w:r>
      <w:r w:rsidRPr="00497F51">
        <w:rPr>
          <w:rFonts w:ascii="Times New Roman" w:hAnsi="Times New Roman"/>
          <w:sz w:val="24"/>
          <w:szCs w:val="24"/>
        </w:rPr>
        <w:t xml:space="preserve">Two </w:t>
      </w:r>
      <w:proofErr w:type="spellStart"/>
      <w:r w:rsidRPr="00497F51">
        <w:rPr>
          <w:rFonts w:ascii="Times New Roman" w:hAnsi="Times New Roman"/>
          <w:sz w:val="24"/>
          <w:szCs w:val="24"/>
        </w:rPr>
        <w:t>commenters</w:t>
      </w:r>
      <w:proofErr w:type="spellEnd"/>
      <w:r w:rsidRPr="00497F51">
        <w:rPr>
          <w:rFonts w:ascii="Times New Roman" w:hAnsi="Times New Roman"/>
          <w:sz w:val="24"/>
          <w:szCs w:val="24"/>
        </w:rPr>
        <w:t xml:space="preserve"> submitted comments on reporting issues that were not addressed in the agencies’ Call Report proposal.  One bank holding company sent a copy of separate correspondence that it had previously sent to three organizations suggesting a suspension of the accounting rules for other-than-temporary impairments on investment securities.  By law, the accounting principles applicable to the Call Report must be consistent with or, if certain conditions are met, no less stringent than generally accepted accounting principles.</w:t>
      </w:r>
      <w:r w:rsidRPr="00497F51">
        <w:rPr>
          <w:rFonts w:ascii="Times New Roman" w:hAnsi="Times New Roman"/>
          <w:sz w:val="24"/>
          <w:szCs w:val="24"/>
          <w:vertAlign w:val="superscript"/>
        </w:rPr>
        <w:footnoteReference w:id="13"/>
      </w:r>
      <w:r w:rsidRPr="00497F51">
        <w:rPr>
          <w:rFonts w:ascii="Times New Roman" w:hAnsi="Times New Roman"/>
          <w:sz w:val="24"/>
          <w:szCs w:val="24"/>
        </w:rPr>
        <w:t xml:space="preserve">  Therefore, the suggested suspension of accounting rules cannot be implemented for Call Report purposes.  </w:t>
      </w:r>
    </w:p>
    <w:p w:rsidR="00BA5648" w:rsidRDefault="00BA5648" w:rsidP="00BA5648">
      <w:pPr>
        <w:pStyle w:val="HTMLPreformatted"/>
        <w:rPr>
          <w:rFonts w:ascii="Times New Roman" w:hAnsi="Times New Roman"/>
          <w:sz w:val="24"/>
          <w:szCs w:val="24"/>
        </w:rPr>
      </w:pPr>
      <w:r w:rsidRPr="00497F51">
        <w:rPr>
          <w:rFonts w:ascii="Times New Roman" w:hAnsi="Times New Roman"/>
          <w:sz w:val="24"/>
          <w:szCs w:val="24"/>
        </w:rPr>
        <w:t xml:space="preserve">One bankers’ organization recommended that the Call Report be revised to require “reciprocal deposits” to be reported separately from brokered deposits.  This bankers’ organization also commented on the reporting of certain sweep accounts from other institutions, including affiliated institutions, in the Call Report.  The impetus for the bankers’ organization’s comments about the reporting of these two types of deposits was a Notice of Proposed Rulemaking (NPR) on which the FDIC was simultaneously requesting comment concerning amendments to its deposit insurance assessment regulations (12 CFR </w:t>
      </w:r>
      <w:proofErr w:type="gramStart"/>
      <w:r w:rsidRPr="00497F51">
        <w:rPr>
          <w:rFonts w:ascii="Times New Roman" w:hAnsi="Times New Roman"/>
          <w:sz w:val="24"/>
          <w:szCs w:val="24"/>
        </w:rPr>
        <w:t>part</w:t>
      </w:r>
      <w:proofErr w:type="gramEnd"/>
      <w:r w:rsidRPr="00497F51">
        <w:rPr>
          <w:rFonts w:ascii="Times New Roman" w:hAnsi="Times New Roman"/>
          <w:sz w:val="24"/>
          <w:szCs w:val="24"/>
        </w:rPr>
        <w:t xml:space="preserve"> 327).</w:t>
      </w:r>
      <w:r w:rsidRPr="00497F51">
        <w:rPr>
          <w:rFonts w:ascii="Times New Roman" w:hAnsi="Times New Roman"/>
          <w:sz w:val="24"/>
          <w:szCs w:val="24"/>
          <w:vertAlign w:val="superscript"/>
        </w:rPr>
        <w:footnoteReference w:id="14"/>
      </w:r>
      <w:r w:rsidRPr="00497F51">
        <w:rPr>
          <w:rFonts w:ascii="Times New Roman" w:hAnsi="Times New Roman"/>
          <w:sz w:val="24"/>
          <w:szCs w:val="24"/>
        </w:rPr>
        <w:t xml:space="preserve">  In the NPR, the FDIC proposed to alter the way in which it differentiates for risk in the risk-based assessment system; revise deposit insurance assessment rates, including base assessment rates; and make technical and other changes to the rules governing the risk-based assessment system.  In its comment letter to the agencies on the proposed Call Report revisions, the bankers’ organization observed that the Call Report may need to be revised depending on the FDIC’s decisions on the treatment of these accounts for deposit insurance assessment purposes.  Accordingly, the FFIEC and the agencies will monitor the outcome of the FDIC’s rulemaking for assessments and the need for new Call Report data items for reciprocal deposits and certain sweep accounts to support any modifications that the FDIC makes in its risk-based assessment system in a final rule.  In this regard, as proposed by the FDIC, these modifications would take effect April 1, 2009, which means that any new reporting requirements to provide data for the FDIC’s risk-based assessment system would need to be in place June 30, 2009.</w:t>
      </w:r>
    </w:p>
    <w:p w:rsidR="00BA5648" w:rsidRPr="00497F51" w:rsidRDefault="00BA5648" w:rsidP="00BA5648">
      <w:pPr>
        <w:pStyle w:val="HTMLPreformatted"/>
        <w:rPr>
          <w:rFonts w:ascii="Times New Roman" w:hAnsi="Times New Roman"/>
          <w:sz w:val="24"/>
          <w:szCs w:val="24"/>
        </w:rPr>
      </w:pPr>
      <w:r w:rsidRPr="00497F51">
        <w:rPr>
          <w:rFonts w:ascii="Times New Roman" w:hAnsi="Times New Roman"/>
          <w:sz w:val="24"/>
          <w:szCs w:val="24"/>
        </w:rPr>
        <w:t xml:space="preserve">      </w:t>
      </w:r>
    </w:p>
    <w:p w:rsidR="00BA5648" w:rsidRDefault="00BA5648" w:rsidP="00BA564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sz w:val="24"/>
          <w:szCs w:val="24"/>
        </w:rPr>
      </w:pPr>
      <w:r w:rsidRPr="00497F51">
        <w:rPr>
          <w:rFonts w:ascii="Times New Roman" w:hAnsi="Times New Roman"/>
          <w:sz w:val="24"/>
          <w:szCs w:val="24"/>
        </w:rPr>
        <w:t xml:space="preserve">After considering the comments received on the proposal, the agencies </w:t>
      </w:r>
      <w:r>
        <w:rPr>
          <w:rFonts w:ascii="Times New Roman" w:hAnsi="Times New Roman"/>
          <w:sz w:val="24"/>
          <w:szCs w:val="24"/>
        </w:rPr>
        <w:t xml:space="preserve">decided, subject to OMB approval, to </w:t>
      </w:r>
      <w:r w:rsidRPr="00497F51">
        <w:rPr>
          <w:rFonts w:ascii="Times New Roman" w:hAnsi="Times New Roman"/>
          <w:sz w:val="24"/>
          <w:szCs w:val="24"/>
        </w:rPr>
        <w:t xml:space="preserve">move forward with most of the reporting changes, with limited modifications in response to certain comments, on the phased-in basis that had been proposed.  The agencies are continuing to evaluate </w:t>
      </w:r>
      <w:r>
        <w:rPr>
          <w:rFonts w:ascii="Times New Roman" w:hAnsi="Times New Roman"/>
          <w:sz w:val="24"/>
          <w:szCs w:val="24"/>
        </w:rPr>
        <w:t>the</w:t>
      </w:r>
      <w:r w:rsidRPr="00497F51">
        <w:rPr>
          <w:rFonts w:ascii="Times New Roman" w:hAnsi="Times New Roman"/>
          <w:sz w:val="24"/>
          <w:szCs w:val="24"/>
        </w:rPr>
        <w:t xml:space="preserve"> proposed revisions </w:t>
      </w:r>
      <w:r>
        <w:rPr>
          <w:rFonts w:ascii="Times New Roman" w:hAnsi="Times New Roman"/>
          <w:sz w:val="24"/>
          <w:szCs w:val="24"/>
        </w:rPr>
        <w:t xml:space="preserve">for unused commitments, past due and nonaccrual trading assets, and </w:t>
      </w:r>
      <w:r w:rsidRPr="009254F4">
        <w:rPr>
          <w:rFonts w:ascii="Times New Roman" w:hAnsi="Times New Roman"/>
          <w:sz w:val="24"/>
          <w:szCs w:val="24"/>
        </w:rPr>
        <w:t xml:space="preserve">unpaid premiums on </w:t>
      </w:r>
      <w:r>
        <w:rPr>
          <w:rFonts w:ascii="Times New Roman" w:hAnsi="Times New Roman"/>
          <w:sz w:val="24"/>
          <w:szCs w:val="24"/>
        </w:rPr>
        <w:t xml:space="preserve">sold credit protection </w:t>
      </w:r>
      <w:r w:rsidRPr="00497F51">
        <w:rPr>
          <w:rFonts w:ascii="Times New Roman" w:hAnsi="Times New Roman"/>
          <w:sz w:val="24"/>
          <w:szCs w:val="24"/>
        </w:rPr>
        <w:t xml:space="preserve">in light of the comments received on </w:t>
      </w:r>
      <w:r>
        <w:rPr>
          <w:rFonts w:ascii="Times New Roman" w:hAnsi="Times New Roman"/>
          <w:sz w:val="24"/>
          <w:szCs w:val="24"/>
        </w:rPr>
        <w:t xml:space="preserve">them </w:t>
      </w:r>
      <w:r w:rsidRPr="00497F51">
        <w:rPr>
          <w:rFonts w:ascii="Times New Roman" w:hAnsi="Times New Roman"/>
          <w:sz w:val="24"/>
          <w:szCs w:val="24"/>
        </w:rPr>
        <w:t>and will not implement these revisions on their proposed effective dates.</w:t>
      </w:r>
    </w:p>
    <w:p w:rsidR="00BA5648" w:rsidRDefault="00BA5648" w:rsidP="00BA5648">
      <w:pPr>
        <w:pStyle w:val="HTMLPreformatted"/>
        <w:rPr>
          <w:rFonts w:ascii="Times New Roman" w:hAnsi="Times New Roman"/>
          <w:sz w:val="24"/>
          <w:szCs w:val="24"/>
        </w:rPr>
      </w:pPr>
    </w:p>
    <w:p w:rsidR="00BA5648" w:rsidRDefault="00BA5648" w:rsidP="00BA5648">
      <w:pPr>
        <w:pStyle w:val="HTMLPreformatted"/>
        <w:rPr>
          <w:rFonts w:ascii="Times New Roman" w:hAnsi="Times New Roman"/>
          <w:sz w:val="24"/>
          <w:szCs w:val="24"/>
        </w:rPr>
      </w:pPr>
      <w:r>
        <w:rPr>
          <w:rFonts w:ascii="Times New Roman" w:hAnsi="Times New Roman"/>
          <w:sz w:val="24"/>
          <w:szCs w:val="24"/>
        </w:rPr>
        <w:tab/>
      </w:r>
      <w:r w:rsidRPr="00497F51">
        <w:rPr>
          <w:rFonts w:ascii="Times New Roman" w:hAnsi="Times New Roman"/>
          <w:sz w:val="24"/>
          <w:szCs w:val="24"/>
        </w:rPr>
        <w:t xml:space="preserve">The agencies recognize institutions’ need for lead time to prepare for reporting changes, which led them to propose the phased-in implementation schedule for 2009.  The Call Report items that will be new or revised effective March 31, 2009, are limited in number and all but one are linked to changes in generally accepted accounting principles taking effect at the same time.  </w:t>
      </w:r>
      <w:r>
        <w:rPr>
          <w:rFonts w:ascii="Times New Roman" w:hAnsi="Times New Roman"/>
          <w:sz w:val="24"/>
          <w:szCs w:val="24"/>
        </w:rPr>
        <w:t>As is customary, f</w:t>
      </w:r>
      <w:r w:rsidRPr="00497F51">
        <w:rPr>
          <w:rFonts w:ascii="Times New Roman" w:hAnsi="Times New Roman"/>
          <w:sz w:val="24"/>
          <w:szCs w:val="24"/>
        </w:rPr>
        <w:t xml:space="preserve">or the March 31, 2009, report date, banks may provide reasonable </w:t>
      </w:r>
      <w:r w:rsidRPr="00497F51">
        <w:rPr>
          <w:rFonts w:ascii="Times New Roman" w:hAnsi="Times New Roman"/>
          <w:sz w:val="24"/>
          <w:szCs w:val="24"/>
        </w:rPr>
        <w:lastRenderedPageBreak/>
        <w:t>estimates for any new or revised Call Report item initially required to be reported as of that date for which the requested information is not readily available.  This same policy on the use of reasonable</w:t>
      </w:r>
      <w:r>
        <w:rPr>
          <w:rFonts w:ascii="Times New Roman" w:hAnsi="Times New Roman"/>
          <w:sz w:val="24"/>
          <w:szCs w:val="24"/>
        </w:rPr>
        <w:t xml:space="preserve"> </w:t>
      </w:r>
      <w:r w:rsidRPr="00497F51">
        <w:rPr>
          <w:rFonts w:ascii="Times New Roman" w:hAnsi="Times New Roman"/>
          <w:sz w:val="24"/>
          <w:szCs w:val="24"/>
        </w:rPr>
        <w:t xml:space="preserve">estimates will apply to the reporting of other new or revised items when they are first implemented effective June 30 and December 31, 2009.  </w:t>
      </w:r>
      <w:r>
        <w:rPr>
          <w:rFonts w:ascii="Times New Roman" w:hAnsi="Times New Roman"/>
          <w:sz w:val="24"/>
          <w:szCs w:val="24"/>
        </w:rPr>
        <w:t>The longstanding Call Report policy is intended to assist banks in their preparation for new and revised reporting requirements.</w:t>
      </w:r>
    </w:p>
    <w:p w:rsidR="00BA5648" w:rsidRDefault="00BA5648" w:rsidP="00BA564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sz w:val="24"/>
          <w:szCs w:val="24"/>
        </w:rPr>
      </w:pPr>
    </w:p>
    <w:p w:rsidR="003E1198" w:rsidRPr="00E93E9C" w:rsidRDefault="00BA5648" w:rsidP="00BA5648">
      <w:pPr>
        <w:widowControl/>
        <w:suppressAutoHyphens/>
        <w:ind w:firstLine="720"/>
        <w:rPr>
          <w:rFonts w:ascii="Times New Roman" w:hAnsi="Times New Roman"/>
        </w:rPr>
      </w:pPr>
      <w:r>
        <w:rPr>
          <w:rFonts w:ascii="Times New Roman" w:hAnsi="Times New Roman"/>
        </w:rPr>
        <w:t xml:space="preserve">For a more detailed discussion of the changes proposed, the comments received, and the agencies’ responses, please refer to the “Current Actions” section of the final </w:t>
      </w:r>
      <w:r w:rsidRPr="00BA5648">
        <w:rPr>
          <w:rFonts w:ascii="Times New Roman" w:hAnsi="Times New Roman"/>
          <w:i/>
        </w:rPr>
        <w:t>Federal Register</w:t>
      </w:r>
      <w:r>
        <w:rPr>
          <w:rFonts w:ascii="Times New Roman" w:hAnsi="Times New Roman"/>
        </w:rPr>
        <w:t xml:space="preserve"> notice for this submission.</w:t>
      </w:r>
    </w:p>
    <w:p w:rsidR="00BA5648" w:rsidRDefault="00BA5648" w:rsidP="00BA5648">
      <w:pPr>
        <w:pStyle w:val="BodyText2"/>
        <w:tabs>
          <w:tab w:val="left" w:pos="720"/>
          <w:tab w:val="left" w:pos="810"/>
        </w:tabs>
        <w:spacing w:line="240" w:lineRule="auto"/>
        <w:rPr>
          <w:i w:val="0"/>
        </w:rPr>
      </w:pPr>
    </w:p>
    <w:p w:rsidR="000E7D57" w:rsidRPr="003E1198" w:rsidRDefault="000E7D57" w:rsidP="00BA5648">
      <w:pPr>
        <w:pStyle w:val="BodyText2"/>
        <w:tabs>
          <w:tab w:val="left" w:pos="720"/>
          <w:tab w:val="left" w:pos="810"/>
        </w:tabs>
        <w:spacing w:line="240" w:lineRule="auto"/>
        <w:rPr>
          <w:i w:val="0"/>
        </w:rPr>
      </w:pPr>
      <w:r w:rsidRPr="003E1198">
        <w:rPr>
          <w:i w:val="0"/>
        </w:rPr>
        <w:t>Estimate of Respondent Burden</w:t>
      </w:r>
    </w:p>
    <w:p w:rsidR="00BA5648" w:rsidRDefault="00BA5648" w:rsidP="003E1198">
      <w:pPr>
        <w:pStyle w:val="BodyTextIndent3"/>
        <w:widowControl/>
        <w:jc w:val="both"/>
        <w:rPr>
          <w:rFonts w:ascii="Times New Roman" w:hAnsi="Times New Roman"/>
        </w:rPr>
      </w:pPr>
    </w:p>
    <w:p w:rsidR="000E7D57" w:rsidRDefault="000E7D57" w:rsidP="003E1198">
      <w:pPr>
        <w:pStyle w:val="BodyTextIndent3"/>
        <w:widowControl/>
        <w:jc w:val="both"/>
        <w:rPr>
          <w:rFonts w:ascii="Times New Roman" w:hAnsi="Times New Roman"/>
        </w:rPr>
      </w:pPr>
      <w:r>
        <w:rPr>
          <w:rFonts w:ascii="Times New Roman" w:hAnsi="Times New Roman"/>
        </w:rPr>
        <w:t xml:space="preserve">The Federal Reserve estimates that the proposed revisions would </w:t>
      </w:r>
      <w:r w:rsidR="001B77FC">
        <w:rPr>
          <w:rFonts w:ascii="Times New Roman" w:hAnsi="Times New Roman"/>
        </w:rPr>
        <w:t>in</w:t>
      </w:r>
      <w:r>
        <w:rPr>
          <w:rFonts w:ascii="Times New Roman" w:hAnsi="Times New Roman"/>
        </w:rPr>
        <w:t xml:space="preserve">crease the estimated annual burden by </w:t>
      </w:r>
      <w:r w:rsidR="004208AA">
        <w:rPr>
          <w:rFonts w:ascii="Times New Roman" w:hAnsi="Times New Roman"/>
        </w:rPr>
        <w:t>2,631</w:t>
      </w:r>
      <w:r w:rsidR="00E070A9">
        <w:rPr>
          <w:rFonts w:ascii="Times New Roman" w:hAnsi="Times New Roman"/>
        </w:rPr>
        <w:t xml:space="preserve"> </w:t>
      </w:r>
      <w:r>
        <w:rPr>
          <w:rFonts w:ascii="Times New Roman" w:hAnsi="Times New Roman"/>
        </w:rPr>
        <w:t xml:space="preserve">hours.  </w:t>
      </w:r>
      <w:r w:rsidR="00DF4583">
        <w:t xml:space="preserve">This proposal would add several new data items to the </w:t>
      </w:r>
      <w:r w:rsidR="006956DF">
        <w:t>Call Reports</w:t>
      </w:r>
      <w:r w:rsidR="001B77FC">
        <w:t xml:space="preserve"> and</w:t>
      </w:r>
      <w:r w:rsidR="00DF4583">
        <w:t xml:space="preserve"> revise certain existing </w:t>
      </w:r>
      <w:r w:rsidR="006504B4">
        <w:t>data items</w:t>
      </w:r>
      <w:r w:rsidR="00C41BCD">
        <w:t>.</w:t>
      </w:r>
      <w:r w:rsidR="003E1198">
        <w:t xml:space="preserve">  </w:t>
      </w:r>
      <w:r w:rsidR="001B77FC">
        <w:t>T</w:t>
      </w:r>
      <w:r w:rsidR="00DF4583">
        <w:t xml:space="preserve">he proposal as a whole would produce a net </w:t>
      </w:r>
      <w:r w:rsidR="001B77FC">
        <w:t xml:space="preserve">increase </w:t>
      </w:r>
      <w:r w:rsidR="00DF4583">
        <w:t xml:space="preserve">in reporting burden for banks of all sizes of </w:t>
      </w:r>
      <w:r w:rsidR="00E14183">
        <w:t>forty-five</w:t>
      </w:r>
      <w:r w:rsidR="00E070A9">
        <w:t xml:space="preserve"> </w:t>
      </w:r>
      <w:r w:rsidR="001B77FC">
        <w:t>minutes</w:t>
      </w:r>
      <w:r w:rsidR="00DF4583">
        <w:t xml:space="preserve"> per response.  </w:t>
      </w:r>
      <w:r>
        <w:rPr>
          <w:rFonts w:ascii="Times New Roman" w:hAnsi="Times New Roman"/>
        </w:rPr>
        <w:t xml:space="preserve">The Federal Reserve estimates the total proposed annual reporting burden for state member banks to be </w:t>
      </w:r>
      <w:r w:rsidR="00C41BCD">
        <w:rPr>
          <w:rFonts w:ascii="Times New Roman" w:hAnsi="Times New Roman"/>
        </w:rPr>
        <w:t>18</w:t>
      </w:r>
      <w:r w:rsidR="00E14183">
        <w:rPr>
          <w:rFonts w:ascii="Times New Roman" w:hAnsi="Times New Roman"/>
        </w:rPr>
        <w:t>6,976</w:t>
      </w:r>
      <w:r w:rsidR="00E070A9">
        <w:rPr>
          <w:rFonts w:ascii="Times New Roman" w:hAnsi="Times New Roman"/>
        </w:rPr>
        <w:t xml:space="preserve"> </w:t>
      </w:r>
      <w:r>
        <w:rPr>
          <w:rFonts w:ascii="Times New Roman" w:hAnsi="Times New Roman"/>
        </w:rPr>
        <w:t>hours, as shown below</w:t>
      </w:r>
      <w:r w:rsidR="00972322">
        <w:rPr>
          <w:rFonts w:ascii="Times New Roman" w:hAnsi="Times New Roman"/>
        </w:rPr>
        <w:t xml:space="preserve">.  This burden represents </w:t>
      </w:r>
      <w:r w:rsidR="00E70831">
        <w:rPr>
          <w:rFonts w:ascii="Times New Roman" w:hAnsi="Times New Roman"/>
        </w:rPr>
        <w:t xml:space="preserve">4 </w:t>
      </w:r>
      <w:r w:rsidR="00972322">
        <w:rPr>
          <w:rFonts w:ascii="Times New Roman" w:hAnsi="Times New Roman"/>
        </w:rPr>
        <w:t>percent of the total Federal Reserve paperwork burden.</w:t>
      </w:r>
    </w:p>
    <w:p w:rsidR="00A863C4" w:rsidRDefault="00A863C4">
      <w:pPr>
        <w:widowControl/>
        <w:tabs>
          <w:tab w:val="left" w:pos="360"/>
        </w:tabs>
        <w:rPr>
          <w:rFonts w:ascii="Times New Roman" w:hAnsi="Times New Roman"/>
        </w:rPr>
      </w:pPr>
    </w:p>
    <w:tbl>
      <w:tblPr>
        <w:tblW w:w="0" w:type="auto"/>
        <w:tblInd w:w="120" w:type="dxa"/>
        <w:tblLayout w:type="fixed"/>
        <w:tblCellMar>
          <w:left w:w="120" w:type="dxa"/>
          <w:right w:w="120" w:type="dxa"/>
        </w:tblCellMar>
        <w:tblLook w:val="0000"/>
      </w:tblPr>
      <w:tblGrid>
        <w:gridCol w:w="2160"/>
        <w:gridCol w:w="1800"/>
        <w:gridCol w:w="1800"/>
        <w:gridCol w:w="1800"/>
        <w:gridCol w:w="1800"/>
      </w:tblGrid>
      <w:tr w:rsidR="000E7D57">
        <w:tc>
          <w:tcPr>
            <w:tcW w:w="2160" w:type="dxa"/>
            <w:tcBorders>
              <w:top w:val="single" w:sz="8" w:space="0" w:color="000000"/>
              <w:bottom w:val="single" w:sz="8" w:space="0" w:color="000000"/>
            </w:tcBorders>
          </w:tcPr>
          <w:p w:rsidR="000E7D57" w:rsidRDefault="000E7D57">
            <w:pPr>
              <w:widowControl/>
              <w:tabs>
                <w:tab w:val="left" w:pos="360"/>
              </w:tabs>
              <w:spacing w:after="58"/>
              <w:rPr>
                <w:rFonts w:ascii="Times New Roman" w:hAnsi="Times New Roman"/>
              </w:rPr>
            </w:pPr>
          </w:p>
        </w:tc>
        <w:tc>
          <w:tcPr>
            <w:tcW w:w="1800" w:type="dxa"/>
            <w:tcBorders>
              <w:top w:val="single" w:sz="8" w:space="0" w:color="000000"/>
              <w:bottom w:val="single" w:sz="8" w:space="0" w:color="000000"/>
            </w:tcBorders>
            <w:vAlign w:val="center"/>
          </w:tcPr>
          <w:p w:rsidR="00905999" w:rsidRDefault="000E7D57" w:rsidP="00905999">
            <w:pPr>
              <w:widowControl/>
              <w:tabs>
                <w:tab w:val="left" w:pos="360"/>
              </w:tabs>
              <w:spacing w:after="58"/>
              <w:jc w:val="center"/>
              <w:rPr>
                <w:rFonts w:ascii="Times New Roman" w:hAnsi="Times New Roman"/>
                <w:i/>
                <w:iCs/>
              </w:rPr>
            </w:pPr>
            <w:r>
              <w:rPr>
                <w:rFonts w:ascii="Times New Roman" w:hAnsi="Times New Roman"/>
                <w:i/>
                <w:iCs/>
              </w:rPr>
              <w:t xml:space="preserve">Number </w:t>
            </w:r>
            <w:r w:rsidR="00905999">
              <w:rPr>
                <w:rFonts w:ascii="Times New Roman" w:hAnsi="Times New Roman"/>
                <w:i/>
                <w:iCs/>
              </w:rPr>
              <w:t>of</w:t>
            </w:r>
          </w:p>
          <w:p w:rsidR="000E7D57" w:rsidRDefault="006956DF" w:rsidP="00905999">
            <w:pPr>
              <w:widowControl/>
              <w:tabs>
                <w:tab w:val="left" w:pos="360"/>
              </w:tabs>
              <w:spacing w:after="58"/>
              <w:jc w:val="center"/>
              <w:rPr>
                <w:rFonts w:ascii="Times New Roman" w:hAnsi="Times New Roman"/>
                <w:i/>
                <w:iCs/>
              </w:rPr>
            </w:pPr>
            <w:r>
              <w:rPr>
                <w:rFonts w:ascii="Times New Roman" w:hAnsi="Times New Roman"/>
                <w:i/>
                <w:iCs/>
              </w:rPr>
              <w:t>respondents</w:t>
            </w:r>
          </w:p>
        </w:tc>
        <w:tc>
          <w:tcPr>
            <w:tcW w:w="1800" w:type="dxa"/>
            <w:tcBorders>
              <w:top w:val="single" w:sz="8" w:space="0" w:color="000000"/>
              <w:bottom w:val="single" w:sz="8" w:space="0" w:color="000000"/>
            </w:tcBorders>
            <w:vAlign w:val="center"/>
          </w:tcPr>
          <w:p w:rsidR="00905999" w:rsidRDefault="00905999" w:rsidP="00905999">
            <w:pPr>
              <w:widowControl/>
              <w:tabs>
                <w:tab w:val="left" w:pos="360"/>
              </w:tabs>
              <w:spacing w:after="58"/>
              <w:jc w:val="center"/>
              <w:rPr>
                <w:rFonts w:ascii="Times New Roman" w:hAnsi="Times New Roman"/>
                <w:i/>
                <w:iCs/>
              </w:rPr>
            </w:pPr>
            <w:r>
              <w:rPr>
                <w:rFonts w:ascii="Times New Roman" w:hAnsi="Times New Roman"/>
                <w:i/>
                <w:iCs/>
              </w:rPr>
              <w:t>Annual</w:t>
            </w:r>
          </w:p>
          <w:p w:rsidR="000E7D57" w:rsidRDefault="006956DF" w:rsidP="00905999">
            <w:pPr>
              <w:widowControl/>
              <w:tabs>
                <w:tab w:val="left" w:pos="360"/>
              </w:tabs>
              <w:spacing w:after="58"/>
              <w:jc w:val="center"/>
              <w:rPr>
                <w:rFonts w:ascii="Times New Roman" w:hAnsi="Times New Roman"/>
                <w:i/>
                <w:iCs/>
              </w:rPr>
            </w:pPr>
            <w:r>
              <w:rPr>
                <w:rFonts w:ascii="Times New Roman" w:hAnsi="Times New Roman"/>
                <w:i/>
                <w:iCs/>
              </w:rPr>
              <w:t>frequency</w:t>
            </w:r>
          </w:p>
        </w:tc>
        <w:tc>
          <w:tcPr>
            <w:tcW w:w="1800" w:type="dxa"/>
            <w:tcBorders>
              <w:top w:val="single" w:sz="8" w:space="0" w:color="000000"/>
              <w:bottom w:val="single" w:sz="8" w:space="0" w:color="000000"/>
            </w:tcBorders>
            <w:vAlign w:val="center"/>
          </w:tcPr>
          <w:p w:rsidR="00905999" w:rsidRDefault="00905999" w:rsidP="00905999">
            <w:pPr>
              <w:widowControl/>
              <w:tabs>
                <w:tab w:val="left" w:pos="360"/>
              </w:tabs>
              <w:spacing w:after="58"/>
              <w:jc w:val="center"/>
              <w:rPr>
                <w:rFonts w:ascii="Times New Roman" w:hAnsi="Times New Roman"/>
                <w:i/>
                <w:iCs/>
              </w:rPr>
            </w:pPr>
            <w:r>
              <w:rPr>
                <w:rFonts w:ascii="Times New Roman" w:hAnsi="Times New Roman"/>
                <w:i/>
                <w:iCs/>
              </w:rPr>
              <w:t>Estimated</w:t>
            </w:r>
          </w:p>
          <w:p w:rsidR="00905999" w:rsidRDefault="006956DF" w:rsidP="00905999">
            <w:pPr>
              <w:widowControl/>
              <w:tabs>
                <w:tab w:val="left" w:pos="360"/>
              </w:tabs>
              <w:spacing w:after="58"/>
              <w:jc w:val="center"/>
              <w:rPr>
                <w:rFonts w:ascii="Times New Roman" w:hAnsi="Times New Roman"/>
                <w:i/>
                <w:iCs/>
              </w:rPr>
            </w:pPr>
            <w:r>
              <w:rPr>
                <w:rFonts w:ascii="Times New Roman" w:hAnsi="Times New Roman"/>
                <w:i/>
                <w:iCs/>
              </w:rPr>
              <w:t>average hours</w:t>
            </w:r>
          </w:p>
          <w:p w:rsidR="000E7D57" w:rsidRDefault="006956DF" w:rsidP="00905999">
            <w:pPr>
              <w:widowControl/>
              <w:tabs>
                <w:tab w:val="left" w:pos="360"/>
              </w:tabs>
              <w:spacing w:after="58"/>
              <w:jc w:val="center"/>
              <w:rPr>
                <w:rFonts w:ascii="Times New Roman" w:hAnsi="Times New Roman"/>
                <w:i/>
                <w:iCs/>
              </w:rPr>
            </w:pPr>
            <w:r>
              <w:rPr>
                <w:rFonts w:ascii="Times New Roman" w:hAnsi="Times New Roman"/>
                <w:i/>
                <w:iCs/>
              </w:rPr>
              <w:t>per response</w:t>
            </w:r>
          </w:p>
        </w:tc>
        <w:tc>
          <w:tcPr>
            <w:tcW w:w="1800" w:type="dxa"/>
            <w:tcBorders>
              <w:top w:val="single" w:sz="8" w:space="0" w:color="000000"/>
              <w:bottom w:val="single" w:sz="8" w:space="0" w:color="000000"/>
            </w:tcBorders>
            <w:vAlign w:val="center"/>
          </w:tcPr>
          <w:p w:rsidR="00905999" w:rsidRDefault="00905999" w:rsidP="00905999">
            <w:pPr>
              <w:widowControl/>
              <w:tabs>
                <w:tab w:val="left" w:pos="360"/>
              </w:tabs>
              <w:spacing w:after="58"/>
              <w:jc w:val="center"/>
              <w:rPr>
                <w:rFonts w:ascii="Times New Roman" w:hAnsi="Times New Roman"/>
                <w:i/>
                <w:iCs/>
              </w:rPr>
            </w:pPr>
            <w:r>
              <w:rPr>
                <w:rFonts w:ascii="Times New Roman" w:hAnsi="Times New Roman"/>
                <w:i/>
                <w:iCs/>
              </w:rPr>
              <w:t>Estimated</w:t>
            </w:r>
          </w:p>
          <w:p w:rsidR="00905999" w:rsidRDefault="006956DF" w:rsidP="00905999">
            <w:pPr>
              <w:widowControl/>
              <w:tabs>
                <w:tab w:val="left" w:pos="360"/>
              </w:tabs>
              <w:spacing w:after="58"/>
              <w:jc w:val="center"/>
              <w:rPr>
                <w:rFonts w:ascii="Times New Roman" w:hAnsi="Times New Roman"/>
                <w:i/>
                <w:iCs/>
              </w:rPr>
            </w:pPr>
            <w:r>
              <w:rPr>
                <w:rFonts w:ascii="Times New Roman" w:hAnsi="Times New Roman"/>
                <w:i/>
                <w:iCs/>
              </w:rPr>
              <w:t>annual burden</w:t>
            </w:r>
          </w:p>
          <w:p w:rsidR="000E7D57" w:rsidRDefault="006956DF" w:rsidP="00905999">
            <w:pPr>
              <w:widowControl/>
              <w:tabs>
                <w:tab w:val="left" w:pos="360"/>
              </w:tabs>
              <w:spacing w:after="58"/>
              <w:jc w:val="center"/>
              <w:rPr>
                <w:rFonts w:ascii="Times New Roman" w:hAnsi="Times New Roman"/>
                <w:i/>
                <w:iCs/>
              </w:rPr>
            </w:pPr>
            <w:r>
              <w:rPr>
                <w:rFonts w:ascii="Times New Roman" w:hAnsi="Times New Roman"/>
                <w:i/>
                <w:iCs/>
              </w:rPr>
              <w:t>hours</w:t>
            </w:r>
          </w:p>
        </w:tc>
      </w:tr>
      <w:tr w:rsidR="00905999">
        <w:trPr>
          <w:trHeight w:val="423"/>
        </w:trPr>
        <w:tc>
          <w:tcPr>
            <w:tcW w:w="2160" w:type="dxa"/>
            <w:tcBorders>
              <w:top w:val="single" w:sz="8" w:space="0" w:color="000000"/>
            </w:tcBorders>
            <w:vAlign w:val="center"/>
          </w:tcPr>
          <w:p w:rsidR="00905999" w:rsidRPr="00972C3E" w:rsidRDefault="00905999" w:rsidP="00972C3E">
            <w:pPr>
              <w:widowControl/>
              <w:tabs>
                <w:tab w:val="left" w:pos="360"/>
              </w:tabs>
              <w:spacing w:after="58"/>
              <w:rPr>
                <w:rFonts w:ascii="Times New Roman" w:hAnsi="Times New Roman"/>
                <w:b/>
              </w:rPr>
            </w:pPr>
            <w:r w:rsidRPr="00905999">
              <w:rPr>
                <w:rFonts w:ascii="Times New Roman" w:hAnsi="Times New Roman"/>
                <w:b/>
              </w:rPr>
              <w:t>Current</w:t>
            </w:r>
          </w:p>
        </w:tc>
        <w:tc>
          <w:tcPr>
            <w:tcW w:w="1800" w:type="dxa"/>
            <w:tcBorders>
              <w:top w:val="single" w:sz="8" w:space="0" w:color="000000"/>
            </w:tcBorders>
            <w:vAlign w:val="center"/>
          </w:tcPr>
          <w:p w:rsidR="00905999" w:rsidRDefault="00E070A9" w:rsidP="00972C3E">
            <w:pPr>
              <w:widowControl/>
              <w:tabs>
                <w:tab w:val="left" w:pos="360"/>
              </w:tabs>
              <w:spacing w:after="58"/>
              <w:jc w:val="center"/>
              <w:rPr>
                <w:rFonts w:ascii="Times New Roman" w:hAnsi="Times New Roman"/>
              </w:rPr>
            </w:pPr>
            <w:r>
              <w:rPr>
                <w:rFonts w:ascii="Times New Roman" w:hAnsi="Times New Roman"/>
              </w:rPr>
              <w:t>8</w:t>
            </w:r>
            <w:r w:rsidR="00E14183">
              <w:rPr>
                <w:rFonts w:ascii="Times New Roman" w:hAnsi="Times New Roman"/>
              </w:rPr>
              <w:t>77</w:t>
            </w:r>
          </w:p>
        </w:tc>
        <w:tc>
          <w:tcPr>
            <w:tcW w:w="1800" w:type="dxa"/>
            <w:tcBorders>
              <w:top w:val="single" w:sz="8" w:space="0" w:color="000000"/>
            </w:tcBorders>
            <w:vAlign w:val="center"/>
          </w:tcPr>
          <w:p w:rsidR="00905999" w:rsidRDefault="00905999" w:rsidP="00972C3E">
            <w:pPr>
              <w:widowControl/>
              <w:tabs>
                <w:tab w:val="left" w:pos="360"/>
              </w:tabs>
              <w:spacing w:after="58"/>
              <w:jc w:val="center"/>
              <w:rPr>
                <w:rFonts w:ascii="Times New Roman" w:hAnsi="Times New Roman"/>
              </w:rPr>
            </w:pPr>
            <w:r>
              <w:rPr>
                <w:rFonts w:ascii="Times New Roman" w:hAnsi="Times New Roman"/>
              </w:rPr>
              <w:t>4</w:t>
            </w:r>
          </w:p>
        </w:tc>
        <w:tc>
          <w:tcPr>
            <w:tcW w:w="1800" w:type="dxa"/>
            <w:tcBorders>
              <w:top w:val="single" w:sz="8" w:space="0" w:color="000000"/>
            </w:tcBorders>
            <w:vAlign w:val="center"/>
          </w:tcPr>
          <w:p w:rsidR="00905999" w:rsidRDefault="00E070A9" w:rsidP="00972C3E">
            <w:pPr>
              <w:widowControl/>
              <w:tabs>
                <w:tab w:val="left" w:pos="360"/>
              </w:tabs>
              <w:spacing w:after="58"/>
              <w:jc w:val="center"/>
              <w:rPr>
                <w:rFonts w:ascii="Times New Roman" w:hAnsi="Times New Roman"/>
              </w:rPr>
            </w:pPr>
            <w:r>
              <w:rPr>
                <w:rFonts w:ascii="Times New Roman" w:hAnsi="Times New Roman"/>
              </w:rPr>
              <w:t>5</w:t>
            </w:r>
            <w:r w:rsidR="00E14183">
              <w:rPr>
                <w:rFonts w:ascii="Times New Roman" w:hAnsi="Times New Roman"/>
              </w:rPr>
              <w:t>2.55</w:t>
            </w:r>
          </w:p>
        </w:tc>
        <w:tc>
          <w:tcPr>
            <w:tcW w:w="1800" w:type="dxa"/>
            <w:tcBorders>
              <w:top w:val="single" w:sz="8" w:space="0" w:color="000000"/>
            </w:tcBorders>
            <w:vAlign w:val="center"/>
          </w:tcPr>
          <w:p w:rsidR="00905999" w:rsidRDefault="001B77FC" w:rsidP="00972C3E">
            <w:pPr>
              <w:widowControl/>
              <w:spacing w:after="58"/>
              <w:jc w:val="center"/>
              <w:rPr>
                <w:rFonts w:ascii="Times New Roman" w:hAnsi="Times New Roman"/>
              </w:rPr>
            </w:pPr>
            <w:r>
              <w:t>18</w:t>
            </w:r>
            <w:r w:rsidR="006C6A53">
              <w:t>4,345</w:t>
            </w:r>
          </w:p>
        </w:tc>
      </w:tr>
      <w:tr w:rsidR="00905999">
        <w:tc>
          <w:tcPr>
            <w:tcW w:w="2160" w:type="dxa"/>
            <w:vAlign w:val="center"/>
          </w:tcPr>
          <w:p w:rsidR="00905999" w:rsidRPr="00972C3E" w:rsidRDefault="00905999" w:rsidP="00972C3E">
            <w:pPr>
              <w:widowControl/>
              <w:tabs>
                <w:tab w:val="left" w:pos="360"/>
              </w:tabs>
              <w:spacing w:after="58"/>
              <w:rPr>
                <w:rFonts w:ascii="Times New Roman" w:hAnsi="Times New Roman"/>
                <w:b/>
              </w:rPr>
            </w:pPr>
            <w:r w:rsidRPr="00905999">
              <w:rPr>
                <w:rFonts w:ascii="Times New Roman" w:hAnsi="Times New Roman"/>
                <w:b/>
              </w:rPr>
              <w:t>Proposed</w:t>
            </w:r>
          </w:p>
        </w:tc>
        <w:tc>
          <w:tcPr>
            <w:tcW w:w="1800" w:type="dxa"/>
            <w:vAlign w:val="center"/>
          </w:tcPr>
          <w:p w:rsidR="00905999" w:rsidRDefault="00E070A9" w:rsidP="00972C3E">
            <w:pPr>
              <w:widowControl/>
              <w:tabs>
                <w:tab w:val="left" w:pos="360"/>
              </w:tabs>
              <w:spacing w:after="58"/>
              <w:jc w:val="center"/>
              <w:rPr>
                <w:rFonts w:ascii="Times New Roman" w:hAnsi="Times New Roman"/>
              </w:rPr>
            </w:pPr>
            <w:r>
              <w:rPr>
                <w:rFonts w:ascii="Times New Roman" w:hAnsi="Times New Roman"/>
              </w:rPr>
              <w:t>8</w:t>
            </w:r>
            <w:r w:rsidR="00E14183">
              <w:rPr>
                <w:rFonts w:ascii="Times New Roman" w:hAnsi="Times New Roman"/>
              </w:rPr>
              <w:t>77</w:t>
            </w:r>
          </w:p>
        </w:tc>
        <w:tc>
          <w:tcPr>
            <w:tcW w:w="1800" w:type="dxa"/>
            <w:vAlign w:val="center"/>
          </w:tcPr>
          <w:p w:rsidR="00905999" w:rsidRDefault="00905999" w:rsidP="00972C3E">
            <w:pPr>
              <w:widowControl/>
              <w:tabs>
                <w:tab w:val="left" w:pos="360"/>
              </w:tabs>
              <w:spacing w:after="58"/>
              <w:jc w:val="center"/>
              <w:rPr>
                <w:rFonts w:ascii="Times New Roman" w:hAnsi="Times New Roman"/>
              </w:rPr>
            </w:pPr>
            <w:r>
              <w:rPr>
                <w:rFonts w:ascii="Times New Roman" w:hAnsi="Times New Roman"/>
              </w:rPr>
              <w:t>4</w:t>
            </w:r>
          </w:p>
        </w:tc>
        <w:tc>
          <w:tcPr>
            <w:tcW w:w="1800" w:type="dxa"/>
            <w:vAlign w:val="center"/>
          </w:tcPr>
          <w:p w:rsidR="00905999" w:rsidRDefault="00E070A9" w:rsidP="00972C3E">
            <w:pPr>
              <w:widowControl/>
              <w:tabs>
                <w:tab w:val="left" w:pos="360"/>
              </w:tabs>
              <w:spacing w:after="58"/>
              <w:jc w:val="center"/>
              <w:rPr>
                <w:rFonts w:ascii="Times New Roman" w:hAnsi="Times New Roman"/>
              </w:rPr>
            </w:pPr>
            <w:r>
              <w:rPr>
                <w:rFonts w:ascii="Times New Roman" w:hAnsi="Times New Roman"/>
              </w:rPr>
              <w:t>5</w:t>
            </w:r>
            <w:r w:rsidR="00E14183">
              <w:rPr>
                <w:rFonts w:ascii="Times New Roman" w:hAnsi="Times New Roman"/>
              </w:rPr>
              <w:t>3.30</w:t>
            </w:r>
          </w:p>
        </w:tc>
        <w:tc>
          <w:tcPr>
            <w:tcW w:w="1800" w:type="dxa"/>
            <w:vAlign w:val="center"/>
          </w:tcPr>
          <w:p w:rsidR="00905999" w:rsidRDefault="00DF4583" w:rsidP="00972C3E">
            <w:pPr>
              <w:widowControl/>
              <w:spacing w:after="58"/>
              <w:jc w:val="center"/>
              <w:rPr>
                <w:rFonts w:ascii="Times New Roman" w:hAnsi="Times New Roman"/>
              </w:rPr>
            </w:pPr>
            <w:r>
              <w:t>18</w:t>
            </w:r>
            <w:r w:rsidR="00E14183">
              <w:t>6,976</w:t>
            </w:r>
          </w:p>
        </w:tc>
      </w:tr>
      <w:tr w:rsidR="000E7D57">
        <w:tc>
          <w:tcPr>
            <w:tcW w:w="2160" w:type="dxa"/>
            <w:tcBorders>
              <w:bottom w:val="single" w:sz="7" w:space="0" w:color="000000"/>
            </w:tcBorders>
            <w:vAlign w:val="center"/>
          </w:tcPr>
          <w:p w:rsidR="000E7D57" w:rsidRDefault="00905999" w:rsidP="00972C3E">
            <w:pPr>
              <w:widowControl/>
              <w:tabs>
                <w:tab w:val="left" w:pos="360"/>
              </w:tabs>
              <w:spacing w:after="58"/>
              <w:rPr>
                <w:rFonts w:ascii="Times New Roman" w:hAnsi="Times New Roman"/>
                <w:i/>
                <w:iCs/>
              </w:rPr>
            </w:pPr>
            <w:r>
              <w:rPr>
                <w:rFonts w:ascii="Times New Roman" w:hAnsi="Times New Roman"/>
                <w:i/>
                <w:iCs/>
              </w:rPr>
              <w:t>C</w:t>
            </w:r>
            <w:r w:rsidR="000E7D57">
              <w:rPr>
                <w:rFonts w:ascii="Times New Roman" w:hAnsi="Times New Roman"/>
                <w:i/>
                <w:iCs/>
              </w:rPr>
              <w:t>hange</w:t>
            </w:r>
          </w:p>
        </w:tc>
        <w:tc>
          <w:tcPr>
            <w:tcW w:w="1800" w:type="dxa"/>
            <w:tcBorders>
              <w:bottom w:val="single" w:sz="7" w:space="0" w:color="000000"/>
            </w:tcBorders>
          </w:tcPr>
          <w:p w:rsidR="000E7D57" w:rsidRDefault="000E7D57" w:rsidP="0038298E">
            <w:pPr>
              <w:widowControl/>
              <w:tabs>
                <w:tab w:val="left" w:pos="360"/>
              </w:tabs>
              <w:spacing w:after="58"/>
              <w:jc w:val="center"/>
              <w:rPr>
                <w:rFonts w:ascii="Times New Roman" w:hAnsi="Times New Roman"/>
              </w:rPr>
            </w:pPr>
          </w:p>
        </w:tc>
        <w:tc>
          <w:tcPr>
            <w:tcW w:w="1800" w:type="dxa"/>
            <w:tcBorders>
              <w:bottom w:val="single" w:sz="7" w:space="0" w:color="000000"/>
            </w:tcBorders>
          </w:tcPr>
          <w:p w:rsidR="000E7D57" w:rsidRDefault="000E7D57" w:rsidP="0038298E">
            <w:pPr>
              <w:widowControl/>
              <w:tabs>
                <w:tab w:val="left" w:pos="360"/>
              </w:tabs>
              <w:spacing w:after="58"/>
              <w:jc w:val="center"/>
              <w:rPr>
                <w:rFonts w:ascii="Times New Roman" w:hAnsi="Times New Roman"/>
              </w:rPr>
            </w:pPr>
          </w:p>
        </w:tc>
        <w:tc>
          <w:tcPr>
            <w:tcW w:w="1800" w:type="dxa"/>
            <w:tcBorders>
              <w:bottom w:val="single" w:sz="7" w:space="0" w:color="000000"/>
            </w:tcBorders>
          </w:tcPr>
          <w:p w:rsidR="000E7D57" w:rsidRDefault="000E7D57" w:rsidP="0038298E">
            <w:pPr>
              <w:widowControl/>
              <w:tabs>
                <w:tab w:val="left" w:pos="360"/>
              </w:tabs>
              <w:spacing w:after="58"/>
              <w:jc w:val="center"/>
              <w:rPr>
                <w:rFonts w:ascii="Times New Roman" w:hAnsi="Times New Roman"/>
              </w:rPr>
            </w:pPr>
          </w:p>
        </w:tc>
        <w:tc>
          <w:tcPr>
            <w:tcW w:w="1800" w:type="dxa"/>
            <w:tcBorders>
              <w:bottom w:val="single" w:sz="7" w:space="0" w:color="000000"/>
            </w:tcBorders>
          </w:tcPr>
          <w:p w:rsidR="000E7D57" w:rsidRPr="00972C3E" w:rsidRDefault="00DF4583" w:rsidP="00972C3E">
            <w:pPr>
              <w:widowControl/>
              <w:tabs>
                <w:tab w:val="right" w:pos="600"/>
              </w:tabs>
              <w:spacing w:after="58"/>
              <w:jc w:val="center"/>
            </w:pPr>
            <w:r>
              <w:t xml:space="preserve">  </w:t>
            </w:r>
            <w:r w:rsidR="001B77FC">
              <w:t xml:space="preserve">    </w:t>
            </w:r>
            <w:r w:rsidR="006C6A53">
              <w:t>2,631</w:t>
            </w:r>
          </w:p>
        </w:tc>
      </w:tr>
    </w:tbl>
    <w:p w:rsidR="00844FD2" w:rsidRDefault="00844FD2" w:rsidP="00804EB1">
      <w:pPr>
        <w:widowControl/>
        <w:jc w:val="both"/>
        <w:rPr>
          <w:rFonts w:ascii="Times New Roman" w:hAnsi="Times New Roman"/>
        </w:rPr>
      </w:pPr>
    </w:p>
    <w:p w:rsidR="000E7D57" w:rsidRDefault="00883923" w:rsidP="00844FD2">
      <w:pPr>
        <w:widowControl/>
        <w:ind w:firstLine="720"/>
        <w:jc w:val="both"/>
        <w:rPr>
          <w:rFonts w:ascii="Times New Roman" w:hAnsi="Times New Roman"/>
        </w:rPr>
      </w:pPr>
      <w:r>
        <w:rPr>
          <w:rFonts w:ascii="Times New Roman" w:hAnsi="Times New Roman"/>
        </w:rPr>
        <w:t>T</w:t>
      </w:r>
      <w:r w:rsidR="000E7D57">
        <w:rPr>
          <w:rFonts w:ascii="Times New Roman" w:hAnsi="Times New Roman"/>
        </w:rPr>
        <w:t xml:space="preserve">he total cost to state member banks is estimated to be </w:t>
      </w:r>
      <w:r w:rsidR="000E7D57" w:rsidRPr="004208AA">
        <w:rPr>
          <w:rFonts w:ascii="Times New Roman" w:hAnsi="Times New Roman"/>
        </w:rPr>
        <w:t>$</w:t>
      </w:r>
      <w:r w:rsidR="004208AA">
        <w:rPr>
          <w:rFonts w:ascii="Times New Roman" w:hAnsi="Times New Roman"/>
        </w:rPr>
        <w:t>11,106,374</w:t>
      </w:r>
      <w:r w:rsidR="00E70831">
        <w:rPr>
          <w:rFonts w:ascii="Times New Roman" w:hAnsi="Times New Roman"/>
        </w:rPr>
        <w:t xml:space="preserve"> </w:t>
      </w:r>
      <w:r w:rsidR="000E7D57">
        <w:rPr>
          <w:rFonts w:ascii="Times New Roman" w:hAnsi="Times New Roman"/>
        </w:rPr>
        <w:t>annually.</w:t>
      </w:r>
      <w:r w:rsidR="005130D2" w:rsidRPr="005130D2">
        <w:rPr>
          <w:rStyle w:val="FootnoteReference"/>
          <w:rFonts w:ascii="Times New Roman" w:hAnsi="Times New Roman"/>
          <w:vertAlign w:val="superscript"/>
        </w:rPr>
        <w:footnoteReference w:id="15"/>
      </w:r>
      <w:r w:rsidR="000E7D57" w:rsidRPr="005130D2">
        <w:rPr>
          <w:rFonts w:ascii="Times New Roman" w:hAnsi="Times New Roman"/>
          <w:vertAlign w:val="superscript"/>
        </w:rPr>
        <w:t xml:space="preserve"> </w:t>
      </w:r>
      <w:r w:rsidR="000E7D57">
        <w:rPr>
          <w:rFonts w:ascii="Times New Roman" w:hAnsi="Times New Roman"/>
        </w:rPr>
        <w:t xml:space="preserve"> This estimate represents costs associated with recurring salary and employee benefits, and expenses associated with software, data processing, and bank records that are not used internally for management purposes but are necessary to complete the Call Reports.</w:t>
      </w:r>
    </w:p>
    <w:p w:rsidR="00F55823" w:rsidRDefault="00F55823" w:rsidP="00844FD2">
      <w:pPr>
        <w:widowControl/>
        <w:ind w:firstLine="720"/>
        <w:jc w:val="both"/>
        <w:rPr>
          <w:rFonts w:ascii="Times New Roman" w:hAnsi="Times New Roman"/>
        </w:rPr>
      </w:pPr>
    </w:p>
    <w:p w:rsidR="000E7D57" w:rsidRDefault="000E7D57" w:rsidP="00804EB1">
      <w:pPr>
        <w:pStyle w:val="BodyTextIndent3"/>
        <w:widowControl/>
        <w:jc w:val="both"/>
        <w:rPr>
          <w:rFonts w:ascii="Times New Roman" w:hAnsi="Times New Roman"/>
        </w:rPr>
      </w:pPr>
      <w:r>
        <w:rPr>
          <w:rFonts w:ascii="Times New Roman" w:hAnsi="Times New Roman"/>
        </w:rPr>
        <w:t>With respect to the changes that are the subject of this submission, banks would incur a capital and start-up cost component, but the amount would vary from bank to bank depending upon its individual circumstances and the extent of its involvement, if any, with the particular type of activity or product about which information would begin to be collected.  An estimate of this cost component cann</w:t>
      </w:r>
      <w:r w:rsidR="00804EB1">
        <w:rPr>
          <w:rFonts w:ascii="Times New Roman" w:hAnsi="Times New Roman"/>
        </w:rPr>
        <w:t>ot be determined at this time.</w:t>
      </w:r>
    </w:p>
    <w:p w:rsidR="000E7D57" w:rsidRPr="00804EB1" w:rsidRDefault="000E7D57">
      <w:pPr>
        <w:widowControl/>
        <w:tabs>
          <w:tab w:val="left" w:pos="360"/>
        </w:tabs>
        <w:rPr>
          <w:rFonts w:ascii="Times New Roman" w:hAnsi="Times New Roman"/>
          <w:bCs/>
        </w:rPr>
      </w:pPr>
    </w:p>
    <w:p w:rsidR="000E7D57" w:rsidRDefault="000E7D57">
      <w:pPr>
        <w:widowControl/>
        <w:tabs>
          <w:tab w:val="left" w:pos="360"/>
        </w:tabs>
        <w:rPr>
          <w:rFonts w:ascii="Times New Roman" w:hAnsi="Times New Roman"/>
        </w:rPr>
      </w:pPr>
      <w:r>
        <w:rPr>
          <w:rFonts w:ascii="Times New Roman" w:hAnsi="Times New Roman"/>
          <w:b/>
          <w:bCs/>
        </w:rPr>
        <w:t>Sensitive Questions</w:t>
      </w:r>
    </w:p>
    <w:p w:rsidR="000E7D57" w:rsidRDefault="000E7D57">
      <w:pPr>
        <w:widowControl/>
        <w:tabs>
          <w:tab w:val="left" w:pos="360"/>
        </w:tabs>
        <w:rPr>
          <w:rFonts w:ascii="Times New Roman" w:hAnsi="Times New Roman"/>
        </w:rPr>
      </w:pPr>
    </w:p>
    <w:p w:rsidR="000E7D57" w:rsidRDefault="000E7D57" w:rsidP="00804EB1">
      <w:pPr>
        <w:pStyle w:val="BodyTextIndent3"/>
        <w:widowControl/>
        <w:jc w:val="both"/>
        <w:rPr>
          <w:rFonts w:ascii="Times New Roman" w:hAnsi="Times New Roman"/>
        </w:rPr>
      </w:pPr>
      <w:r>
        <w:rPr>
          <w:rFonts w:ascii="Times New Roman" w:hAnsi="Times New Roman"/>
        </w:rPr>
        <w:t>This collection of information contains no questions of a sensitive nature, as defined by OMB guidelines.</w:t>
      </w:r>
    </w:p>
    <w:p w:rsidR="00D43CA3" w:rsidRDefault="00D43CA3">
      <w:pPr>
        <w:widowControl/>
        <w:tabs>
          <w:tab w:val="left" w:pos="360"/>
        </w:tabs>
        <w:rPr>
          <w:rFonts w:ascii="Times New Roman" w:hAnsi="Times New Roman"/>
          <w:b/>
          <w:bCs/>
        </w:rPr>
      </w:pPr>
    </w:p>
    <w:p w:rsidR="000E7D57" w:rsidRDefault="000E7D57">
      <w:pPr>
        <w:widowControl/>
        <w:tabs>
          <w:tab w:val="left" w:pos="360"/>
        </w:tabs>
        <w:rPr>
          <w:rFonts w:ascii="Times New Roman" w:hAnsi="Times New Roman"/>
        </w:rPr>
      </w:pPr>
      <w:r>
        <w:rPr>
          <w:rFonts w:ascii="Times New Roman" w:hAnsi="Times New Roman"/>
          <w:b/>
          <w:bCs/>
        </w:rPr>
        <w:t>Estimate of Cost to the Federal Reserve System</w:t>
      </w:r>
    </w:p>
    <w:p w:rsidR="000E7D57" w:rsidRDefault="000E7D57">
      <w:pPr>
        <w:widowControl/>
        <w:tabs>
          <w:tab w:val="left" w:pos="360"/>
        </w:tabs>
        <w:rPr>
          <w:rFonts w:ascii="Times New Roman" w:hAnsi="Times New Roman"/>
        </w:rPr>
      </w:pPr>
    </w:p>
    <w:p w:rsidR="000E7D57" w:rsidRPr="00972C3E" w:rsidRDefault="00354091" w:rsidP="004208AA">
      <w:pPr>
        <w:widowControl/>
        <w:tabs>
          <w:tab w:val="left" w:pos="0"/>
          <w:tab w:val="left" w:pos="721"/>
          <w:tab w:val="left" w:pos="1440"/>
          <w:tab w:val="left" w:pos="2161"/>
          <w:tab w:val="left" w:pos="2880"/>
          <w:tab w:val="left" w:pos="3601"/>
          <w:tab w:val="left" w:pos="4320"/>
          <w:tab w:val="left" w:pos="5041"/>
          <w:tab w:val="left" w:pos="5760"/>
          <w:tab w:val="left" w:pos="6481"/>
          <w:tab w:val="left" w:pos="7200"/>
          <w:tab w:val="left" w:pos="7921"/>
          <w:tab w:val="left" w:pos="8640"/>
        </w:tabs>
        <w:ind w:firstLine="721"/>
        <w:jc w:val="both"/>
        <w:rPr>
          <w:rFonts w:ascii="Times New Roman" w:hAnsi="Times New Roman"/>
        </w:rPr>
      </w:pPr>
      <w:r>
        <w:rPr>
          <w:rFonts w:ascii="Times New Roman" w:hAnsi="Times New Roman"/>
        </w:rPr>
        <w:t xml:space="preserve">Current costs to the Federal Reserve System for collecting and processing the Call Reports are estimated to be $1,589,906 per year.  This amount includes the routine annual costs of personnel, printing, and computer processing, as well as internal software development costs for maintaining and modifying existing operating systems used to edit and validate submitted data. </w:t>
      </w:r>
    </w:p>
    <w:sectPr w:rsidR="000E7D57" w:rsidRPr="00972C3E" w:rsidSect="00513BCD">
      <w:footerReference w:type="even" r:id="rId7"/>
      <w:footerReference w:type="default" r:id="rId8"/>
      <w:headerReference w:type="first" r:id="rId9"/>
      <w:endnotePr>
        <w:numFmt w:val="decimal"/>
      </w:endnotePr>
      <w:type w:val="continuous"/>
      <w:pgSz w:w="12240" w:h="15840" w:code="1"/>
      <w:pgMar w:top="1440" w:right="1440" w:bottom="1260" w:left="1440" w:header="720" w:footer="36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4B47" w:rsidRDefault="009E4B47">
      <w:r>
        <w:separator/>
      </w:r>
    </w:p>
  </w:endnote>
  <w:endnote w:type="continuationSeparator" w:id="1">
    <w:p w:rsidR="009E4B47" w:rsidRDefault="009E4B4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imes">
    <w:panose1 w:val="020206030504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ourier 12pt">
    <w:panose1 w:val="00000000000000000000"/>
    <w:charset w:val="00"/>
    <w:family w:val="auto"/>
    <w:notTrueType/>
    <w:pitch w:val="variable"/>
    <w:sig w:usb0="00000003" w:usb1="00000000" w:usb2="00000000" w:usb3="00000000" w:csb0="00000001" w:csb1="00000000"/>
  </w:font>
  <w:font w:name="MACFA D+ Bembo">
    <w:altName w:val="Bembo"/>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9D8" w:rsidRPr="00E30374" w:rsidRDefault="009F3291" w:rsidP="00E30374">
    <w:pPr>
      <w:pStyle w:val="Footer"/>
      <w:jc w:val="center"/>
      <w:rPr>
        <w:rFonts w:ascii="Times New Roman" w:hAnsi="Times New Roman"/>
      </w:rPr>
    </w:pPr>
    <w:r w:rsidRPr="00E30374">
      <w:rPr>
        <w:rStyle w:val="PageNumber"/>
        <w:rFonts w:ascii="Times New Roman" w:hAnsi="Times New Roman"/>
      </w:rPr>
      <w:fldChar w:fldCharType="begin"/>
    </w:r>
    <w:r w:rsidR="00CA49D8" w:rsidRPr="00E30374">
      <w:rPr>
        <w:rStyle w:val="PageNumber"/>
        <w:rFonts w:ascii="Times New Roman" w:hAnsi="Times New Roman"/>
      </w:rPr>
      <w:instrText xml:space="preserve"> PAGE </w:instrText>
    </w:r>
    <w:r w:rsidRPr="00E30374">
      <w:rPr>
        <w:rStyle w:val="PageNumber"/>
        <w:rFonts w:ascii="Times New Roman" w:hAnsi="Times New Roman"/>
      </w:rPr>
      <w:fldChar w:fldCharType="separate"/>
    </w:r>
    <w:r w:rsidR="00CA49D8">
      <w:rPr>
        <w:rStyle w:val="PageNumber"/>
        <w:rFonts w:ascii="Times New Roman" w:hAnsi="Times New Roman"/>
        <w:noProof/>
      </w:rPr>
      <w:t>4</w:t>
    </w:r>
    <w:r w:rsidRPr="00E30374">
      <w:rPr>
        <w:rStyle w:val="PageNumber"/>
        <w:rFonts w:ascii="Times New Roman" w:hAnsi="Times New Roman"/>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9D8" w:rsidRPr="00E30374" w:rsidRDefault="009F3291" w:rsidP="00E30374">
    <w:pPr>
      <w:pStyle w:val="Footer"/>
      <w:jc w:val="center"/>
      <w:rPr>
        <w:rFonts w:ascii="Times New Roman" w:hAnsi="Times New Roman"/>
      </w:rPr>
    </w:pPr>
    <w:r w:rsidRPr="00E30374">
      <w:rPr>
        <w:rStyle w:val="PageNumber"/>
        <w:rFonts w:ascii="Times New Roman" w:hAnsi="Times New Roman"/>
      </w:rPr>
      <w:fldChar w:fldCharType="begin"/>
    </w:r>
    <w:r w:rsidR="00CA49D8" w:rsidRPr="00E30374">
      <w:rPr>
        <w:rStyle w:val="PageNumber"/>
        <w:rFonts w:ascii="Times New Roman" w:hAnsi="Times New Roman"/>
      </w:rPr>
      <w:instrText xml:space="preserve"> PAGE </w:instrText>
    </w:r>
    <w:r w:rsidRPr="00E30374">
      <w:rPr>
        <w:rStyle w:val="PageNumber"/>
        <w:rFonts w:ascii="Times New Roman" w:hAnsi="Times New Roman"/>
      </w:rPr>
      <w:fldChar w:fldCharType="separate"/>
    </w:r>
    <w:r w:rsidR="00B2384E">
      <w:rPr>
        <w:rStyle w:val="PageNumber"/>
        <w:rFonts w:ascii="Times New Roman" w:hAnsi="Times New Roman"/>
        <w:noProof/>
      </w:rPr>
      <w:t>30</w:t>
    </w:r>
    <w:r w:rsidRPr="00E30374">
      <w:rPr>
        <w:rStyle w:val="PageNumber"/>
        <w:rFonts w:ascii="Times New Roman" w:hAnsi="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4B47" w:rsidRDefault="009E4B47">
      <w:r>
        <w:separator/>
      </w:r>
    </w:p>
  </w:footnote>
  <w:footnote w:type="continuationSeparator" w:id="1">
    <w:p w:rsidR="009E4B47" w:rsidRDefault="009E4B47">
      <w:r>
        <w:continuationSeparator/>
      </w:r>
    </w:p>
  </w:footnote>
  <w:footnote w:id="2">
    <w:p w:rsidR="00CA49D8" w:rsidRPr="00414C5D" w:rsidRDefault="00CA49D8" w:rsidP="00414C5D">
      <w:pPr>
        <w:pStyle w:val="FootnoteText"/>
        <w:rPr>
          <w:rFonts w:ascii="Times New Roman" w:hAnsi="Times New Roman"/>
          <w:sz w:val="20"/>
        </w:rPr>
      </w:pPr>
      <w:r w:rsidRPr="00414C5D">
        <w:rPr>
          <w:rStyle w:val="FootnoteReference"/>
          <w:rFonts w:ascii="Times New Roman" w:hAnsi="Times New Roman"/>
          <w:sz w:val="20"/>
        </w:rPr>
        <w:footnoteRef/>
      </w:r>
      <w:r w:rsidRPr="00414C5D">
        <w:rPr>
          <w:rFonts w:ascii="Times New Roman" w:hAnsi="Times New Roman"/>
          <w:sz w:val="20"/>
        </w:rPr>
        <w:t xml:space="preserve">  See Statement of Financial Accounting Standards No. 141, </w:t>
      </w:r>
      <w:r w:rsidRPr="00414C5D">
        <w:rPr>
          <w:rFonts w:ascii="Times New Roman" w:hAnsi="Times New Roman"/>
          <w:i/>
          <w:sz w:val="20"/>
        </w:rPr>
        <w:t>Business Combinations</w:t>
      </w:r>
      <w:r w:rsidRPr="00414C5D">
        <w:rPr>
          <w:rFonts w:ascii="Times New Roman" w:hAnsi="Times New Roman"/>
          <w:sz w:val="20"/>
        </w:rPr>
        <w:t xml:space="preserve"> (FAS 141), paragraph 57(b).  This accounting treatment does not apply to those acquired loans within the scope of American Institute of Certified Public Accountants Statement of Position 03-3, </w:t>
      </w:r>
      <w:r w:rsidRPr="00414C5D">
        <w:rPr>
          <w:rFonts w:ascii="Times New Roman" w:hAnsi="Times New Roman"/>
          <w:i/>
          <w:sz w:val="20"/>
        </w:rPr>
        <w:t>Accounting for Certain Loans or Debt Securities Acquired in a Transfer</w:t>
      </w:r>
      <w:r w:rsidRPr="00414C5D">
        <w:rPr>
          <w:rFonts w:ascii="Times New Roman" w:hAnsi="Times New Roman"/>
          <w:sz w:val="20"/>
        </w:rPr>
        <w:t xml:space="preserve"> (SOP 03-3).</w:t>
      </w:r>
    </w:p>
  </w:footnote>
  <w:footnote w:id="3">
    <w:p w:rsidR="00CA49D8" w:rsidRPr="00F90733" w:rsidRDefault="00CA49D8" w:rsidP="00414C5D">
      <w:pPr>
        <w:pStyle w:val="FootnoteText"/>
        <w:rPr>
          <w:rFonts w:ascii="Times New Roman" w:hAnsi="Times New Roman"/>
          <w:sz w:val="20"/>
        </w:rPr>
      </w:pPr>
      <w:r w:rsidRPr="00F90733">
        <w:rPr>
          <w:rStyle w:val="FootnoteReference"/>
          <w:rFonts w:ascii="Times New Roman" w:hAnsi="Times New Roman"/>
          <w:sz w:val="20"/>
        </w:rPr>
        <w:footnoteRef/>
      </w:r>
      <w:r w:rsidRPr="00F90733">
        <w:rPr>
          <w:rFonts w:ascii="Times New Roman" w:hAnsi="Times New Roman"/>
          <w:sz w:val="20"/>
        </w:rPr>
        <w:t xml:space="preserve">  On the FFIEC 041 report, banks with less than $1 billion in assets are currently exempt from completing these Memorandum items.</w:t>
      </w:r>
    </w:p>
  </w:footnote>
  <w:footnote w:id="4">
    <w:p w:rsidR="00CA49D8" w:rsidRPr="00F90733" w:rsidRDefault="00CA49D8" w:rsidP="00414C5D">
      <w:pPr>
        <w:pStyle w:val="FootnoteText"/>
        <w:rPr>
          <w:rFonts w:ascii="Times New Roman" w:hAnsi="Times New Roman"/>
          <w:sz w:val="20"/>
        </w:rPr>
      </w:pPr>
      <w:r w:rsidRPr="00F90733">
        <w:rPr>
          <w:rStyle w:val="FootnoteReference"/>
          <w:rFonts w:ascii="Times New Roman" w:hAnsi="Times New Roman"/>
          <w:sz w:val="20"/>
        </w:rPr>
        <w:footnoteRef/>
      </w:r>
      <w:r w:rsidRPr="00F90733">
        <w:rPr>
          <w:rFonts w:ascii="Times New Roman" w:hAnsi="Times New Roman"/>
          <w:sz w:val="20"/>
        </w:rPr>
        <w:t xml:space="preserve">  SAB 108 can be accessed at http://www.sec.gov/interps/account/sab108.pdf.  SAB 108 has been codified as Topic 1.N. in the SEC’s Codification of Staff Accounting Bulletins.   </w:t>
      </w:r>
    </w:p>
    <w:p w:rsidR="00CA49D8" w:rsidRPr="002B53E0" w:rsidRDefault="00CA49D8" w:rsidP="00414C5D">
      <w:pPr>
        <w:pStyle w:val="FootnoteText"/>
      </w:pPr>
    </w:p>
  </w:footnote>
  <w:footnote w:id="5">
    <w:p w:rsidR="00CA49D8" w:rsidRDefault="00CA49D8" w:rsidP="00414C5D">
      <w:pPr>
        <w:pStyle w:val="Default"/>
        <w:rPr>
          <w:rFonts w:ascii="Times New Roman" w:hAnsi="Times New Roman" w:cs="Times New Roman"/>
          <w:sz w:val="20"/>
          <w:szCs w:val="20"/>
        </w:rPr>
      </w:pPr>
      <w:r w:rsidRPr="0032144D">
        <w:rPr>
          <w:rStyle w:val="FootnoteReference"/>
          <w:rFonts w:ascii="Times New Roman" w:hAnsi="Times New Roman" w:cs="Times New Roman"/>
          <w:sz w:val="20"/>
          <w:szCs w:val="20"/>
        </w:rPr>
        <w:footnoteRef/>
      </w:r>
      <w:r w:rsidRPr="0032144D">
        <w:rPr>
          <w:rFonts w:ascii="Times New Roman" w:hAnsi="Times New Roman" w:cs="Times New Roman"/>
          <w:sz w:val="20"/>
          <w:szCs w:val="20"/>
        </w:rPr>
        <w:t xml:space="preserve">  </w:t>
      </w:r>
      <w:r>
        <w:rPr>
          <w:rFonts w:ascii="Times New Roman" w:hAnsi="Times New Roman" w:cs="Times New Roman"/>
          <w:sz w:val="20"/>
          <w:szCs w:val="20"/>
        </w:rPr>
        <w:t xml:space="preserve">SAB 99 can be accessed at </w:t>
      </w:r>
      <w:r w:rsidRPr="0032144D">
        <w:rPr>
          <w:rFonts w:ascii="Times New Roman" w:hAnsi="Times New Roman" w:cs="Times New Roman"/>
          <w:sz w:val="20"/>
          <w:szCs w:val="20"/>
        </w:rPr>
        <w:t>http://www.sec.gov/interps/account/sab99.htm</w:t>
      </w:r>
      <w:r>
        <w:rPr>
          <w:rFonts w:ascii="Times New Roman" w:hAnsi="Times New Roman" w:cs="Times New Roman"/>
          <w:sz w:val="20"/>
          <w:szCs w:val="20"/>
        </w:rPr>
        <w:t>.  SAB 99</w:t>
      </w:r>
      <w:r w:rsidRPr="0032144D">
        <w:rPr>
          <w:rFonts w:ascii="Times New Roman" w:hAnsi="Times New Roman" w:cs="Times New Roman"/>
          <w:sz w:val="20"/>
          <w:szCs w:val="20"/>
        </w:rPr>
        <w:t xml:space="preserve"> has been codified as Topic 1.M. in the </w:t>
      </w:r>
      <w:r>
        <w:rPr>
          <w:rFonts w:ascii="Times New Roman" w:hAnsi="Times New Roman" w:cs="Times New Roman"/>
          <w:sz w:val="20"/>
          <w:szCs w:val="20"/>
        </w:rPr>
        <w:t xml:space="preserve">SEC’s </w:t>
      </w:r>
      <w:r w:rsidRPr="0032144D">
        <w:rPr>
          <w:rFonts w:ascii="Times New Roman" w:hAnsi="Times New Roman" w:cs="Times New Roman"/>
          <w:sz w:val="20"/>
          <w:szCs w:val="20"/>
        </w:rPr>
        <w:t>Codification of Staff Accounting Bulletins.</w:t>
      </w:r>
    </w:p>
    <w:p w:rsidR="00CA49D8" w:rsidRPr="0032144D" w:rsidRDefault="00CA49D8" w:rsidP="00414C5D">
      <w:pPr>
        <w:pStyle w:val="Default"/>
        <w:rPr>
          <w:rFonts w:ascii="Times New Roman" w:hAnsi="Times New Roman" w:cs="Times New Roman"/>
          <w:sz w:val="20"/>
          <w:szCs w:val="20"/>
        </w:rPr>
      </w:pPr>
    </w:p>
    <w:p w:rsidR="00CA49D8" w:rsidRDefault="00CA49D8" w:rsidP="00414C5D">
      <w:pPr>
        <w:pStyle w:val="FootnoteText"/>
      </w:pPr>
    </w:p>
  </w:footnote>
  <w:footnote w:id="6">
    <w:p w:rsidR="00CA49D8" w:rsidRPr="00DC0C17" w:rsidRDefault="00CA49D8" w:rsidP="00414C5D">
      <w:pPr>
        <w:pStyle w:val="FootnoteText"/>
      </w:pPr>
      <w:r w:rsidRPr="00F90733">
        <w:rPr>
          <w:rStyle w:val="FootnoteReference"/>
          <w:rFonts w:ascii="Times New Roman" w:hAnsi="Times New Roman"/>
          <w:sz w:val="20"/>
        </w:rPr>
        <w:footnoteRef/>
      </w:r>
      <w:r w:rsidRPr="00F90733">
        <w:rPr>
          <w:rFonts w:ascii="Times New Roman" w:hAnsi="Times New Roman"/>
          <w:sz w:val="20"/>
        </w:rPr>
        <w:t xml:space="preserve">  For example, see the Call Report Supplemental Instructions for June 2007 at </w:t>
      </w:r>
      <w:hyperlink r:id="rId1" w:history="1">
        <w:r w:rsidRPr="00F90733">
          <w:rPr>
            <w:rStyle w:val="Hyperlink"/>
            <w:rFonts w:ascii="Times New Roman" w:hAnsi="Times New Roman"/>
            <w:sz w:val="20"/>
          </w:rPr>
          <w:t>http://www.ffiec.gov/PDF/FFIEC_forms/FFIEC031_041_suppinst_200706.pdf</w:t>
        </w:r>
      </w:hyperlink>
      <w:r>
        <w:t>.</w:t>
      </w:r>
    </w:p>
  </w:footnote>
  <w:footnote w:id="7">
    <w:p w:rsidR="00CA49D8" w:rsidRPr="001E6FA6" w:rsidRDefault="00CA49D8" w:rsidP="00414C5D">
      <w:pPr>
        <w:pStyle w:val="FootnoteText"/>
        <w:rPr>
          <w:rFonts w:ascii="Times New Roman" w:hAnsi="Times New Roman"/>
          <w:sz w:val="20"/>
        </w:rPr>
      </w:pPr>
      <w:r w:rsidRPr="001E6FA6">
        <w:rPr>
          <w:rStyle w:val="FootnoteReference"/>
          <w:rFonts w:ascii="Times New Roman" w:hAnsi="Times New Roman"/>
          <w:sz w:val="20"/>
        </w:rPr>
        <w:footnoteRef/>
      </w:r>
      <w:r w:rsidRPr="001E6FA6">
        <w:rPr>
          <w:rFonts w:ascii="Times New Roman" w:hAnsi="Times New Roman"/>
          <w:sz w:val="20"/>
        </w:rPr>
        <w:t xml:space="preserve">  71 FR 74580, </w:t>
      </w:r>
      <w:smartTag w:uri="urn:schemas-microsoft-com:office:smarttags" w:element="date">
        <w:smartTagPr>
          <w:attr w:name="Month" w:val="12"/>
          <w:attr w:name="Day" w:val="12"/>
          <w:attr w:name="Year" w:val="2006"/>
        </w:smartTagPr>
        <w:r w:rsidRPr="001E6FA6">
          <w:rPr>
            <w:rFonts w:ascii="Times New Roman" w:hAnsi="Times New Roman"/>
            <w:sz w:val="20"/>
          </w:rPr>
          <w:t>December 12, 2006</w:t>
        </w:r>
      </w:smartTag>
      <w:r w:rsidRPr="001E6FA6">
        <w:rPr>
          <w:rFonts w:ascii="Times New Roman" w:hAnsi="Times New Roman"/>
          <w:sz w:val="20"/>
        </w:rPr>
        <w:t>.</w:t>
      </w:r>
    </w:p>
    <w:p w:rsidR="00CA49D8" w:rsidRDefault="00CA49D8" w:rsidP="00414C5D">
      <w:pPr>
        <w:pStyle w:val="FootnoteText"/>
      </w:pPr>
    </w:p>
  </w:footnote>
  <w:footnote w:id="8">
    <w:p w:rsidR="00CA49D8" w:rsidRPr="001E6FA6" w:rsidRDefault="00CA49D8" w:rsidP="00414C5D">
      <w:pPr>
        <w:pStyle w:val="FootnoteText"/>
        <w:rPr>
          <w:rFonts w:ascii="Times New Roman" w:hAnsi="Times New Roman"/>
          <w:sz w:val="20"/>
        </w:rPr>
      </w:pPr>
      <w:r w:rsidRPr="001E6FA6">
        <w:rPr>
          <w:rStyle w:val="FootnoteReference"/>
          <w:rFonts w:ascii="Times New Roman" w:hAnsi="Times New Roman"/>
          <w:sz w:val="20"/>
        </w:rPr>
        <w:footnoteRef/>
      </w:r>
      <w:r w:rsidRPr="001E6FA6">
        <w:rPr>
          <w:rFonts w:ascii="Times New Roman" w:hAnsi="Times New Roman"/>
          <w:sz w:val="20"/>
        </w:rPr>
        <w:t xml:space="preserve">  These new line items would not include mortgage-backed and asset-backed commercial paper, which would continue to be reported as MBS and ABS, respectively, in Schedules RC-B and RC-D.</w:t>
      </w:r>
    </w:p>
  </w:footnote>
  <w:footnote w:id="9">
    <w:p w:rsidR="00CA49D8" w:rsidRPr="001E6FA6" w:rsidRDefault="00CA49D8" w:rsidP="00414C5D">
      <w:pPr>
        <w:pStyle w:val="FootnoteText"/>
        <w:rPr>
          <w:rFonts w:ascii="Times New Roman" w:hAnsi="Times New Roman"/>
          <w:sz w:val="20"/>
        </w:rPr>
      </w:pPr>
      <w:r w:rsidRPr="001E6FA6">
        <w:rPr>
          <w:rStyle w:val="FootnoteReference"/>
          <w:rFonts w:ascii="Times New Roman" w:hAnsi="Times New Roman"/>
          <w:sz w:val="20"/>
        </w:rPr>
        <w:footnoteRef/>
      </w:r>
      <w:r w:rsidRPr="001E6FA6">
        <w:rPr>
          <w:rFonts w:ascii="Times New Roman" w:hAnsi="Times New Roman"/>
          <w:sz w:val="20"/>
        </w:rPr>
        <w:t xml:space="preserve">  Securities backed by commercial and industrial loans that are commonly regarded as ABS rather than CLOs in the marketplace would continue to be reported as ABS in Schedules RC-B and RC-D.</w:t>
      </w:r>
    </w:p>
  </w:footnote>
  <w:footnote w:id="10">
    <w:p w:rsidR="00CA49D8" w:rsidRDefault="00CA49D8" w:rsidP="00414C5D">
      <w:pPr>
        <w:pStyle w:val="FootnoteText"/>
      </w:pPr>
      <w:r w:rsidRPr="001E6FA6">
        <w:rPr>
          <w:rStyle w:val="FootnoteReference"/>
          <w:rFonts w:ascii="Times New Roman" w:hAnsi="Times New Roman"/>
          <w:sz w:val="20"/>
        </w:rPr>
        <w:footnoteRef/>
      </w:r>
      <w:r w:rsidRPr="001E6FA6">
        <w:rPr>
          <w:rFonts w:ascii="Times New Roman" w:hAnsi="Times New Roman"/>
          <w:sz w:val="20"/>
        </w:rPr>
        <w:t xml:space="preserve">  All other collateral would include, but not be limited to, mortgage-backed securities, asset-backed securities, and</w:t>
      </w:r>
      <w:r>
        <w:t xml:space="preserve"> </w:t>
      </w:r>
      <w:r w:rsidRPr="00CF278D">
        <w:rPr>
          <w:rFonts w:ascii="Times New Roman" w:hAnsi="Times New Roman"/>
          <w:sz w:val="20"/>
        </w:rPr>
        <w:t>structured financial products.</w:t>
      </w:r>
      <w:r>
        <w:t xml:space="preserve">   </w:t>
      </w:r>
    </w:p>
  </w:footnote>
  <w:footnote w:id="11">
    <w:p w:rsidR="00CA49D8" w:rsidRPr="00CF278D" w:rsidRDefault="00CA49D8" w:rsidP="00414C5D">
      <w:pPr>
        <w:pStyle w:val="FootnoteText"/>
        <w:rPr>
          <w:rFonts w:ascii="Times New Roman" w:hAnsi="Times New Roman"/>
          <w:sz w:val="20"/>
        </w:rPr>
      </w:pPr>
      <w:r w:rsidRPr="00CF278D">
        <w:rPr>
          <w:rStyle w:val="FootnoteReference"/>
          <w:rFonts w:ascii="Times New Roman" w:hAnsi="Times New Roman"/>
          <w:sz w:val="20"/>
        </w:rPr>
        <w:footnoteRef/>
      </w:r>
      <w:r w:rsidRPr="00CF278D">
        <w:rPr>
          <w:rFonts w:ascii="Times New Roman" w:hAnsi="Times New Roman"/>
          <w:sz w:val="20"/>
        </w:rPr>
        <w:t xml:space="preserve">  </w:t>
      </w:r>
      <w:hyperlink r:id="rId2" w:history="1">
        <w:r w:rsidRPr="00CF278D">
          <w:rPr>
            <w:rStyle w:val="Hyperlink"/>
            <w:rFonts w:ascii="Times New Roman" w:hAnsi="Times New Roman"/>
            <w:sz w:val="20"/>
          </w:rPr>
          <w:t>http://www.irs.gov/taxstats/charitablestats/article/0,,id=96996,00.html</w:t>
        </w:r>
      </w:hyperlink>
      <w:r w:rsidRPr="00CF278D">
        <w:rPr>
          <w:rFonts w:ascii="Times New Roman" w:hAnsi="Times New Roman"/>
          <w:sz w:val="20"/>
        </w:rPr>
        <w:t>.</w:t>
      </w:r>
    </w:p>
    <w:p w:rsidR="00CA49D8" w:rsidRPr="00685CE0" w:rsidRDefault="00CA49D8" w:rsidP="00414C5D">
      <w:pPr>
        <w:pStyle w:val="FootnoteText"/>
      </w:pPr>
    </w:p>
  </w:footnote>
  <w:footnote w:id="12">
    <w:p w:rsidR="00CA49D8" w:rsidRPr="00095BE0" w:rsidRDefault="00CA49D8" w:rsidP="00414C5D">
      <w:pPr>
        <w:pStyle w:val="FootnoteText"/>
        <w:rPr>
          <w:rFonts w:ascii="Times New Roman" w:hAnsi="Times New Roman"/>
          <w:sz w:val="20"/>
        </w:rPr>
      </w:pPr>
      <w:r w:rsidRPr="00095BE0">
        <w:rPr>
          <w:rStyle w:val="FootnoteReference"/>
          <w:rFonts w:ascii="Times New Roman" w:hAnsi="Times New Roman"/>
          <w:sz w:val="20"/>
        </w:rPr>
        <w:footnoteRef/>
      </w:r>
      <w:r w:rsidRPr="00095BE0">
        <w:rPr>
          <w:rFonts w:ascii="Times New Roman" w:hAnsi="Times New Roman"/>
          <w:sz w:val="20"/>
        </w:rPr>
        <w:t xml:space="preserve">  </w:t>
      </w:r>
      <w:hyperlink r:id="rId3" w:history="1">
        <w:r w:rsidRPr="00095BE0">
          <w:rPr>
            <w:rStyle w:val="Hyperlink"/>
            <w:rFonts w:ascii="Times New Roman" w:hAnsi="Times New Roman"/>
            <w:sz w:val="20"/>
          </w:rPr>
          <w:t>http://www.icifactbook.org/fb_sec7.html</w:t>
        </w:r>
      </w:hyperlink>
      <w:r w:rsidRPr="00095BE0">
        <w:rPr>
          <w:rFonts w:ascii="Times New Roman" w:hAnsi="Times New Roman"/>
          <w:sz w:val="20"/>
        </w:rPr>
        <w:t>.</w:t>
      </w:r>
    </w:p>
    <w:p w:rsidR="00CA49D8" w:rsidRPr="008869C1" w:rsidRDefault="00CA49D8" w:rsidP="00414C5D">
      <w:pPr>
        <w:pStyle w:val="FootnoteText"/>
      </w:pPr>
    </w:p>
  </w:footnote>
  <w:footnote w:id="13">
    <w:p w:rsidR="00BA5648" w:rsidRDefault="00BA5648" w:rsidP="00BA5648">
      <w:pPr>
        <w:pStyle w:val="FootnoteText"/>
        <w:rPr>
          <w:rFonts w:ascii="Times New Roman" w:hAnsi="Times New Roman"/>
          <w:sz w:val="20"/>
        </w:rPr>
      </w:pPr>
      <w:r w:rsidRPr="00497F51">
        <w:rPr>
          <w:rStyle w:val="FootnoteReference"/>
          <w:rFonts w:ascii="Times New Roman" w:hAnsi="Times New Roman"/>
          <w:sz w:val="20"/>
        </w:rPr>
        <w:footnoteRef/>
      </w:r>
      <w:r w:rsidRPr="00497F51">
        <w:rPr>
          <w:rFonts w:ascii="Times New Roman" w:hAnsi="Times New Roman"/>
          <w:sz w:val="20"/>
        </w:rPr>
        <w:t xml:space="preserve">  See 12 U.S.C. </w:t>
      </w:r>
      <w:proofErr w:type="gramStart"/>
      <w:r w:rsidRPr="00497F51">
        <w:rPr>
          <w:rFonts w:ascii="Times New Roman" w:hAnsi="Times New Roman"/>
          <w:sz w:val="20"/>
        </w:rPr>
        <w:t>1831n(</w:t>
      </w:r>
      <w:proofErr w:type="gramEnd"/>
      <w:r w:rsidRPr="00497F51">
        <w:rPr>
          <w:rFonts w:ascii="Times New Roman" w:hAnsi="Times New Roman"/>
          <w:sz w:val="20"/>
        </w:rPr>
        <w:t>a).</w:t>
      </w:r>
    </w:p>
    <w:p w:rsidR="00BA5648" w:rsidRPr="00497F51" w:rsidRDefault="00BA5648" w:rsidP="00BA5648">
      <w:pPr>
        <w:pStyle w:val="FootnoteText"/>
        <w:rPr>
          <w:rFonts w:ascii="Times New Roman" w:hAnsi="Times New Roman"/>
          <w:sz w:val="20"/>
        </w:rPr>
      </w:pPr>
    </w:p>
  </w:footnote>
  <w:footnote w:id="14">
    <w:p w:rsidR="00BA5648" w:rsidRPr="00497F51" w:rsidRDefault="00BA5648" w:rsidP="00BA5648">
      <w:pPr>
        <w:pStyle w:val="FootnoteText"/>
        <w:rPr>
          <w:rFonts w:ascii="Times New Roman" w:hAnsi="Times New Roman"/>
          <w:sz w:val="20"/>
        </w:rPr>
      </w:pPr>
      <w:r w:rsidRPr="00497F51">
        <w:rPr>
          <w:rStyle w:val="FootnoteReference"/>
          <w:rFonts w:ascii="Times New Roman" w:hAnsi="Times New Roman"/>
          <w:sz w:val="20"/>
        </w:rPr>
        <w:footnoteRef/>
      </w:r>
      <w:r w:rsidRPr="00497F51">
        <w:rPr>
          <w:rFonts w:ascii="Times New Roman" w:hAnsi="Times New Roman"/>
          <w:sz w:val="20"/>
        </w:rPr>
        <w:t xml:space="preserve">  73 FR 61560, October 16, 2008.</w:t>
      </w:r>
    </w:p>
    <w:p w:rsidR="00BA5648" w:rsidRPr="00497F51" w:rsidRDefault="00BA5648" w:rsidP="00BA5648">
      <w:pPr>
        <w:pStyle w:val="FootnoteText"/>
        <w:rPr>
          <w:rFonts w:ascii="Times New Roman" w:hAnsi="Times New Roman"/>
          <w:sz w:val="20"/>
        </w:rPr>
      </w:pPr>
    </w:p>
  </w:footnote>
  <w:footnote w:id="15">
    <w:p w:rsidR="00CA49D8" w:rsidRPr="005130D2" w:rsidRDefault="00CA49D8" w:rsidP="002B09AA">
      <w:pPr>
        <w:spacing w:line="240" w:lineRule="atLeast"/>
        <w:ind w:right="1080"/>
        <w:rPr>
          <w:rFonts w:ascii="Times New Roman" w:hAnsi="Times New Roman"/>
          <w:color w:val="000000"/>
          <w:sz w:val="20"/>
          <w:szCs w:val="20"/>
        </w:rPr>
      </w:pPr>
      <w:r w:rsidRPr="005130D2">
        <w:rPr>
          <w:rStyle w:val="FootnoteReference"/>
          <w:rFonts w:ascii="Times New Roman" w:hAnsi="Times New Roman"/>
          <w:sz w:val="20"/>
          <w:szCs w:val="20"/>
          <w:vertAlign w:val="superscript"/>
        </w:rPr>
        <w:footnoteRef/>
      </w:r>
      <w:r w:rsidRPr="005130D2">
        <w:rPr>
          <w:rFonts w:ascii="Times New Roman" w:hAnsi="Times New Roman"/>
          <w:sz w:val="20"/>
          <w:szCs w:val="20"/>
        </w:rPr>
        <w:t xml:space="preserve"> </w:t>
      </w:r>
      <w:r w:rsidRPr="005130D2">
        <w:rPr>
          <w:rFonts w:ascii="Times New Roman" w:hAnsi="Times New Roman"/>
          <w:color w:val="000000"/>
          <w:sz w:val="20"/>
          <w:szCs w:val="20"/>
        </w:rPr>
        <w:t xml:space="preserve">Total cost to the public was estimated using the following formula.  Percent of staff time, multiplied by annual burden hours, multiplied by hourly rate:  30% - </w:t>
      </w:r>
      <w:r>
        <w:rPr>
          <w:rFonts w:ascii="Times New Roman" w:hAnsi="Times New Roman"/>
          <w:color w:val="000000"/>
          <w:sz w:val="20"/>
          <w:szCs w:val="20"/>
        </w:rPr>
        <w:t>Administrative or Junior Analyst</w:t>
      </w:r>
      <w:r w:rsidRPr="005130D2">
        <w:rPr>
          <w:rFonts w:ascii="Times New Roman" w:hAnsi="Times New Roman"/>
          <w:color w:val="000000"/>
          <w:sz w:val="20"/>
          <w:szCs w:val="20"/>
        </w:rPr>
        <w:t xml:space="preserve"> @ $25, </w:t>
      </w:r>
      <w:r>
        <w:rPr>
          <w:rFonts w:ascii="Times New Roman" w:hAnsi="Times New Roman"/>
          <w:color w:val="000000"/>
          <w:sz w:val="20"/>
          <w:szCs w:val="20"/>
        </w:rPr>
        <w:t>50</w:t>
      </w:r>
      <w:r w:rsidRPr="005130D2">
        <w:rPr>
          <w:rFonts w:ascii="Times New Roman" w:hAnsi="Times New Roman"/>
          <w:color w:val="000000"/>
          <w:sz w:val="20"/>
          <w:szCs w:val="20"/>
        </w:rPr>
        <w:t xml:space="preserve">% - Managerial or Technical @ $55, </w:t>
      </w:r>
      <w:r>
        <w:rPr>
          <w:rFonts w:ascii="Times New Roman" w:hAnsi="Times New Roman"/>
          <w:color w:val="000000"/>
          <w:sz w:val="20"/>
          <w:szCs w:val="20"/>
        </w:rPr>
        <w:t>10</w:t>
      </w:r>
      <w:r w:rsidRPr="005130D2">
        <w:rPr>
          <w:rFonts w:ascii="Times New Roman" w:hAnsi="Times New Roman"/>
          <w:color w:val="000000"/>
          <w:sz w:val="20"/>
          <w:szCs w:val="20"/>
        </w:rPr>
        <w:t xml:space="preserve">% - Senior Management @ $100, and 10% - Legal Counsel @ $144.  Hourly rate estimates for each occupational group are averages using data from the Bureau of Labor and Statistics, </w:t>
      </w:r>
      <w:r w:rsidRPr="005130D2">
        <w:rPr>
          <w:rFonts w:ascii="Times New Roman" w:hAnsi="Times New Roman"/>
          <w:i/>
          <w:iCs/>
          <w:color w:val="000000"/>
          <w:sz w:val="20"/>
          <w:szCs w:val="20"/>
        </w:rPr>
        <w:t>Occupational Employment and Wages</w:t>
      </w:r>
      <w:r w:rsidRPr="005130D2">
        <w:rPr>
          <w:rFonts w:ascii="Times New Roman" w:hAnsi="Times New Roman"/>
          <w:color w:val="000000"/>
          <w:sz w:val="20"/>
          <w:szCs w:val="20"/>
        </w:rPr>
        <w:t>, news release.</w:t>
      </w:r>
    </w:p>
    <w:p w:rsidR="00CA49D8" w:rsidRDefault="00CA49D8">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9D8" w:rsidRPr="00C8009C" w:rsidRDefault="00CA49D8" w:rsidP="00C8009C">
    <w:pPr>
      <w:pStyle w:val="Header"/>
      <w:jc w:val="right"/>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558EE"/>
    <w:multiLevelType w:val="hybridMultilevel"/>
    <w:tmpl w:val="F320AA14"/>
    <w:lvl w:ilvl="0" w:tplc="19C625D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F085660"/>
    <w:multiLevelType w:val="hybridMultilevel"/>
    <w:tmpl w:val="B9BAC73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nsid w:val="15E06C07"/>
    <w:multiLevelType w:val="hybridMultilevel"/>
    <w:tmpl w:val="2DDE0BC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CA06350"/>
    <w:multiLevelType w:val="hybridMultilevel"/>
    <w:tmpl w:val="6142A4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E655ACB"/>
    <w:multiLevelType w:val="hybridMultilevel"/>
    <w:tmpl w:val="B8BA5A2A"/>
    <w:lvl w:ilvl="0" w:tplc="90D4911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4A071BF"/>
    <w:multiLevelType w:val="hybridMultilevel"/>
    <w:tmpl w:val="EF08CCC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81873DD"/>
    <w:multiLevelType w:val="hybridMultilevel"/>
    <w:tmpl w:val="689202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8534C0D"/>
    <w:multiLevelType w:val="hybridMultilevel"/>
    <w:tmpl w:val="AB5EA1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A085D8B"/>
    <w:multiLevelType w:val="hybridMultilevel"/>
    <w:tmpl w:val="ED20941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
    <w:nsid w:val="4D3F1CF0"/>
    <w:multiLevelType w:val="hybridMultilevel"/>
    <w:tmpl w:val="CCC674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433787C"/>
    <w:multiLevelType w:val="hybridMultilevel"/>
    <w:tmpl w:val="CE2ADA64"/>
    <w:lvl w:ilvl="0" w:tplc="2B1C44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296"/>
        </w:tabs>
        <w:ind w:left="1296" w:hanging="360"/>
      </w:pPr>
      <w:rPr>
        <w:rFonts w:ascii="Courier New" w:hAnsi="Courier New" w:cs="Courier New" w:hint="default"/>
      </w:rPr>
    </w:lvl>
    <w:lvl w:ilvl="2" w:tplc="04090005" w:tentative="1">
      <w:start w:val="1"/>
      <w:numFmt w:val="bullet"/>
      <w:lvlText w:val=""/>
      <w:lvlJc w:val="left"/>
      <w:pPr>
        <w:tabs>
          <w:tab w:val="num" w:pos="2016"/>
        </w:tabs>
        <w:ind w:left="2016" w:hanging="360"/>
      </w:pPr>
      <w:rPr>
        <w:rFonts w:ascii="Wingdings" w:hAnsi="Wingdings" w:hint="default"/>
      </w:rPr>
    </w:lvl>
    <w:lvl w:ilvl="3" w:tplc="04090001" w:tentative="1">
      <w:start w:val="1"/>
      <w:numFmt w:val="bullet"/>
      <w:lvlText w:val=""/>
      <w:lvlJc w:val="left"/>
      <w:pPr>
        <w:tabs>
          <w:tab w:val="num" w:pos="2736"/>
        </w:tabs>
        <w:ind w:left="2736" w:hanging="360"/>
      </w:pPr>
      <w:rPr>
        <w:rFonts w:ascii="Symbol" w:hAnsi="Symbol" w:hint="default"/>
      </w:rPr>
    </w:lvl>
    <w:lvl w:ilvl="4" w:tplc="04090003" w:tentative="1">
      <w:start w:val="1"/>
      <w:numFmt w:val="bullet"/>
      <w:lvlText w:val="o"/>
      <w:lvlJc w:val="left"/>
      <w:pPr>
        <w:tabs>
          <w:tab w:val="num" w:pos="3456"/>
        </w:tabs>
        <w:ind w:left="3456" w:hanging="360"/>
      </w:pPr>
      <w:rPr>
        <w:rFonts w:ascii="Courier New" w:hAnsi="Courier New" w:cs="Courier New" w:hint="default"/>
      </w:rPr>
    </w:lvl>
    <w:lvl w:ilvl="5" w:tplc="04090005" w:tentative="1">
      <w:start w:val="1"/>
      <w:numFmt w:val="bullet"/>
      <w:lvlText w:val=""/>
      <w:lvlJc w:val="left"/>
      <w:pPr>
        <w:tabs>
          <w:tab w:val="num" w:pos="4176"/>
        </w:tabs>
        <w:ind w:left="4176" w:hanging="360"/>
      </w:pPr>
      <w:rPr>
        <w:rFonts w:ascii="Wingdings" w:hAnsi="Wingdings" w:hint="default"/>
      </w:rPr>
    </w:lvl>
    <w:lvl w:ilvl="6" w:tplc="04090001" w:tentative="1">
      <w:start w:val="1"/>
      <w:numFmt w:val="bullet"/>
      <w:lvlText w:val=""/>
      <w:lvlJc w:val="left"/>
      <w:pPr>
        <w:tabs>
          <w:tab w:val="num" w:pos="4896"/>
        </w:tabs>
        <w:ind w:left="4896" w:hanging="360"/>
      </w:pPr>
      <w:rPr>
        <w:rFonts w:ascii="Symbol" w:hAnsi="Symbol" w:hint="default"/>
      </w:rPr>
    </w:lvl>
    <w:lvl w:ilvl="7" w:tplc="04090003" w:tentative="1">
      <w:start w:val="1"/>
      <w:numFmt w:val="bullet"/>
      <w:lvlText w:val="o"/>
      <w:lvlJc w:val="left"/>
      <w:pPr>
        <w:tabs>
          <w:tab w:val="num" w:pos="5616"/>
        </w:tabs>
        <w:ind w:left="5616" w:hanging="360"/>
      </w:pPr>
      <w:rPr>
        <w:rFonts w:ascii="Courier New" w:hAnsi="Courier New" w:cs="Courier New" w:hint="default"/>
      </w:rPr>
    </w:lvl>
    <w:lvl w:ilvl="8" w:tplc="04090005" w:tentative="1">
      <w:start w:val="1"/>
      <w:numFmt w:val="bullet"/>
      <w:lvlText w:val=""/>
      <w:lvlJc w:val="left"/>
      <w:pPr>
        <w:tabs>
          <w:tab w:val="num" w:pos="6336"/>
        </w:tabs>
        <w:ind w:left="6336" w:hanging="360"/>
      </w:pPr>
      <w:rPr>
        <w:rFonts w:ascii="Wingdings" w:hAnsi="Wingdings" w:hint="default"/>
      </w:rPr>
    </w:lvl>
  </w:abstractNum>
  <w:abstractNum w:abstractNumId="11">
    <w:nsid w:val="5D6D734B"/>
    <w:multiLevelType w:val="singleLevel"/>
    <w:tmpl w:val="EFCCE67C"/>
    <w:lvl w:ilvl="0">
      <w:start w:val="1"/>
      <w:numFmt w:val="decimal"/>
      <w:pStyle w:val="Heading5"/>
      <w:lvlText w:val="%1"/>
      <w:lvlJc w:val="left"/>
      <w:pPr>
        <w:tabs>
          <w:tab w:val="num" w:pos="1440"/>
        </w:tabs>
        <w:ind w:left="1440" w:hanging="1080"/>
      </w:pPr>
      <w:rPr>
        <w:rFonts w:ascii="Arial" w:hAnsi="Arial" w:hint="default"/>
        <w:b/>
        <w:i w:val="0"/>
        <w:sz w:val="20"/>
      </w:rPr>
    </w:lvl>
  </w:abstractNum>
  <w:abstractNum w:abstractNumId="12">
    <w:nsid w:val="6BB42211"/>
    <w:multiLevelType w:val="hybridMultilevel"/>
    <w:tmpl w:val="47B4303A"/>
    <w:lvl w:ilvl="0" w:tplc="4CB6381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3">
    <w:nsid w:val="6E981FC3"/>
    <w:multiLevelType w:val="hybridMultilevel"/>
    <w:tmpl w:val="72E66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
  </w:num>
  <w:num w:numId="3">
    <w:abstractNumId w:val="6"/>
  </w:num>
  <w:num w:numId="4">
    <w:abstractNumId w:val="8"/>
  </w:num>
  <w:num w:numId="5">
    <w:abstractNumId w:val="10"/>
  </w:num>
  <w:num w:numId="6">
    <w:abstractNumId w:val="12"/>
  </w:num>
  <w:num w:numId="7">
    <w:abstractNumId w:val="0"/>
  </w:num>
  <w:num w:numId="8">
    <w:abstractNumId w:val="4"/>
  </w:num>
  <w:num w:numId="9">
    <w:abstractNumId w:val="9"/>
  </w:num>
  <w:num w:numId="10">
    <w:abstractNumId w:val="3"/>
  </w:num>
  <w:num w:numId="11">
    <w:abstractNumId w:val="7"/>
  </w:num>
  <w:num w:numId="12">
    <w:abstractNumId w:val="5"/>
  </w:num>
  <w:num w:numId="13">
    <w:abstractNumId w:val="1"/>
  </w:num>
  <w:num w:numId="14">
    <w:abstractNumId w:val="13"/>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Pr>
  <w:endnotePr>
    <w:numFmt w:val="decimal"/>
    <w:endnote w:id="0"/>
    <w:endnote w:id="1"/>
  </w:endnotePr>
  <w:compat/>
  <w:rsids>
    <w:rsidRoot w:val="005F2454"/>
    <w:rsid w:val="00005013"/>
    <w:rsid w:val="00007446"/>
    <w:rsid w:val="000074E7"/>
    <w:rsid w:val="00052329"/>
    <w:rsid w:val="000671C4"/>
    <w:rsid w:val="0008523F"/>
    <w:rsid w:val="000915A5"/>
    <w:rsid w:val="00095BE0"/>
    <w:rsid w:val="000A2224"/>
    <w:rsid w:val="000A49D8"/>
    <w:rsid w:val="000C6B98"/>
    <w:rsid w:val="000C748A"/>
    <w:rsid w:val="000E7D57"/>
    <w:rsid w:val="000F753D"/>
    <w:rsid w:val="00116759"/>
    <w:rsid w:val="00124320"/>
    <w:rsid w:val="00133F74"/>
    <w:rsid w:val="00146AE4"/>
    <w:rsid w:val="00154ECF"/>
    <w:rsid w:val="001566B1"/>
    <w:rsid w:val="00156996"/>
    <w:rsid w:val="0015741C"/>
    <w:rsid w:val="001606EC"/>
    <w:rsid w:val="00162427"/>
    <w:rsid w:val="00190AA3"/>
    <w:rsid w:val="001B77FC"/>
    <w:rsid w:val="001D32C4"/>
    <w:rsid w:val="001E6FA6"/>
    <w:rsid w:val="00216084"/>
    <w:rsid w:val="00267316"/>
    <w:rsid w:val="00271AAB"/>
    <w:rsid w:val="002802E6"/>
    <w:rsid w:val="002854E4"/>
    <w:rsid w:val="002B09AA"/>
    <w:rsid w:val="002B46B7"/>
    <w:rsid w:val="002B4F98"/>
    <w:rsid w:val="002D6F1D"/>
    <w:rsid w:val="002E04D3"/>
    <w:rsid w:val="00305816"/>
    <w:rsid w:val="00327178"/>
    <w:rsid w:val="00344444"/>
    <w:rsid w:val="00354091"/>
    <w:rsid w:val="003632CB"/>
    <w:rsid w:val="00372A03"/>
    <w:rsid w:val="00375044"/>
    <w:rsid w:val="00381901"/>
    <w:rsid w:val="00381BAF"/>
    <w:rsid w:val="0038298E"/>
    <w:rsid w:val="00391E54"/>
    <w:rsid w:val="003C7568"/>
    <w:rsid w:val="003D6199"/>
    <w:rsid w:val="003E1198"/>
    <w:rsid w:val="003E1961"/>
    <w:rsid w:val="003F24AA"/>
    <w:rsid w:val="00400B04"/>
    <w:rsid w:val="00404DA8"/>
    <w:rsid w:val="00413420"/>
    <w:rsid w:val="00414C5D"/>
    <w:rsid w:val="0041718F"/>
    <w:rsid w:val="004208AA"/>
    <w:rsid w:val="00472307"/>
    <w:rsid w:val="00494299"/>
    <w:rsid w:val="00495AA5"/>
    <w:rsid w:val="004A0112"/>
    <w:rsid w:val="004A0E01"/>
    <w:rsid w:val="004A11C3"/>
    <w:rsid w:val="004C6593"/>
    <w:rsid w:val="00506466"/>
    <w:rsid w:val="005130D2"/>
    <w:rsid w:val="00513BCD"/>
    <w:rsid w:val="00563B4C"/>
    <w:rsid w:val="00581F55"/>
    <w:rsid w:val="00591647"/>
    <w:rsid w:val="005B692C"/>
    <w:rsid w:val="005D0558"/>
    <w:rsid w:val="005D7707"/>
    <w:rsid w:val="005E3887"/>
    <w:rsid w:val="005F2454"/>
    <w:rsid w:val="005F3992"/>
    <w:rsid w:val="00607487"/>
    <w:rsid w:val="00620668"/>
    <w:rsid w:val="00626F9C"/>
    <w:rsid w:val="00641F7D"/>
    <w:rsid w:val="006504B4"/>
    <w:rsid w:val="006821DE"/>
    <w:rsid w:val="0068396F"/>
    <w:rsid w:val="00683AAD"/>
    <w:rsid w:val="0069439F"/>
    <w:rsid w:val="006956DF"/>
    <w:rsid w:val="006C6A53"/>
    <w:rsid w:val="007009BE"/>
    <w:rsid w:val="00717B88"/>
    <w:rsid w:val="007253F9"/>
    <w:rsid w:val="0073413A"/>
    <w:rsid w:val="007471F7"/>
    <w:rsid w:val="007543CB"/>
    <w:rsid w:val="00785DE4"/>
    <w:rsid w:val="007917B3"/>
    <w:rsid w:val="00797CC8"/>
    <w:rsid w:val="007A6A3E"/>
    <w:rsid w:val="007A7FEB"/>
    <w:rsid w:val="007C6980"/>
    <w:rsid w:val="007D6C88"/>
    <w:rsid w:val="007D7F50"/>
    <w:rsid w:val="007F722A"/>
    <w:rsid w:val="0080082A"/>
    <w:rsid w:val="00804EB1"/>
    <w:rsid w:val="008057FA"/>
    <w:rsid w:val="008272C2"/>
    <w:rsid w:val="00841092"/>
    <w:rsid w:val="00844FD2"/>
    <w:rsid w:val="008748DE"/>
    <w:rsid w:val="00883923"/>
    <w:rsid w:val="00885A53"/>
    <w:rsid w:val="008D41D2"/>
    <w:rsid w:val="008E4E40"/>
    <w:rsid w:val="008E7AEF"/>
    <w:rsid w:val="008F37A8"/>
    <w:rsid w:val="00905999"/>
    <w:rsid w:val="009173D5"/>
    <w:rsid w:val="00932960"/>
    <w:rsid w:val="00944E3C"/>
    <w:rsid w:val="00965005"/>
    <w:rsid w:val="00965718"/>
    <w:rsid w:val="00972322"/>
    <w:rsid w:val="00972C3E"/>
    <w:rsid w:val="00984353"/>
    <w:rsid w:val="00992C88"/>
    <w:rsid w:val="009A2181"/>
    <w:rsid w:val="009A633C"/>
    <w:rsid w:val="009A64C5"/>
    <w:rsid w:val="009B16AD"/>
    <w:rsid w:val="009B3974"/>
    <w:rsid w:val="009D729C"/>
    <w:rsid w:val="009E4828"/>
    <w:rsid w:val="009E4B47"/>
    <w:rsid w:val="009F11BC"/>
    <w:rsid w:val="009F3291"/>
    <w:rsid w:val="009F7D24"/>
    <w:rsid w:val="00A14ABF"/>
    <w:rsid w:val="00A47075"/>
    <w:rsid w:val="00A51FE3"/>
    <w:rsid w:val="00A66054"/>
    <w:rsid w:val="00A80E3C"/>
    <w:rsid w:val="00A863C4"/>
    <w:rsid w:val="00A873FD"/>
    <w:rsid w:val="00AD33C0"/>
    <w:rsid w:val="00AD5797"/>
    <w:rsid w:val="00B2384E"/>
    <w:rsid w:val="00B37A9A"/>
    <w:rsid w:val="00B42EA7"/>
    <w:rsid w:val="00B4415B"/>
    <w:rsid w:val="00B478F2"/>
    <w:rsid w:val="00B5043C"/>
    <w:rsid w:val="00B600A1"/>
    <w:rsid w:val="00B713C1"/>
    <w:rsid w:val="00B75F9A"/>
    <w:rsid w:val="00B81626"/>
    <w:rsid w:val="00B87E5E"/>
    <w:rsid w:val="00B9295B"/>
    <w:rsid w:val="00BA1D50"/>
    <w:rsid w:val="00BA42F4"/>
    <w:rsid w:val="00BA5648"/>
    <w:rsid w:val="00BC7DDA"/>
    <w:rsid w:val="00BD2AB9"/>
    <w:rsid w:val="00BD2D1F"/>
    <w:rsid w:val="00BE180C"/>
    <w:rsid w:val="00BF6AC4"/>
    <w:rsid w:val="00C14FEF"/>
    <w:rsid w:val="00C41BCD"/>
    <w:rsid w:val="00C57BDF"/>
    <w:rsid w:val="00C60E88"/>
    <w:rsid w:val="00C61541"/>
    <w:rsid w:val="00C72F1F"/>
    <w:rsid w:val="00C7540B"/>
    <w:rsid w:val="00C8009C"/>
    <w:rsid w:val="00C8176E"/>
    <w:rsid w:val="00C81F4D"/>
    <w:rsid w:val="00C857EE"/>
    <w:rsid w:val="00C858CC"/>
    <w:rsid w:val="00C870A5"/>
    <w:rsid w:val="00C912E5"/>
    <w:rsid w:val="00CA49D8"/>
    <w:rsid w:val="00CE56C9"/>
    <w:rsid w:val="00CE79FF"/>
    <w:rsid w:val="00CF278D"/>
    <w:rsid w:val="00CF69E2"/>
    <w:rsid w:val="00CF7C8F"/>
    <w:rsid w:val="00D04052"/>
    <w:rsid w:val="00D25F1F"/>
    <w:rsid w:val="00D329D5"/>
    <w:rsid w:val="00D354C3"/>
    <w:rsid w:val="00D367B4"/>
    <w:rsid w:val="00D420EA"/>
    <w:rsid w:val="00D43CA3"/>
    <w:rsid w:val="00D51AC3"/>
    <w:rsid w:val="00D533F6"/>
    <w:rsid w:val="00D935DA"/>
    <w:rsid w:val="00D97648"/>
    <w:rsid w:val="00DA2EA2"/>
    <w:rsid w:val="00DD6CD2"/>
    <w:rsid w:val="00DE027E"/>
    <w:rsid w:val="00DE51C6"/>
    <w:rsid w:val="00DF4583"/>
    <w:rsid w:val="00DF527C"/>
    <w:rsid w:val="00E070A9"/>
    <w:rsid w:val="00E07713"/>
    <w:rsid w:val="00E14183"/>
    <w:rsid w:val="00E30374"/>
    <w:rsid w:val="00E462E5"/>
    <w:rsid w:val="00E52C44"/>
    <w:rsid w:val="00E70831"/>
    <w:rsid w:val="00E816D8"/>
    <w:rsid w:val="00E94147"/>
    <w:rsid w:val="00E97ABA"/>
    <w:rsid w:val="00EC4F34"/>
    <w:rsid w:val="00ED613D"/>
    <w:rsid w:val="00F01D1B"/>
    <w:rsid w:val="00F02674"/>
    <w:rsid w:val="00F207CA"/>
    <w:rsid w:val="00F54ECB"/>
    <w:rsid w:val="00F55823"/>
    <w:rsid w:val="00F66D29"/>
    <w:rsid w:val="00F67940"/>
    <w:rsid w:val="00F907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291"/>
    <w:pPr>
      <w:widowControl w:val="0"/>
      <w:autoSpaceDE w:val="0"/>
      <w:autoSpaceDN w:val="0"/>
      <w:adjustRightInd w:val="0"/>
    </w:pPr>
    <w:rPr>
      <w:rFonts w:ascii="Times" w:hAnsi="Times"/>
      <w:sz w:val="24"/>
      <w:szCs w:val="24"/>
    </w:rPr>
  </w:style>
  <w:style w:type="paragraph" w:styleId="Heading1">
    <w:name w:val="heading 1"/>
    <w:basedOn w:val="Normal"/>
    <w:next w:val="Normal"/>
    <w:qFormat/>
    <w:rsid w:val="009F3291"/>
    <w:pPr>
      <w:keepNext/>
      <w:widowControl/>
      <w:tabs>
        <w:tab w:val="left" w:pos="360"/>
      </w:tabs>
      <w:outlineLvl w:val="0"/>
    </w:pPr>
    <w:rPr>
      <w:b/>
      <w:bCs/>
    </w:rPr>
  </w:style>
  <w:style w:type="paragraph" w:styleId="Heading2">
    <w:name w:val="heading 2"/>
    <w:basedOn w:val="Normal"/>
    <w:next w:val="Normal"/>
    <w:qFormat/>
    <w:rsid w:val="009F3291"/>
    <w:pPr>
      <w:keepNext/>
      <w:widowControl/>
      <w:autoSpaceDE/>
      <w:autoSpaceDN/>
      <w:adjustRightInd/>
      <w:spacing w:line="480" w:lineRule="auto"/>
      <w:outlineLvl w:val="1"/>
    </w:pPr>
    <w:rPr>
      <w:rFonts w:ascii="Times New Roman" w:hAnsi="Times New Roman"/>
      <w:snapToGrid w:val="0"/>
      <w:szCs w:val="20"/>
      <w:u w:val="single"/>
    </w:rPr>
  </w:style>
  <w:style w:type="paragraph" w:styleId="Heading3">
    <w:name w:val="heading 3"/>
    <w:basedOn w:val="Normal"/>
    <w:next w:val="Normal"/>
    <w:qFormat/>
    <w:rsid w:val="009F3291"/>
    <w:pPr>
      <w:keepNext/>
      <w:widowControl/>
      <w:autoSpaceDE/>
      <w:autoSpaceDN/>
      <w:adjustRightInd/>
      <w:spacing w:before="240" w:after="60"/>
      <w:outlineLvl w:val="2"/>
    </w:pPr>
    <w:rPr>
      <w:rFonts w:ascii="Times New Roman" w:hAnsi="Times New Roman"/>
      <w:szCs w:val="20"/>
      <w:u w:val="single"/>
    </w:rPr>
  </w:style>
  <w:style w:type="paragraph" w:styleId="Heading4">
    <w:name w:val="heading 4"/>
    <w:basedOn w:val="Normal"/>
    <w:next w:val="Normal"/>
    <w:qFormat/>
    <w:rsid w:val="009F3291"/>
    <w:pPr>
      <w:keepNext/>
      <w:widowControl/>
      <w:tabs>
        <w:tab w:val="left" w:pos="360"/>
      </w:tabs>
      <w:jc w:val="center"/>
      <w:outlineLvl w:val="3"/>
    </w:pPr>
    <w:rPr>
      <w:b/>
      <w:bCs/>
    </w:rPr>
  </w:style>
  <w:style w:type="paragraph" w:styleId="Heading5">
    <w:name w:val="heading 5"/>
    <w:basedOn w:val="Normal"/>
    <w:next w:val="Normal"/>
    <w:qFormat/>
    <w:rsid w:val="009F3291"/>
    <w:pPr>
      <w:keepNext/>
      <w:widowControl/>
      <w:numPr>
        <w:numId w:val="1"/>
      </w:numPr>
      <w:autoSpaceDE/>
      <w:autoSpaceDN/>
      <w:adjustRightInd/>
      <w:spacing w:after="120"/>
      <w:outlineLvl w:val="4"/>
    </w:pPr>
    <w:rPr>
      <w:rFonts w:ascii="Arial" w:hAnsi="Arial"/>
      <w:b/>
      <w:snapToGrid w:val="0"/>
      <w:sz w:val="20"/>
      <w:szCs w:val="20"/>
    </w:rPr>
  </w:style>
  <w:style w:type="paragraph" w:styleId="Heading6">
    <w:name w:val="heading 6"/>
    <w:basedOn w:val="Normal"/>
    <w:next w:val="Normal"/>
    <w:qFormat/>
    <w:rsid w:val="00414C5D"/>
    <w:pPr>
      <w:keepNext/>
      <w:widowControl/>
      <w:autoSpaceDE/>
      <w:autoSpaceDN/>
      <w:adjustRightInd/>
      <w:outlineLvl w:val="5"/>
    </w:pPr>
    <w:rPr>
      <w:rFonts w:ascii="Times New Roman" w:hAnsi="Times New Roman"/>
      <w:b/>
      <w:szCs w:val="20"/>
    </w:rPr>
  </w:style>
  <w:style w:type="paragraph" w:styleId="Heading7">
    <w:name w:val="heading 7"/>
    <w:basedOn w:val="Normal"/>
    <w:next w:val="Normal"/>
    <w:qFormat/>
    <w:rsid w:val="00414C5D"/>
    <w:pPr>
      <w:keepNext/>
      <w:widowControl/>
      <w:autoSpaceDE/>
      <w:autoSpaceDN/>
      <w:adjustRightInd/>
      <w:ind w:left="-900"/>
      <w:outlineLvl w:val="6"/>
    </w:pPr>
    <w:rPr>
      <w:rFonts w:ascii="Times New Roman" w:hAnsi="Times New Roman"/>
      <w:b/>
      <w:szCs w:val="20"/>
    </w:rPr>
  </w:style>
  <w:style w:type="paragraph" w:styleId="Heading8">
    <w:name w:val="heading 8"/>
    <w:basedOn w:val="Normal"/>
    <w:next w:val="Normal"/>
    <w:qFormat/>
    <w:rsid w:val="00414C5D"/>
    <w:pPr>
      <w:keepNext/>
      <w:widowControl/>
      <w:autoSpaceDE/>
      <w:autoSpaceDN/>
      <w:adjustRightInd/>
      <w:jc w:val="center"/>
      <w:outlineLvl w:val="7"/>
    </w:pPr>
    <w:rPr>
      <w:rFonts w:ascii="Times New Roman" w:hAnsi="Times New Roman"/>
      <w:b/>
      <w:szCs w:val="20"/>
    </w:rPr>
  </w:style>
  <w:style w:type="paragraph" w:styleId="Heading9">
    <w:name w:val="heading 9"/>
    <w:basedOn w:val="Normal"/>
    <w:next w:val="Normal"/>
    <w:qFormat/>
    <w:rsid w:val="0069439F"/>
    <w:pPr>
      <w:keepNext/>
      <w:widowControl/>
      <w:spacing w:line="480" w:lineRule="auto"/>
      <w:outlineLvl w:val="8"/>
    </w:pPr>
    <w:rPr>
      <w:rFonts w:ascii="Times New Roman" w:hAnsi="Times New Roman"/>
      <w:color w:val="00000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F3291"/>
  </w:style>
  <w:style w:type="paragraph" w:customStyle="1" w:styleId="Style">
    <w:name w:val="Style"/>
    <w:basedOn w:val="Normal"/>
    <w:rsid w:val="009F3291"/>
    <w:pPr>
      <w:ind w:left="360" w:hanging="360"/>
    </w:pPr>
  </w:style>
  <w:style w:type="paragraph" w:styleId="FootnoteText">
    <w:name w:val="footnote text"/>
    <w:basedOn w:val="Normal"/>
    <w:semiHidden/>
    <w:rsid w:val="009F3291"/>
    <w:pPr>
      <w:autoSpaceDE/>
      <w:autoSpaceDN/>
      <w:adjustRightInd/>
    </w:pPr>
    <w:rPr>
      <w:rFonts w:ascii="Courier" w:hAnsi="Courier"/>
      <w:snapToGrid w:val="0"/>
      <w:szCs w:val="20"/>
    </w:rPr>
  </w:style>
  <w:style w:type="paragraph" w:styleId="BodyTextIndent">
    <w:name w:val="Body Text Indent"/>
    <w:basedOn w:val="Normal"/>
    <w:rsid w:val="009F3291"/>
    <w:pPr>
      <w:widowControl/>
      <w:ind w:firstLine="504"/>
    </w:pPr>
    <w:rPr>
      <w:rFonts w:ascii="Times New Roman" w:hAnsi="Times New Roman"/>
    </w:rPr>
  </w:style>
  <w:style w:type="paragraph" w:styleId="BodyTextIndent2">
    <w:name w:val="Body Text Indent 2"/>
    <w:basedOn w:val="Normal"/>
    <w:rsid w:val="009F3291"/>
    <w:pPr>
      <w:widowControl/>
      <w:autoSpaceDE/>
      <w:autoSpaceDN/>
      <w:adjustRightInd/>
      <w:spacing w:line="480" w:lineRule="auto"/>
      <w:ind w:left="504"/>
    </w:pPr>
    <w:rPr>
      <w:rFonts w:ascii="Times New Roman" w:hAnsi="Times New Roman"/>
      <w:snapToGrid w:val="0"/>
      <w:szCs w:val="20"/>
    </w:rPr>
  </w:style>
  <w:style w:type="paragraph" w:styleId="BodyText2">
    <w:name w:val="Body Text 2"/>
    <w:basedOn w:val="Normal"/>
    <w:rsid w:val="009F3291"/>
    <w:pPr>
      <w:widowControl/>
      <w:autoSpaceDE/>
      <w:autoSpaceDN/>
      <w:adjustRightInd/>
      <w:spacing w:line="480" w:lineRule="auto"/>
    </w:pPr>
    <w:rPr>
      <w:rFonts w:ascii="Times New Roman" w:hAnsi="Times New Roman"/>
      <w:b/>
      <w:i/>
      <w:szCs w:val="20"/>
    </w:rPr>
  </w:style>
  <w:style w:type="paragraph" w:styleId="Title">
    <w:name w:val="Title"/>
    <w:basedOn w:val="Normal"/>
    <w:qFormat/>
    <w:rsid w:val="009F3291"/>
    <w:pPr>
      <w:widowControl/>
      <w:autoSpaceDE/>
      <w:autoSpaceDN/>
      <w:adjustRightInd/>
      <w:jc w:val="center"/>
    </w:pPr>
    <w:rPr>
      <w:rFonts w:ascii="Times New Roman" w:hAnsi="Times New Roman"/>
      <w:b/>
      <w:szCs w:val="20"/>
    </w:rPr>
  </w:style>
  <w:style w:type="paragraph" w:styleId="Header">
    <w:name w:val="header"/>
    <w:basedOn w:val="Normal"/>
    <w:rsid w:val="009F3291"/>
    <w:pPr>
      <w:tabs>
        <w:tab w:val="center" w:pos="4320"/>
        <w:tab w:val="right" w:pos="8640"/>
      </w:tabs>
      <w:autoSpaceDE/>
      <w:autoSpaceDN/>
      <w:adjustRightInd/>
    </w:pPr>
    <w:rPr>
      <w:rFonts w:ascii="Courier" w:hAnsi="Courier"/>
      <w:snapToGrid w:val="0"/>
      <w:szCs w:val="20"/>
    </w:rPr>
  </w:style>
  <w:style w:type="paragraph" w:styleId="TOC6">
    <w:name w:val="toc 6"/>
    <w:basedOn w:val="Normal"/>
    <w:next w:val="Normal"/>
    <w:autoRedefine/>
    <w:semiHidden/>
    <w:rsid w:val="009F3291"/>
    <w:pPr>
      <w:tabs>
        <w:tab w:val="right" w:pos="9360"/>
      </w:tabs>
      <w:suppressAutoHyphens/>
      <w:autoSpaceDE/>
      <w:autoSpaceDN/>
      <w:adjustRightInd/>
      <w:ind w:left="720" w:hanging="720"/>
    </w:pPr>
    <w:rPr>
      <w:rFonts w:ascii="Courier" w:hAnsi="Courier"/>
      <w:snapToGrid w:val="0"/>
      <w:szCs w:val="20"/>
    </w:rPr>
  </w:style>
  <w:style w:type="paragraph" w:styleId="BodyText">
    <w:name w:val="Body Text"/>
    <w:basedOn w:val="Normal"/>
    <w:rsid w:val="009F3291"/>
    <w:pPr>
      <w:tabs>
        <w:tab w:val="left" w:pos="-720"/>
        <w:tab w:val="left" w:pos="134"/>
        <w:tab w:val="left" w:pos="432"/>
        <w:tab w:val="left" w:pos="864"/>
        <w:tab w:val="left" w:pos="4320"/>
        <w:tab w:val="left" w:pos="5040"/>
        <w:tab w:val="left" w:pos="5760"/>
      </w:tabs>
      <w:suppressAutoHyphens/>
      <w:autoSpaceDE/>
      <w:autoSpaceDN/>
      <w:adjustRightInd/>
      <w:spacing w:line="480" w:lineRule="auto"/>
      <w:jc w:val="both"/>
    </w:pPr>
    <w:rPr>
      <w:rFonts w:ascii="CG Times (W1)" w:hAnsi="CG Times (W1)"/>
      <w:snapToGrid w:val="0"/>
      <w:spacing w:val="-2"/>
      <w:szCs w:val="20"/>
    </w:rPr>
  </w:style>
  <w:style w:type="paragraph" w:styleId="BodyTextIndent3">
    <w:name w:val="Body Text Indent 3"/>
    <w:basedOn w:val="Normal"/>
    <w:rsid w:val="009F3291"/>
    <w:pPr>
      <w:ind w:firstLine="720"/>
    </w:pPr>
  </w:style>
  <w:style w:type="paragraph" w:styleId="Subtitle">
    <w:name w:val="Subtitle"/>
    <w:basedOn w:val="Normal"/>
    <w:qFormat/>
    <w:rsid w:val="009F3291"/>
    <w:pPr>
      <w:widowControl/>
    </w:pPr>
    <w:rPr>
      <w:rFonts w:ascii="TimesNewRoman,Bold" w:hAnsi="TimesNewRoman,Bold"/>
      <w:b/>
      <w:bCs/>
    </w:rPr>
  </w:style>
  <w:style w:type="paragraph" w:styleId="Footer">
    <w:name w:val="footer"/>
    <w:basedOn w:val="Normal"/>
    <w:rsid w:val="009F3291"/>
    <w:pPr>
      <w:tabs>
        <w:tab w:val="center" w:pos="4320"/>
        <w:tab w:val="right" w:pos="8640"/>
      </w:tabs>
    </w:pPr>
  </w:style>
  <w:style w:type="paragraph" w:styleId="BalloonText">
    <w:name w:val="Balloon Text"/>
    <w:basedOn w:val="Normal"/>
    <w:semiHidden/>
    <w:rsid w:val="005F2454"/>
    <w:rPr>
      <w:rFonts w:ascii="Tahoma" w:hAnsi="Tahoma" w:cs="Tahoma"/>
      <w:sz w:val="16"/>
      <w:szCs w:val="16"/>
    </w:rPr>
  </w:style>
  <w:style w:type="character" w:styleId="PageNumber">
    <w:name w:val="page number"/>
    <w:basedOn w:val="DefaultParagraphFont"/>
    <w:rsid w:val="00E30374"/>
  </w:style>
  <w:style w:type="character" w:styleId="Hyperlink">
    <w:name w:val="Hyperlink"/>
    <w:basedOn w:val="DefaultParagraphFont"/>
    <w:rsid w:val="0069439F"/>
    <w:rPr>
      <w:color w:val="0000FF"/>
      <w:u w:val="single"/>
    </w:rPr>
  </w:style>
  <w:style w:type="paragraph" w:styleId="BlockText">
    <w:name w:val="Block Text"/>
    <w:basedOn w:val="Normal"/>
    <w:rsid w:val="0069439F"/>
    <w:pPr>
      <w:widowControl/>
      <w:ind w:left="720" w:right="720"/>
    </w:pPr>
    <w:rPr>
      <w:rFonts w:ascii="Times New Roman" w:hAnsi="Times New Roman"/>
      <w:color w:val="000000"/>
      <w:szCs w:val="20"/>
    </w:rPr>
  </w:style>
  <w:style w:type="paragraph" w:styleId="HTMLPreformatted">
    <w:name w:val="HTML Preformatted"/>
    <w:basedOn w:val="Normal"/>
    <w:rsid w:val="00D329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olor w:val="000000"/>
      <w:sz w:val="20"/>
      <w:szCs w:val="20"/>
    </w:rPr>
  </w:style>
  <w:style w:type="paragraph" w:styleId="NormalWeb">
    <w:name w:val="Normal (Web)"/>
    <w:basedOn w:val="Normal"/>
    <w:rsid w:val="00D329D5"/>
    <w:pPr>
      <w:widowControl/>
      <w:autoSpaceDE/>
      <w:autoSpaceDN/>
      <w:adjustRightInd/>
      <w:spacing w:before="100" w:beforeAutospacing="1" w:after="100" w:afterAutospacing="1"/>
    </w:pPr>
    <w:rPr>
      <w:rFonts w:ascii="Times New Roman" w:hAnsi="Times New Roman"/>
      <w:color w:val="000000"/>
    </w:rPr>
  </w:style>
  <w:style w:type="paragraph" w:customStyle="1" w:styleId="5RightPar">
    <w:name w:val="5Right Par"/>
    <w:rsid w:val="00965005"/>
    <w:pPr>
      <w:widowControl w:val="0"/>
      <w:tabs>
        <w:tab w:val="left" w:pos="720"/>
        <w:tab w:val="left" w:pos="1440"/>
        <w:tab w:val="left" w:pos="2160"/>
        <w:tab w:val="left" w:pos="2880"/>
        <w:tab w:val="left" w:pos="3600"/>
      </w:tabs>
      <w:autoSpaceDE w:val="0"/>
      <w:autoSpaceDN w:val="0"/>
      <w:adjustRightInd w:val="0"/>
      <w:ind w:left="3600" w:hanging="6480"/>
      <w:jc w:val="both"/>
    </w:pPr>
    <w:rPr>
      <w:rFonts w:ascii="Courier 12pt" w:hAnsi="Courier 12pt"/>
      <w:sz w:val="24"/>
      <w:szCs w:val="24"/>
    </w:rPr>
  </w:style>
  <w:style w:type="paragraph" w:customStyle="1" w:styleId="CM4">
    <w:name w:val="CM4"/>
    <w:basedOn w:val="Normal"/>
    <w:next w:val="Normal"/>
    <w:rsid w:val="00C7540B"/>
    <w:pPr>
      <w:widowControl/>
      <w:spacing w:line="280" w:lineRule="atLeast"/>
    </w:pPr>
    <w:rPr>
      <w:rFonts w:ascii="MACFA D+ Bembo" w:hAnsi="MACFA D+ Bembo"/>
    </w:rPr>
  </w:style>
  <w:style w:type="character" w:styleId="CommentReference">
    <w:name w:val="annotation reference"/>
    <w:basedOn w:val="DefaultParagraphFont"/>
    <w:semiHidden/>
    <w:rsid w:val="00885A53"/>
    <w:rPr>
      <w:sz w:val="16"/>
      <w:szCs w:val="16"/>
    </w:rPr>
  </w:style>
  <w:style w:type="paragraph" w:styleId="CommentText">
    <w:name w:val="annotation text"/>
    <w:basedOn w:val="Normal"/>
    <w:semiHidden/>
    <w:rsid w:val="00885A53"/>
    <w:rPr>
      <w:sz w:val="20"/>
      <w:szCs w:val="20"/>
    </w:rPr>
  </w:style>
  <w:style w:type="paragraph" w:styleId="CommentSubject">
    <w:name w:val="annotation subject"/>
    <w:basedOn w:val="CommentText"/>
    <w:next w:val="CommentText"/>
    <w:semiHidden/>
    <w:rsid w:val="00885A53"/>
    <w:rPr>
      <w:b/>
      <w:bCs/>
    </w:rPr>
  </w:style>
  <w:style w:type="character" w:styleId="FollowedHyperlink">
    <w:name w:val="FollowedHyperlink"/>
    <w:basedOn w:val="DefaultParagraphFont"/>
    <w:rsid w:val="00414C5D"/>
    <w:rPr>
      <w:color w:val="800080"/>
      <w:u w:val="single"/>
    </w:rPr>
  </w:style>
  <w:style w:type="paragraph" w:styleId="BodyText3">
    <w:name w:val="Body Text 3"/>
    <w:basedOn w:val="Normal"/>
    <w:rsid w:val="00414C5D"/>
    <w:pPr>
      <w:widowControl/>
      <w:autoSpaceDE/>
      <w:autoSpaceDN/>
      <w:adjustRightInd/>
    </w:pPr>
    <w:rPr>
      <w:rFonts w:ascii="Times New Roman" w:hAnsi="Times New Roman"/>
      <w:szCs w:val="20"/>
      <w:u w:val="single"/>
    </w:rPr>
  </w:style>
  <w:style w:type="paragraph" w:customStyle="1" w:styleId="Preformatted">
    <w:name w:val="Preformatted"/>
    <w:basedOn w:val="Normal"/>
    <w:rsid w:val="00414C5D"/>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autoSpaceDN/>
      <w:adjustRightInd/>
    </w:pPr>
    <w:rPr>
      <w:rFonts w:ascii="Courier New" w:hAnsi="Courier New"/>
      <w:snapToGrid w:val="0"/>
      <w:sz w:val="20"/>
      <w:szCs w:val="20"/>
    </w:rPr>
  </w:style>
  <w:style w:type="paragraph" w:customStyle="1" w:styleId="Default">
    <w:name w:val="Default"/>
    <w:rsid w:val="00414C5D"/>
    <w:pPr>
      <w:widowControl w:val="0"/>
      <w:autoSpaceDE w:val="0"/>
      <w:autoSpaceDN w:val="0"/>
      <w:adjustRightInd w:val="0"/>
    </w:pPr>
    <w:rPr>
      <w:rFonts w:ascii="Arial" w:hAnsi="Arial" w:cs="Arial"/>
      <w:color w:val="000000"/>
      <w:sz w:val="24"/>
      <w:szCs w:val="24"/>
    </w:rPr>
  </w:style>
  <w:style w:type="character" w:styleId="Emphasis">
    <w:name w:val="Emphasis"/>
    <w:basedOn w:val="DefaultParagraphFont"/>
    <w:qFormat/>
    <w:rsid w:val="00414C5D"/>
    <w:rPr>
      <w:i/>
      <w:iCs/>
    </w:rPr>
  </w:style>
  <w:style w:type="paragraph" w:customStyle="1" w:styleId="CM120">
    <w:name w:val="CM120"/>
    <w:basedOn w:val="Default"/>
    <w:next w:val="Default"/>
    <w:rsid w:val="00414C5D"/>
    <w:pPr>
      <w:widowControl/>
      <w:spacing w:after="230"/>
    </w:pPr>
    <w:rPr>
      <w:rFonts w:ascii="Helvetica" w:hAnsi="Helvetica" w:cs="Times New Roman"/>
      <w:color w:val="auto"/>
    </w:rPr>
  </w:style>
  <w:style w:type="character" w:customStyle="1" w:styleId="text">
    <w:name w:val="text"/>
    <w:basedOn w:val="DefaultParagraphFont"/>
    <w:rsid w:val="00414C5D"/>
    <w:rPr>
      <w:rFonts w:ascii="Times Roman" w:hAnsi="Times Roman"/>
      <w:noProof w:val="0"/>
      <w:sz w:val="24"/>
      <w:lang w:val="en-US"/>
    </w:rPr>
  </w:style>
  <w:style w:type="paragraph" w:customStyle="1" w:styleId="body">
    <w:name w:val="body"/>
    <w:basedOn w:val="Normal"/>
    <w:rsid w:val="00414C5D"/>
    <w:pPr>
      <w:widowControl/>
      <w:autoSpaceDE/>
      <w:autoSpaceDN/>
      <w:adjustRightInd/>
      <w:spacing w:before="100" w:beforeAutospacing="1" w:after="100" w:afterAutospacing="1"/>
    </w:pPr>
    <w:rPr>
      <w:rFonts w:ascii="Times New Roman" w:hAnsi="Times New Roman"/>
    </w:rPr>
  </w:style>
  <w:style w:type="character" w:customStyle="1" w:styleId="TechInit">
    <w:name w:val="Tech Init"/>
    <w:basedOn w:val="DefaultParagraphFont"/>
    <w:rsid w:val="00414C5D"/>
    <w:rPr>
      <w:rFonts w:ascii="Helvetica" w:hAnsi="Helvetica"/>
      <w:noProof w:val="0"/>
      <w:sz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icifactbook.org/fb_sec7.html" TargetMode="External"/><Relationship Id="rId2" Type="http://schemas.openxmlformats.org/officeDocument/2006/relationships/hyperlink" Target="http://www.irs.gov/taxstats/charitablestats/article/0,,id=96996,00.html" TargetMode="External"/><Relationship Id="rId1" Type="http://schemas.openxmlformats.org/officeDocument/2006/relationships/hyperlink" Target="http://www.ffiec.gov/PDF/FFIEC_forms/FFIEC031_041_suppinst_20070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15794</Words>
  <Characters>88370</Characters>
  <Application>Microsoft Office Word</Application>
  <DocSecurity>0</DocSecurity>
  <Lines>736</Lines>
  <Paragraphs>207</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FRB</Company>
  <LinksUpToDate>false</LinksUpToDate>
  <CharactersWithSpaces>103957</CharactersWithSpaces>
  <SharedDoc>false</SharedDoc>
  <HLinks>
    <vt:vector size="18" baseType="variant">
      <vt:variant>
        <vt:i4>6029408</vt:i4>
      </vt:variant>
      <vt:variant>
        <vt:i4>6</vt:i4>
      </vt:variant>
      <vt:variant>
        <vt:i4>0</vt:i4>
      </vt:variant>
      <vt:variant>
        <vt:i4>5</vt:i4>
      </vt:variant>
      <vt:variant>
        <vt:lpwstr>http://www.icifactbook.org/fb_sec7.html</vt:lpwstr>
      </vt:variant>
      <vt:variant>
        <vt:lpwstr/>
      </vt:variant>
      <vt:variant>
        <vt:i4>7536764</vt:i4>
      </vt:variant>
      <vt:variant>
        <vt:i4>3</vt:i4>
      </vt:variant>
      <vt:variant>
        <vt:i4>0</vt:i4>
      </vt:variant>
      <vt:variant>
        <vt:i4>5</vt:i4>
      </vt:variant>
      <vt:variant>
        <vt:lpwstr>http://www.irs.gov/taxstats/charitablestats/article/0,,id=96996,00.html</vt:lpwstr>
      </vt:variant>
      <vt:variant>
        <vt:lpwstr/>
      </vt:variant>
      <vt:variant>
        <vt:i4>4653059</vt:i4>
      </vt:variant>
      <vt:variant>
        <vt:i4>0</vt:i4>
      </vt:variant>
      <vt:variant>
        <vt:i4>0</vt:i4>
      </vt:variant>
      <vt:variant>
        <vt:i4>5</vt:i4>
      </vt:variant>
      <vt:variant>
        <vt:lpwstr>http://www.ffiec.gov/PDF/FFIEC_forms/FFIEC031_041_suppinst_200706.pdf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m1cmb00</dc:creator>
  <cp:keywords/>
  <dc:description/>
  <cp:lastModifiedBy>m1cmb00</cp:lastModifiedBy>
  <cp:revision>2</cp:revision>
  <cp:lastPrinted>2008-01-23T16:20:00Z</cp:lastPrinted>
  <dcterms:created xsi:type="dcterms:W3CDTF">2009-03-25T14:55:00Z</dcterms:created>
  <dcterms:modified xsi:type="dcterms:W3CDTF">2009-03-25T14:55:00Z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1578607144</vt:i4>
  </property>
  <property fmtid="{D5CDD505-2E9C-101B-9397-08002B2CF9AE}" pid="3" name="_NewReviewCycle">
    <vt:lpwstr/>
  </property>
  <property fmtid="{D5CDD505-2E9C-101B-9397-08002B2CF9AE}" pid="4" name="_EmailSubject">
    <vt:lpwstr>OMB supporting statement for the Call Report 2008 changes</vt:lpwstr>
  </property>
  <property fmtid="{D5CDD505-2E9C-101B-9397-08002B2CF9AE}" pid="5" name="_AuthorEmail">
    <vt:lpwstr>RStorch@FDIC.gov</vt:lpwstr>
  </property>
  <property fmtid="{D5CDD505-2E9C-101B-9397-08002B2CF9AE}" pid="6" name="_AuthorEmailDisplayName">
    <vt:lpwstr>Storch, Robert</vt:lpwstr>
  </property>
  <property fmtid="{D5CDD505-2E9C-101B-9397-08002B2CF9AE}" pid="7" name="_ReviewingToolsShownOnce">
    <vt:lpwstr/>
  </property>
</Properties>
</file>