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B61" w:rsidRDefault="00514B61" w:rsidP="00DC73AF">
      <w:pPr>
        <w:jc w:val="center"/>
        <w:rPr>
          <w:b/>
          <w:bCs/>
          <w:sz w:val="28"/>
          <w:szCs w:val="28"/>
        </w:rPr>
      </w:pPr>
    </w:p>
    <w:p w:rsidR="00514B61" w:rsidRDefault="00514B61" w:rsidP="00E41609">
      <w:pPr>
        <w:jc w:val="center"/>
        <w:rPr>
          <w:b/>
          <w:bCs/>
          <w:sz w:val="28"/>
          <w:szCs w:val="28"/>
        </w:rPr>
      </w:pPr>
    </w:p>
    <w:p w:rsidR="00514B61" w:rsidRDefault="00514B61" w:rsidP="00E41609">
      <w:pPr>
        <w:jc w:val="center"/>
        <w:rPr>
          <w:b/>
          <w:bCs/>
          <w:sz w:val="28"/>
          <w:szCs w:val="28"/>
        </w:rPr>
      </w:pPr>
    </w:p>
    <w:p w:rsidR="00514B61" w:rsidRDefault="00514B61" w:rsidP="00E41609">
      <w:pPr>
        <w:jc w:val="center"/>
        <w:rPr>
          <w:b/>
          <w:bCs/>
          <w:sz w:val="28"/>
          <w:szCs w:val="28"/>
        </w:rPr>
      </w:pPr>
    </w:p>
    <w:p w:rsidR="00514B61" w:rsidRDefault="00514B61" w:rsidP="00E41609">
      <w:pPr>
        <w:jc w:val="center"/>
        <w:rPr>
          <w:b/>
          <w:bCs/>
          <w:sz w:val="28"/>
          <w:szCs w:val="28"/>
        </w:rPr>
      </w:pPr>
      <w:r>
        <w:rPr>
          <w:b/>
          <w:bCs/>
          <w:sz w:val="28"/>
          <w:szCs w:val="28"/>
        </w:rPr>
        <w:t>Supporting Statement B For:</w:t>
      </w:r>
    </w:p>
    <w:p w:rsidR="00514B61" w:rsidRDefault="00514B61" w:rsidP="00E41609">
      <w:pPr>
        <w:jc w:val="center"/>
        <w:rPr>
          <w:b/>
          <w:bCs/>
          <w:sz w:val="28"/>
          <w:szCs w:val="28"/>
        </w:rPr>
      </w:pPr>
    </w:p>
    <w:p w:rsidR="00514B61" w:rsidRPr="00ED78C5" w:rsidRDefault="00514B61" w:rsidP="00245B99">
      <w:pPr>
        <w:jc w:val="center"/>
        <w:rPr>
          <w:b/>
          <w:bCs/>
          <w:sz w:val="32"/>
          <w:szCs w:val="32"/>
        </w:rPr>
      </w:pPr>
    </w:p>
    <w:p w:rsidR="00514B61" w:rsidRPr="00401AEE" w:rsidRDefault="00514B61" w:rsidP="00245B99">
      <w:pPr>
        <w:jc w:val="center"/>
        <w:rPr>
          <w:b/>
          <w:bCs/>
          <w:sz w:val="32"/>
          <w:szCs w:val="32"/>
        </w:rPr>
      </w:pPr>
      <w:r w:rsidRPr="00401AEE">
        <w:rPr>
          <w:b/>
          <w:bCs/>
          <w:sz w:val="32"/>
          <w:szCs w:val="32"/>
        </w:rPr>
        <w:t xml:space="preserve">Follow-up of Kidney Cancer Patients from the </w:t>
      </w:r>
      <w:smartTag w:uri="urn:schemas-microsoft-com:office:smarttags" w:element="place">
        <w:smartTag w:uri="urn:schemas-microsoft-com:office:smarttags" w:element="PlaceName">
          <w:r w:rsidRPr="00401AEE">
            <w:rPr>
              <w:b/>
              <w:bCs/>
              <w:sz w:val="32"/>
              <w:szCs w:val="32"/>
            </w:rPr>
            <w:t>Central</w:t>
          </w:r>
        </w:smartTag>
        <w:r w:rsidRPr="00401AEE">
          <w:rPr>
            <w:b/>
            <w:bCs/>
            <w:sz w:val="32"/>
            <w:szCs w:val="32"/>
          </w:rPr>
          <w:t xml:space="preserve"> </w:t>
        </w:r>
        <w:smartTag w:uri="urn:schemas-microsoft-com:office:smarttags" w:element="PlaceName">
          <w:r w:rsidRPr="00401AEE">
            <w:rPr>
              <w:b/>
              <w:bCs/>
              <w:sz w:val="32"/>
              <w:szCs w:val="32"/>
            </w:rPr>
            <w:t>European</w:t>
          </w:r>
        </w:smartTag>
        <w:r w:rsidRPr="00401AEE">
          <w:rPr>
            <w:b/>
            <w:bCs/>
            <w:sz w:val="32"/>
            <w:szCs w:val="32"/>
          </w:rPr>
          <w:t xml:space="preserve"> </w:t>
        </w:r>
        <w:smartTag w:uri="urn:schemas-microsoft-com:office:smarttags" w:element="PlaceType">
          <w:r w:rsidRPr="00401AEE">
            <w:rPr>
              <w:b/>
              <w:bCs/>
              <w:sz w:val="32"/>
              <w:szCs w:val="32"/>
            </w:rPr>
            <w:t>Multicenter</w:t>
          </w:r>
        </w:smartTag>
      </w:smartTag>
      <w:r w:rsidRPr="00401AEE">
        <w:rPr>
          <w:b/>
          <w:bCs/>
          <w:sz w:val="32"/>
          <w:szCs w:val="32"/>
        </w:rPr>
        <w:t xml:space="preserve"> Case-Control Study (CEERCC) (</w:t>
      </w:r>
      <w:smartTag w:uri="urn:schemas-microsoft-com:office:smarttags" w:element="stockticker">
        <w:r w:rsidRPr="00401AEE">
          <w:rPr>
            <w:b/>
            <w:bCs/>
            <w:sz w:val="32"/>
            <w:szCs w:val="32"/>
          </w:rPr>
          <w:t>NCI</w:t>
        </w:r>
      </w:smartTag>
      <w:r w:rsidRPr="00401AEE">
        <w:rPr>
          <w:b/>
          <w:bCs/>
          <w:sz w:val="32"/>
          <w:szCs w:val="32"/>
        </w:rPr>
        <w:t>)</w:t>
      </w:r>
    </w:p>
    <w:p w:rsidR="00514B61" w:rsidRPr="009E30DD" w:rsidRDefault="00514B61" w:rsidP="00245B99">
      <w:pPr>
        <w:jc w:val="center"/>
        <w:rPr>
          <w:b/>
          <w:bCs/>
          <w:sz w:val="28"/>
          <w:szCs w:val="28"/>
        </w:rPr>
      </w:pPr>
    </w:p>
    <w:p w:rsidR="00514B61" w:rsidRPr="009E30DD" w:rsidRDefault="00514B61" w:rsidP="00245B99">
      <w:pPr>
        <w:jc w:val="center"/>
        <w:rPr>
          <w:b/>
          <w:bCs/>
          <w:sz w:val="28"/>
          <w:szCs w:val="28"/>
        </w:rPr>
      </w:pPr>
    </w:p>
    <w:p w:rsidR="00514B61" w:rsidRPr="009E30DD" w:rsidRDefault="00514B61" w:rsidP="00245B99">
      <w:pPr>
        <w:jc w:val="center"/>
        <w:rPr>
          <w:sz w:val="28"/>
          <w:szCs w:val="28"/>
        </w:rPr>
      </w:pPr>
      <w:r>
        <w:rPr>
          <w:sz w:val="32"/>
          <w:szCs w:val="32"/>
        </w:rPr>
        <w:t>12</w:t>
      </w:r>
      <w:r w:rsidRPr="00342646">
        <w:rPr>
          <w:sz w:val="32"/>
          <w:szCs w:val="32"/>
        </w:rPr>
        <w:t>/</w:t>
      </w:r>
      <w:r>
        <w:rPr>
          <w:sz w:val="32"/>
          <w:szCs w:val="32"/>
        </w:rPr>
        <w:t>8</w:t>
      </w:r>
      <w:r w:rsidRPr="00342646">
        <w:rPr>
          <w:sz w:val="32"/>
          <w:szCs w:val="32"/>
        </w:rPr>
        <w:t>/2008</w:t>
      </w:r>
    </w:p>
    <w:p w:rsidR="00514B61" w:rsidRPr="009E30DD" w:rsidRDefault="00514B61" w:rsidP="00245B99">
      <w:pPr>
        <w:jc w:val="center"/>
        <w:rPr>
          <w:b/>
          <w:bCs/>
          <w:sz w:val="28"/>
          <w:szCs w:val="28"/>
        </w:rPr>
      </w:pPr>
    </w:p>
    <w:p w:rsidR="00514B61" w:rsidRPr="009E30DD" w:rsidRDefault="00514B61" w:rsidP="00245B99">
      <w:pPr>
        <w:jc w:val="center"/>
        <w:rPr>
          <w:b/>
          <w:bCs/>
          <w:sz w:val="28"/>
          <w:szCs w:val="28"/>
        </w:rPr>
      </w:pPr>
    </w:p>
    <w:p w:rsidR="00514B61" w:rsidRPr="009E30DD" w:rsidRDefault="00514B61" w:rsidP="00245B99">
      <w:pPr>
        <w:jc w:val="center"/>
        <w:rPr>
          <w:b/>
          <w:bCs/>
        </w:rPr>
      </w:pPr>
    </w:p>
    <w:p w:rsidR="00514B61" w:rsidRPr="009E30DD" w:rsidRDefault="00514B61" w:rsidP="00245B99">
      <w:pPr>
        <w:jc w:val="center"/>
        <w:rPr>
          <w:b/>
          <w:bCs/>
          <w:sz w:val="28"/>
          <w:szCs w:val="28"/>
        </w:rPr>
      </w:pPr>
      <w:r w:rsidRPr="009E30DD">
        <w:rPr>
          <w:b/>
          <w:bCs/>
          <w:sz w:val="28"/>
          <w:szCs w:val="28"/>
        </w:rPr>
        <w:t xml:space="preserve">Lee E. Moore, PhD, </w:t>
      </w:r>
      <w:smartTag w:uri="urn:schemas-microsoft-com:office:smarttags" w:element="stockticker">
        <w:r w:rsidRPr="009E30DD">
          <w:rPr>
            <w:b/>
            <w:bCs/>
            <w:sz w:val="28"/>
            <w:szCs w:val="28"/>
          </w:rPr>
          <w:t>MPH</w:t>
        </w:r>
      </w:smartTag>
    </w:p>
    <w:p w:rsidR="00514B61" w:rsidRDefault="00514B61" w:rsidP="00245B99">
      <w:pPr>
        <w:jc w:val="center"/>
        <w:rPr>
          <w:b/>
          <w:bCs/>
          <w:sz w:val="28"/>
          <w:szCs w:val="28"/>
        </w:rPr>
      </w:pPr>
      <w:r w:rsidRPr="009E30DD">
        <w:rPr>
          <w:b/>
          <w:bCs/>
          <w:sz w:val="28"/>
          <w:szCs w:val="28"/>
        </w:rPr>
        <w:t>Investigator</w:t>
      </w:r>
    </w:p>
    <w:p w:rsidR="00514B61" w:rsidRPr="009E30DD" w:rsidRDefault="00514B61" w:rsidP="00245B99">
      <w:pPr>
        <w:jc w:val="center"/>
        <w:rPr>
          <w:b/>
          <w:bCs/>
          <w:sz w:val="28"/>
          <w:szCs w:val="28"/>
        </w:rPr>
      </w:pPr>
    </w:p>
    <w:p w:rsidR="00514B61" w:rsidRPr="009E30DD" w:rsidRDefault="00514B61" w:rsidP="00245B99">
      <w:pPr>
        <w:jc w:val="center"/>
        <w:rPr>
          <w:b/>
          <w:bCs/>
          <w:sz w:val="28"/>
          <w:szCs w:val="28"/>
        </w:rPr>
      </w:pPr>
      <w:r w:rsidRPr="009E30DD">
        <w:rPr>
          <w:b/>
          <w:bCs/>
          <w:sz w:val="28"/>
          <w:szCs w:val="28"/>
        </w:rPr>
        <w:t>Occupational and Environmental Epidemiology Branch</w:t>
      </w:r>
    </w:p>
    <w:p w:rsidR="00514B61" w:rsidRDefault="00514B61" w:rsidP="00245B99">
      <w:pPr>
        <w:jc w:val="center"/>
        <w:rPr>
          <w:b/>
          <w:bCs/>
          <w:sz w:val="28"/>
          <w:szCs w:val="28"/>
        </w:rPr>
      </w:pPr>
      <w:r w:rsidRPr="009E30DD">
        <w:rPr>
          <w:b/>
          <w:bCs/>
          <w:sz w:val="28"/>
          <w:szCs w:val="28"/>
        </w:rPr>
        <w:t>Division of Cancer Epidemiology and Genetics</w:t>
      </w:r>
    </w:p>
    <w:p w:rsidR="00514B61" w:rsidRDefault="00514B61" w:rsidP="00CA147D">
      <w:pPr>
        <w:jc w:val="center"/>
        <w:rPr>
          <w:b/>
          <w:bCs/>
          <w:sz w:val="28"/>
          <w:szCs w:val="28"/>
        </w:rPr>
      </w:pPr>
      <w:r>
        <w:rPr>
          <w:b/>
          <w:bCs/>
          <w:sz w:val="28"/>
          <w:szCs w:val="28"/>
        </w:rPr>
        <w:t>National Cancer Institute</w:t>
      </w:r>
    </w:p>
    <w:p w:rsidR="00514B61" w:rsidRPr="009E30DD" w:rsidRDefault="00514B61" w:rsidP="00CA147D">
      <w:pPr>
        <w:jc w:val="center"/>
        <w:rPr>
          <w:b/>
          <w:bCs/>
          <w:sz w:val="28"/>
          <w:szCs w:val="28"/>
        </w:rPr>
      </w:pPr>
      <w:r>
        <w:rPr>
          <w:b/>
          <w:bCs/>
          <w:sz w:val="28"/>
          <w:szCs w:val="28"/>
        </w:rPr>
        <w:t>National Institutes of Health</w:t>
      </w:r>
    </w:p>
    <w:p w:rsidR="00514B61" w:rsidRPr="009E30DD" w:rsidRDefault="00514B61" w:rsidP="00245B99">
      <w:pPr>
        <w:jc w:val="center"/>
        <w:rPr>
          <w:b/>
          <w:bCs/>
          <w:sz w:val="28"/>
          <w:szCs w:val="28"/>
        </w:rPr>
      </w:pPr>
    </w:p>
    <w:p w:rsidR="00514B61" w:rsidRPr="009E30DD" w:rsidRDefault="00514B61" w:rsidP="00245B99">
      <w:pPr>
        <w:jc w:val="center"/>
        <w:rPr>
          <w:b/>
          <w:bCs/>
          <w:sz w:val="28"/>
          <w:szCs w:val="28"/>
        </w:rPr>
      </w:pPr>
      <w:smartTag w:uri="urn:schemas-microsoft-com:office:smarttags" w:element="stockticker">
        <w:r w:rsidRPr="009E30DD">
          <w:rPr>
            <w:b/>
            <w:bCs/>
            <w:sz w:val="28"/>
            <w:szCs w:val="28"/>
          </w:rPr>
          <w:t>6120 Executive Blvd</w:t>
        </w:r>
      </w:smartTag>
      <w:r w:rsidRPr="009E30DD">
        <w:rPr>
          <w:b/>
          <w:bCs/>
          <w:sz w:val="28"/>
          <w:szCs w:val="28"/>
        </w:rPr>
        <w:t>, EPS 8102</w:t>
      </w:r>
    </w:p>
    <w:p w:rsidR="00514B61" w:rsidRPr="009E30DD" w:rsidRDefault="00514B61" w:rsidP="00245B99">
      <w:pPr>
        <w:jc w:val="center"/>
        <w:rPr>
          <w:b/>
          <w:bCs/>
          <w:sz w:val="28"/>
          <w:szCs w:val="28"/>
        </w:rPr>
      </w:pPr>
      <w:smartTag w:uri="urn:schemas-microsoft-com:office:smarttags" w:element="stockticker">
        <w:smartTag w:uri="urn:schemas-microsoft-com:office:smarttags" w:element="stockticker">
          <w:r w:rsidRPr="009E30DD">
            <w:rPr>
              <w:b/>
              <w:bCs/>
              <w:sz w:val="28"/>
              <w:szCs w:val="28"/>
            </w:rPr>
            <w:t>Bethesda</w:t>
          </w:r>
        </w:smartTag>
        <w:r w:rsidRPr="009E30DD">
          <w:rPr>
            <w:b/>
            <w:bCs/>
            <w:sz w:val="28"/>
            <w:szCs w:val="28"/>
          </w:rPr>
          <w:t xml:space="preserve">, </w:t>
        </w:r>
        <w:smartTag w:uri="urn:schemas-microsoft-com:office:smarttags" w:element="stockticker">
          <w:r w:rsidRPr="009E30DD">
            <w:rPr>
              <w:b/>
              <w:bCs/>
              <w:sz w:val="28"/>
              <w:szCs w:val="28"/>
            </w:rPr>
            <w:t>MD</w:t>
          </w:r>
        </w:smartTag>
        <w:r w:rsidRPr="009E30DD">
          <w:rPr>
            <w:b/>
            <w:bCs/>
            <w:sz w:val="28"/>
            <w:szCs w:val="28"/>
          </w:rPr>
          <w:t xml:space="preserve">  </w:t>
        </w:r>
        <w:smartTag w:uri="urn:schemas-microsoft-com:office:smarttags" w:element="stockticker">
          <w:r w:rsidRPr="009E30DD">
            <w:rPr>
              <w:b/>
              <w:bCs/>
              <w:sz w:val="28"/>
              <w:szCs w:val="28"/>
            </w:rPr>
            <w:t>20892</w:t>
          </w:r>
        </w:smartTag>
      </w:smartTag>
    </w:p>
    <w:p w:rsidR="00514B61" w:rsidRPr="009E30DD" w:rsidRDefault="00514B61" w:rsidP="00245B99">
      <w:pPr>
        <w:jc w:val="center"/>
        <w:rPr>
          <w:b/>
          <w:bCs/>
          <w:sz w:val="28"/>
          <w:szCs w:val="28"/>
        </w:rPr>
      </w:pPr>
      <w:r w:rsidRPr="009E30DD">
        <w:rPr>
          <w:b/>
          <w:bCs/>
          <w:sz w:val="28"/>
          <w:szCs w:val="28"/>
        </w:rPr>
        <w:t>Tel: (301) 496-6427</w:t>
      </w:r>
    </w:p>
    <w:p w:rsidR="00514B61" w:rsidRPr="009E30DD" w:rsidRDefault="00514B61" w:rsidP="00245B99">
      <w:pPr>
        <w:jc w:val="center"/>
        <w:rPr>
          <w:b/>
          <w:bCs/>
          <w:sz w:val="28"/>
          <w:szCs w:val="28"/>
        </w:rPr>
      </w:pPr>
      <w:r w:rsidRPr="009E30DD">
        <w:rPr>
          <w:b/>
          <w:bCs/>
          <w:sz w:val="28"/>
          <w:szCs w:val="28"/>
        </w:rPr>
        <w:t>Fax: (301) 402-1819</w:t>
      </w:r>
    </w:p>
    <w:p w:rsidR="00514B61" w:rsidRPr="009E30DD" w:rsidRDefault="00514B61" w:rsidP="00245B99">
      <w:pPr>
        <w:jc w:val="center"/>
        <w:rPr>
          <w:b/>
          <w:bCs/>
          <w:sz w:val="28"/>
          <w:szCs w:val="28"/>
        </w:rPr>
      </w:pPr>
      <w:r w:rsidRPr="009E30DD">
        <w:rPr>
          <w:b/>
          <w:bCs/>
          <w:sz w:val="28"/>
          <w:szCs w:val="28"/>
        </w:rPr>
        <w:t xml:space="preserve">E-mail: moorele@mail.nih.gov </w:t>
      </w:r>
    </w:p>
    <w:p w:rsidR="00514B61" w:rsidRPr="00A46EE5" w:rsidRDefault="00514B61" w:rsidP="00DC73AF">
      <w:pPr>
        <w:jc w:val="center"/>
        <w:rPr>
          <w:b/>
          <w:bCs/>
          <w:sz w:val="28"/>
          <w:szCs w:val="28"/>
        </w:rPr>
      </w:pPr>
    </w:p>
    <w:p w:rsidR="00514B61" w:rsidRPr="00A05862" w:rsidRDefault="00514B61" w:rsidP="00DC73AF">
      <w:pPr>
        <w:jc w:val="center"/>
        <w:rPr>
          <w:sz w:val="24"/>
          <w:szCs w:val="24"/>
        </w:rPr>
      </w:pPr>
    </w:p>
    <w:p w:rsidR="00514B61" w:rsidRDefault="00514B61" w:rsidP="00DC73AF">
      <w:pPr>
        <w:pStyle w:val="Footer"/>
        <w:rPr>
          <w:sz w:val="20"/>
          <w:szCs w:val="20"/>
        </w:rPr>
      </w:pPr>
    </w:p>
    <w:p w:rsidR="00514B61" w:rsidRPr="00E41609" w:rsidRDefault="00514B61" w:rsidP="00E41609">
      <w:pPr>
        <w:pStyle w:val="P1-StandPara"/>
        <w:tabs>
          <w:tab w:val="left" w:pos="720"/>
          <w:tab w:val="right" w:leader="dot" w:pos="9504"/>
        </w:tabs>
        <w:spacing w:before="120" w:after="120" w:line="240" w:lineRule="atLeast"/>
        <w:ind w:firstLine="0"/>
        <w:jc w:val="center"/>
        <w:rPr>
          <w:b/>
          <w:bCs/>
          <w:sz w:val="24"/>
          <w:szCs w:val="24"/>
        </w:rPr>
      </w:pPr>
      <w:r>
        <w:br w:type="page"/>
      </w:r>
      <w:r w:rsidRPr="00E41609">
        <w:rPr>
          <w:b/>
          <w:bCs/>
          <w:sz w:val="24"/>
          <w:szCs w:val="24"/>
        </w:rPr>
        <w:t>T</w:t>
      </w:r>
      <w:r>
        <w:rPr>
          <w:b/>
          <w:bCs/>
          <w:sz w:val="24"/>
          <w:szCs w:val="24"/>
        </w:rPr>
        <w:t>ABLE OF CONTENTS</w:t>
      </w:r>
    </w:p>
    <w:p w:rsidR="00514B61" w:rsidRPr="00D4199F" w:rsidRDefault="00514B61" w:rsidP="00DD6284">
      <w:pPr>
        <w:pStyle w:val="TOC2"/>
        <w:spacing w:before="288" w:after="288"/>
      </w:pPr>
      <w:r w:rsidRPr="005B6C76">
        <w:fldChar w:fldCharType="begin"/>
      </w:r>
      <w:r w:rsidRPr="005B6C76">
        <w:instrText xml:space="preserve"> TOC \o "1-2" \u </w:instrText>
      </w:r>
      <w:r w:rsidRPr="005B6C76">
        <w:fldChar w:fldCharType="separate"/>
      </w:r>
      <w:r w:rsidRPr="00D4199F">
        <w:t>B.</w:t>
      </w:r>
      <w:r w:rsidRPr="00D4199F">
        <w:tab/>
        <w:t>Collections of information employing statistical methods</w:t>
      </w:r>
      <w:r w:rsidRPr="00D4199F">
        <w:tab/>
      </w:r>
      <w:r>
        <w:t>1</w:t>
      </w:r>
    </w:p>
    <w:p w:rsidR="00514B61" w:rsidRPr="00D4199F" w:rsidRDefault="00514B61" w:rsidP="00DD6284">
      <w:pPr>
        <w:pStyle w:val="TOC2"/>
        <w:spacing w:before="288" w:after="288"/>
        <w:rPr>
          <w:b w:val="0"/>
          <w:bCs w:val="0"/>
          <w:noProof/>
        </w:rPr>
      </w:pPr>
      <w:r w:rsidRPr="00D4199F">
        <w:rPr>
          <w:b w:val="0"/>
          <w:bCs w:val="0"/>
          <w:noProof/>
        </w:rPr>
        <w:t>B.1</w:t>
      </w:r>
      <w:r w:rsidRPr="00D4199F">
        <w:rPr>
          <w:b w:val="0"/>
          <w:bCs w:val="0"/>
          <w:noProof/>
        </w:rPr>
        <w:tab/>
        <w:t xml:space="preserve">Respondent Universe </w:t>
      </w:r>
      <w:smartTag w:uri="urn:schemas-microsoft-com:office:smarttags" w:element="stockticker">
        <w:r w:rsidRPr="00D4199F">
          <w:rPr>
            <w:b w:val="0"/>
            <w:bCs w:val="0"/>
            <w:noProof/>
          </w:rPr>
          <w:t>and</w:t>
        </w:r>
      </w:smartTag>
      <w:r w:rsidRPr="00D4199F">
        <w:rPr>
          <w:b w:val="0"/>
          <w:bCs w:val="0"/>
          <w:noProof/>
        </w:rPr>
        <w:t xml:space="preserve"> Sampling Methods</w:t>
      </w:r>
      <w:r w:rsidRPr="00D4199F">
        <w:rPr>
          <w:b w:val="0"/>
          <w:bCs w:val="0"/>
          <w:noProof/>
        </w:rPr>
        <w:tab/>
      </w:r>
      <w:r>
        <w:rPr>
          <w:b w:val="0"/>
          <w:bCs w:val="0"/>
          <w:noProof/>
        </w:rPr>
        <w:t>1</w:t>
      </w:r>
    </w:p>
    <w:p w:rsidR="00514B61" w:rsidRPr="00D4199F" w:rsidRDefault="00514B61" w:rsidP="00DD6284">
      <w:pPr>
        <w:pStyle w:val="TOC2"/>
        <w:spacing w:before="288" w:after="288"/>
        <w:rPr>
          <w:b w:val="0"/>
          <w:bCs w:val="0"/>
          <w:noProof/>
        </w:rPr>
      </w:pPr>
      <w:r w:rsidRPr="00D4199F">
        <w:rPr>
          <w:b w:val="0"/>
          <w:bCs w:val="0"/>
          <w:noProof/>
        </w:rPr>
        <w:t>B.2.</w:t>
      </w:r>
      <w:r w:rsidRPr="00D4199F">
        <w:rPr>
          <w:b w:val="0"/>
          <w:bCs w:val="0"/>
          <w:noProof/>
        </w:rPr>
        <w:tab/>
        <w:t>Procedures for the Collection of Information</w:t>
      </w:r>
      <w:r w:rsidRPr="00D4199F">
        <w:rPr>
          <w:b w:val="0"/>
          <w:bCs w:val="0"/>
          <w:noProof/>
        </w:rPr>
        <w:tab/>
      </w:r>
      <w:r>
        <w:rPr>
          <w:b w:val="0"/>
          <w:bCs w:val="0"/>
          <w:noProof/>
        </w:rPr>
        <w:t>2</w:t>
      </w:r>
    </w:p>
    <w:p w:rsidR="00514B61" w:rsidRPr="00D4199F" w:rsidRDefault="00514B61" w:rsidP="00DD6284">
      <w:pPr>
        <w:pStyle w:val="TOC2"/>
        <w:spacing w:before="288" w:after="288"/>
        <w:rPr>
          <w:b w:val="0"/>
          <w:bCs w:val="0"/>
          <w:noProof/>
        </w:rPr>
      </w:pPr>
      <w:r w:rsidRPr="00D4199F">
        <w:rPr>
          <w:b w:val="0"/>
          <w:bCs w:val="0"/>
          <w:noProof/>
        </w:rPr>
        <w:t>B.3</w:t>
      </w:r>
      <w:r w:rsidRPr="00D4199F">
        <w:rPr>
          <w:b w:val="0"/>
          <w:bCs w:val="0"/>
          <w:noProof/>
        </w:rPr>
        <w:tab/>
        <w:t xml:space="preserve">Methods to Maximize Response Rates </w:t>
      </w:r>
      <w:smartTag w:uri="urn:schemas-microsoft-com:office:smarttags" w:element="stockticker">
        <w:r w:rsidRPr="00D4199F">
          <w:rPr>
            <w:b w:val="0"/>
            <w:bCs w:val="0"/>
            <w:noProof/>
          </w:rPr>
          <w:t>and</w:t>
        </w:r>
      </w:smartTag>
      <w:r w:rsidRPr="00D4199F">
        <w:rPr>
          <w:b w:val="0"/>
          <w:bCs w:val="0"/>
          <w:noProof/>
        </w:rPr>
        <w:t xml:space="preserve"> Deal with Non-response</w:t>
      </w:r>
      <w:r w:rsidRPr="00D4199F">
        <w:rPr>
          <w:b w:val="0"/>
          <w:bCs w:val="0"/>
          <w:noProof/>
        </w:rPr>
        <w:tab/>
      </w:r>
      <w:r>
        <w:rPr>
          <w:b w:val="0"/>
          <w:bCs w:val="0"/>
          <w:noProof/>
        </w:rPr>
        <w:t>4</w:t>
      </w:r>
    </w:p>
    <w:p w:rsidR="00514B61" w:rsidRPr="00D4199F" w:rsidRDefault="00514B61" w:rsidP="00DD6284">
      <w:pPr>
        <w:pStyle w:val="TOC2"/>
        <w:spacing w:before="288" w:after="288"/>
        <w:rPr>
          <w:b w:val="0"/>
          <w:bCs w:val="0"/>
          <w:noProof/>
        </w:rPr>
      </w:pPr>
      <w:r w:rsidRPr="00D4199F">
        <w:rPr>
          <w:b w:val="0"/>
          <w:bCs w:val="0"/>
          <w:noProof/>
        </w:rPr>
        <w:t>B.4</w:t>
      </w:r>
      <w:r w:rsidRPr="00D4199F">
        <w:rPr>
          <w:b w:val="0"/>
          <w:bCs w:val="0"/>
          <w:noProof/>
        </w:rPr>
        <w:tab/>
        <w:t>Test of Procedures or Methods to be Undertaken</w:t>
      </w:r>
      <w:r w:rsidRPr="00D4199F">
        <w:rPr>
          <w:b w:val="0"/>
          <w:bCs w:val="0"/>
          <w:noProof/>
        </w:rPr>
        <w:tab/>
      </w:r>
      <w:r>
        <w:rPr>
          <w:b w:val="0"/>
          <w:bCs w:val="0"/>
          <w:noProof/>
        </w:rPr>
        <w:t>5</w:t>
      </w:r>
    </w:p>
    <w:p w:rsidR="00514B61" w:rsidRPr="00D4199F" w:rsidRDefault="00514B61" w:rsidP="00D4199F">
      <w:pPr>
        <w:pStyle w:val="TOC2"/>
        <w:spacing w:beforeLines="0" w:afterLines="0" w:line="240" w:lineRule="exact"/>
        <w:rPr>
          <w:b w:val="0"/>
          <w:bCs w:val="0"/>
          <w:noProof/>
        </w:rPr>
      </w:pPr>
      <w:r w:rsidRPr="00D4199F">
        <w:rPr>
          <w:b w:val="0"/>
          <w:bCs w:val="0"/>
          <w:noProof/>
        </w:rPr>
        <w:t>B.5</w:t>
      </w:r>
      <w:r w:rsidRPr="00D4199F">
        <w:rPr>
          <w:b w:val="0"/>
          <w:bCs w:val="0"/>
          <w:noProof/>
        </w:rPr>
        <w:tab/>
        <w:t xml:space="preserve">Individuals Consulted on Statistical Aspects </w:t>
      </w:r>
      <w:smartTag w:uri="urn:schemas-microsoft-com:office:smarttags" w:element="stockticker">
        <w:r w:rsidRPr="00D4199F">
          <w:rPr>
            <w:b w:val="0"/>
            <w:bCs w:val="0"/>
            <w:noProof/>
          </w:rPr>
          <w:t>and</w:t>
        </w:r>
      </w:smartTag>
      <w:r w:rsidRPr="00D4199F">
        <w:rPr>
          <w:b w:val="0"/>
          <w:bCs w:val="0"/>
          <w:noProof/>
        </w:rPr>
        <w:t xml:space="preserve"> Individuals Collecting </w:t>
      </w:r>
    </w:p>
    <w:p w:rsidR="00514B61" w:rsidRPr="00226916" w:rsidRDefault="00514B61" w:rsidP="00D4199F">
      <w:pPr>
        <w:pStyle w:val="TOC2"/>
        <w:spacing w:beforeLines="0" w:afterLines="0" w:line="240" w:lineRule="exact"/>
        <w:rPr>
          <w:noProof/>
        </w:rPr>
      </w:pPr>
      <w:r w:rsidRPr="00D4199F">
        <w:rPr>
          <w:b w:val="0"/>
          <w:bCs w:val="0"/>
          <w:noProof/>
        </w:rPr>
        <w:tab/>
      </w:r>
      <w:smartTag w:uri="urn:schemas-microsoft-com:office:smarttags" w:element="stockticker">
        <w:r w:rsidRPr="00D4199F">
          <w:rPr>
            <w:b w:val="0"/>
            <w:bCs w:val="0"/>
            <w:noProof/>
          </w:rPr>
          <w:t>and</w:t>
        </w:r>
      </w:smartTag>
      <w:r w:rsidRPr="00D4199F">
        <w:rPr>
          <w:b w:val="0"/>
          <w:bCs w:val="0"/>
          <w:noProof/>
        </w:rPr>
        <w:t>/or Analyzing Data</w:t>
      </w:r>
      <w:r w:rsidRPr="005B6C76">
        <w:rPr>
          <w:noProof/>
        </w:rPr>
        <w:tab/>
      </w:r>
      <w:r>
        <w:rPr>
          <w:b w:val="0"/>
          <w:bCs w:val="0"/>
          <w:noProof/>
        </w:rPr>
        <w:t>5</w:t>
      </w:r>
    </w:p>
    <w:p w:rsidR="00514B61" w:rsidRPr="005B6C76" w:rsidRDefault="00514B61" w:rsidP="00DD6284">
      <w:pPr>
        <w:pStyle w:val="TOC2"/>
        <w:spacing w:before="288" w:after="288"/>
        <w:rPr>
          <w:noProof/>
        </w:rPr>
      </w:pPr>
    </w:p>
    <w:p w:rsidR="00514B61" w:rsidRPr="005B6C76" w:rsidRDefault="00514B61" w:rsidP="00DD6284">
      <w:pPr>
        <w:pStyle w:val="TOC2"/>
        <w:spacing w:before="288" w:after="288"/>
        <w:rPr>
          <w:noProof/>
        </w:rPr>
      </w:pPr>
    </w:p>
    <w:p w:rsidR="00514B61" w:rsidRPr="004359F8" w:rsidRDefault="00514B61" w:rsidP="00B14A6B">
      <w:pPr>
        <w:pStyle w:val="P1-StandPara"/>
        <w:ind w:right="-216" w:firstLine="0"/>
        <w:jc w:val="center"/>
        <w:rPr>
          <w:color w:val="000000"/>
          <w:sz w:val="24"/>
          <w:szCs w:val="24"/>
        </w:rPr>
      </w:pPr>
      <w:r w:rsidRPr="005B6C76">
        <w:fldChar w:fldCharType="end"/>
      </w:r>
      <w:r>
        <w:rPr>
          <w:smallCaps/>
          <w:noProof/>
          <w:sz w:val="24"/>
          <w:szCs w:val="24"/>
        </w:rPr>
        <w:br w:type="page"/>
      </w:r>
      <w:r w:rsidRPr="004359F8">
        <w:rPr>
          <w:b/>
          <w:bCs/>
          <w:caps/>
          <w:noProof/>
          <w:color w:val="000000"/>
          <w:sz w:val="24"/>
          <w:szCs w:val="24"/>
        </w:rPr>
        <w:t>List of Attachments</w:t>
      </w:r>
    </w:p>
    <w:p w:rsidR="00514B61" w:rsidRDefault="00514B61" w:rsidP="001B5820">
      <w:pPr>
        <w:pStyle w:val="P1-StandPara"/>
        <w:numPr>
          <w:ilvl w:val="0"/>
          <w:numId w:val="6"/>
        </w:numPr>
        <w:tabs>
          <w:tab w:val="clear" w:pos="1440"/>
          <w:tab w:val="num" w:pos="1080"/>
        </w:tabs>
        <w:spacing w:line="240" w:lineRule="auto"/>
        <w:ind w:left="1080" w:right="-216"/>
        <w:rPr>
          <w:sz w:val="24"/>
          <w:szCs w:val="24"/>
        </w:rPr>
      </w:pPr>
      <w:r>
        <w:rPr>
          <w:sz w:val="24"/>
          <w:szCs w:val="24"/>
        </w:rPr>
        <w:t xml:space="preserve">Attachment 1: </w:t>
      </w:r>
      <w:r>
        <w:rPr>
          <w:sz w:val="24"/>
          <w:szCs w:val="24"/>
        </w:rPr>
        <w:tab/>
        <w:t xml:space="preserve">List of Papers published and in press, submitted from the Central </w:t>
      </w:r>
    </w:p>
    <w:p w:rsidR="00514B61" w:rsidRDefault="00514B61" w:rsidP="001B5820">
      <w:pPr>
        <w:pStyle w:val="P1-StandPara"/>
        <w:spacing w:line="240" w:lineRule="auto"/>
        <w:ind w:left="1080" w:right="-216" w:firstLine="0"/>
        <w:rPr>
          <w:sz w:val="24"/>
          <w:szCs w:val="24"/>
        </w:rPr>
      </w:pPr>
      <w:r>
        <w:rPr>
          <w:sz w:val="24"/>
          <w:szCs w:val="24"/>
        </w:rPr>
        <w:t xml:space="preserve">                </w:t>
      </w:r>
      <w:r>
        <w:rPr>
          <w:sz w:val="24"/>
          <w:szCs w:val="24"/>
        </w:rPr>
        <w:tab/>
      </w:r>
      <w:r>
        <w:rPr>
          <w:sz w:val="24"/>
          <w:szCs w:val="24"/>
        </w:rPr>
        <w:tab/>
        <w:t>European Renal Cancer Case-Control Study</w:t>
      </w:r>
    </w:p>
    <w:p w:rsidR="00514B61" w:rsidRDefault="00514B61" w:rsidP="001B5820">
      <w:pPr>
        <w:pStyle w:val="P1-StandPara"/>
        <w:spacing w:line="240" w:lineRule="auto"/>
        <w:ind w:left="1080" w:right="-216" w:firstLine="0"/>
        <w:rPr>
          <w:sz w:val="24"/>
          <w:szCs w:val="24"/>
        </w:rPr>
      </w:pPr>
    </w:p>
    <w:p w:rsidR="00514B61" w:rsidRDefault="00514B61" w:rsidP="001B5820">
      <w:pPr>
        <w:pStyle w:val="P1-StandPara"/>
        <w:numPr>
          <w:ilvl w:val="0"/>
          <w:numId w:val="6"/>
        </w:numPr>
        <w:tabs>
          <w:tab w:val="clear" w:pos="1440"/>
          <w:tab w:val="num" w:pos="1080"/>
        </w:tabs>
        <w:ind w:left="1080" w:right="-216"/>
        <w:rPr>
          <w:sz w:val="24"/>
          <w:szCs w:val="24"/>
        </w:rPr>
      </w:pPr>
      <w:r>
        <w:rPr>
          <w:sz w:val="24"/>
          <w:szCs w:val="24"/>
        </w:rPr>
        <w:t xml:space="preserve">Attachment 2: </w:t>
      </w:r>
      <w:r>
        <w:rPr>
          <w:sz w:val="24"/>
          <w:szCs w:val="24"/>
        </w:rPr>
        <w:tab/>
        <w:t>Protocol for Pilot Study and Survival Study</w:t>
      </w:r>
    </w:p>
    <w:p w:rsidR="00514B61" w:rsidRPr="00703BBD" w:rsidRDefault="00514B61" w:rsidP="001B5820">
      <w:pPr>
        <w:pStyle w:val="P1-StandPara"/>
        <w:numPr>
          <w:ilvl w:val="0"/>
          <w:numId w:val="6"/>
        </w:numPr>
        <w:tabs>
          <w:tab w:val="clear" w:pos="1440"/>
          <w:tab w:val="num" w:pos="1080"/>
          <w:tab w:val="left" w:pos="2880"/>
        </w:tabs>
        <w:ind w:left="1080" w:right="-216"/>
        <w:rPr>
          <w:sz w:val="24"/>
          <w:szCs w:val="24"/>
        </w:rPr>
      </w:pPr>
      <w:r w:rsidRPr="00B068D2">
        <w:rPr>
          <w:sz w:val="24"/>
          <w:szCs w:val="24"/>
        </w:rPr>
        <w:t xml:space="preserve">Attachment </w:t>
      </w:r>
      <w:r>
        <w:rPr>
          <w:sz w:val="24"/>
          <w:szCs w:val="24"/>
        </w:rPr>
        <w:t>3</w:t>
      </w:r>
      <w:r w:rsidRPr="00B068D2">
        <w:rPr>
          <w:sz w:val="24"/>
          <w:szCs w:val="24"/>
        </w:rPr>
        <w:t>:</w:t>
      </w:r>
      <w:r>
        <w:rPr>
          <w:color w:val="FF0000"/>
          <w:sz w:val="24"/>
          <w:szCs w:val="24"/>
        </w:rPr>
        <w:t xml:space="preserve">  </w:t>
      </w:r>
      <w:r>
        <w:rPr>
          <w:color w:val="FF0000"/>
          <w:sz w:val="24"/>
          <w:szCs w:val="24"/>
        </w:rPr>
        <w:tab/>
      </w:r>
      <w:r w:rsidRPr="00703BBD">
        <w:rPr>
          <w:sz w:val="24"/>
          <w:szCs w:val="24"/>
        </w:rPr>
        <w:t>IRB approval</w:t>
      </w:r>
    </w:p>
    <w:p w:rsidR="00514B61" w:rsidRDefault="00514B61" w:rsidP="001B5820">
      <w:pPr>
        <w:pStyle w:val="P1-StandPara"/>
        <w:numPr>
          <w:ilvl w:val="0"/>
          <w:numId w:val="6"/>
        </w:numPr>
        <w:tabs>
          <w:tab w:val="clear" w:pos="1440"/>
          <w:tab w:val="num" w:pos="1080"/>
        </w:tabs>
        <w:ind w:left="1080" w:right="-216"/>
        <w:rPr>
          <w:sz w:val="24"/>
          <w:szCs w:val="24"/>
        </w:rPr>
      </w:pPr>
      <w:r>
        <w:rPr>
          <w:sz w:val="24"/>
          <w:szCs w:val="24"/>
        </w:rPr>
        <w:t xml:space="preserve">Attachment 4:  </w:t>
      </w:r>
      <w:r>
        <w:rPr>
          <w:sz w:val="24"/>
          <w:szCs w:val="24"/>
        </w:rPr>
        <w:tab/>
        <w:t xml:space="preserve">NIH </w:t>
      </w:r>
      <w:r w:rsidRPr="00703BBD">
        <w:rPr>
          <w:sz w:val="24"/>
          <w:szCs w:val="24"/>
        </w:rPr>
        <w:t>Privacy Act Memo</w:t>
      </w:r>
    </w:p>
    <w:p w:rsidR="00514B61" w:rsidRDefault="00514B61" w:rsidP="001B5820">
      <w:pPr>
        <w:pStyle w:val="P1-StandPara"/>
        <w:numPr>
          <w:ilvl w:val="0"/>
          <w:numId w:val="6"/>
        </w:numPr>
        <w:tabs>
          <w:tab w:val="clear" w:pos="1440"/>
          <w:tab w:val="num" w:pos="1080"/>
        </w:tabs>
        <w:ind w:left="1080" w:right="-216"/>
        <w:rPr>
          <w:sz w:val="24"/>
          <w:szCs w:val="24"/>
        </w:rPr>
      </w:pPr>
      <w:r>
        <w:rPr>
          <w:sz w:val="24"/>
          <w:szCs w:val="24"/>
        </w:rPr>
        <w:t xml:space="preserve">Attachment 5:  </w:t>
      </w:r>
      <w:r>
        <w:rPr>
          <w:sz w:val="24"/>
          <w:szCs w:val="24"/>
        </w:rPr>
        <w:tab/>
        <w:t>Consent forms</w:t>
      </w:r>
    </w:p>
    <w:p w:rsidR="00514B61" w:rsidRDefault="00514B61" w:rsidP="001B5820">
      <w:pPr>
        <w:pStyle w:val="P1-StandPara"/>
        <w:numPr>
          <w:ilvl w:val="0"/>
          <w:numId w:val="6"/>
        </w:numPr>
        <w:tabs>
          <w:tab w:val="clear" w:pos="1440"/>
          <w:tab w:val="num" w:pos="1080"/>
        </w:tabs>
        <w:ind w:left="1080" w:right="-216"/>
        <w:rPr>
          <w:sz w:val="24"/>
          <w:szCs w:val="24"/>
        </w:rPr>
      </w:pPr>
      <w:r>
        <w:rPr>
          <w:sz w:val="24"/>
          <w:szCs w:val="24"/>
        </w:rPr>
        <w:t xml:space="preserve">Attachment 6: </w:t>
      </w:r>
      <w:r>
        <w:rPr>
          <w:sz w:val="24"/>
          <w:szCs w:val="24"/>
        </w:rPr>
        <w:tab/>
      </w:r>
      <w:r w:rsidRPr="00703BBD">
        <w:rPr>
          <w:sz w:val="24"/>
          <w:szCs w:val="24"/>
        </w:rPr>
        <w:t>Data Collection Instruments</w:t>
      </w:r>
      <w:r>
        <w:rPr>
          <w:sz w:val="24"/>
          <w:szCs w:val="24"/>
        </w:rPr>
        <w:t>-Questionnaire</w:t>
      </w:r>
    </w:p>
    <w:p w:rsidR="00514B61" w:rsidRDefault="00514B61" w:rsidP="001B5820">
      <w:pPr>
        <w:pStyle w:val="P1-StandPara"/>
        <w:numPr>
          <w:ilvl w:val="0"/>
          <w:numId w:val="6"/>
        </w:numPr>
        <w:tabs>
          <w:tab w:val="clear" w:pos="1440"/>
          <w:tab w:val="num" w:pos="1080"/>
        </w:tabs>
        <w:ind w:left="1080" w:right="-216"/>
        <w:rPr>
          <w:sz w:val="24"/>
          <w:szCs w:val="24"/>
        </w:rPr>
      </w:pPr>
      <w:r>
        <w:rPr>
          <w:sz w:val="24"/>
          <w:szCs w:val="24"/>
        </w:rPr>
        <w:t xml:space="preserve">Attachment 7:  </w:t>
      </w:r>
      <w:r>
        <w:rPr>
          <w:sz w:val="24"/>
          <w:szCs w:val="24"/>
        </w:rPr>
        <w:tab/>
        <w:t>Abstraction form</w:t>
      </w:r>
    </w:p>
    <w:p w:rsidR="00514B61" w:rsidRDefault="00514B61" w:rsidP="001B5820">
      <w:pPr>
        <w:pStyle w:val="P1-StandPara"/>
        <w:numPr>
          <w:ilvl w:val="0"/>
          <w:numId w:val="6"/>
        </w:numPr>
        <w:tabs>
          <w:tab w:val="clear" w:pos="1440"/>
          <w:tab w:val="num" w:pos="1080"/>
        </w:tabs>
        <w:ind w:left="1080" w:right="-216"/>
        <w:rPr>
          <w:sz w:val="24"/>
          <w:szCs w:val="24"/>
        </w:rPr>
      </w:pPr>
      <w:r>
        <w:rPr>
          <w:sz w:val="24"/>
          <w:szCs w:val="24"/>
        </w:rPr>
        <w:t>Attachment 8:</w:t>
      </w:r>
      <w:r>
        <w:rPr>
          <w:sz w:val="24"/>
          <w:szCs w:val="24"/>
        </w:rPr>
        <w:tab/>
        <w:t>Sample size calculations</w:t>
      </w:r>
    </w:p>
    <w:p w:rsidR="00514B61" w:rsidRPr="00A526D0" w:rsidRDefault="00514B61" w:rsidP="0095676A">
      <w:pPr>
        <w:pStyle w:val="P1-StandPara"/>
        <w:tabs>
          <w:tab w:val="left" w:pos="2700"/>
        </w:tabs>
        <w:spacing w:line="240" w:lineRule="auto"/>
        <w:ind w:left="720" w:right="-216" w:firstLine="0"/>
        <w:rPr>
          <w:sz w:val="24"/>
          <w:szCs w:val="24"/>
        </w:rPr>
        <w:sectPr w:rsidR="00514B61" w:rsidRPr="00A526D0" w:rsidSect="00CF5F46">
          <w:footerReference w:type="even" r:id="rId7"/>
          <w:footerReference w:type="default" r:id="rId8"/>
          <w:pgSz w:w="12240" w:h="15840" w:code="1"/>
          <w:pgMar w:top="1440" w:right="1440" w:bottom="1440" w:left="1440" w:header="720" w:footer="432" w:gutter="0"/>
          <w:pgNumType w:fmt="lowerRoman" w:start="1"/>
          <w:cols w:space="720"/>
          <w:noEndnote/>
          <w:titlePg/>
        </w:sectPr>
      </w:pPr>
    </w:p>
    <w:p w:rsidR="00514B61" w:rsidRDefault="00514B61" w:rsidP="00E41609">
      <w:pPr>
        <w:pStyle w:val="Heading1"/>
        <w:tabs>
          <w:tab w:val="clear" w:pos="1152"/>
          <w:tab w:val="left" w:pos="720"/>
        </w:tabs>
        <w:spacing w:after="0" w:line="240" w:lineRule="auto"/>
        <w:ind w:left="0" w:firstLine="0"/>
        <w:jc w:val="left"/>
        <w:rPr>
          <w:sz w:val="24"/>
          <w:szCs w:val="24"/>
        </w:rPr>
      </w:pPr>
      <w:bookmarkStart w:id="0" w:name="_Toc443881762"/>
      <w:bookmarkStart w:id="1" w:name="_Toc451592249"/>
      <w:bookmarkStart w:id="2" w:name="_Toc5610290"/>
      <w:bookmarkStart w:id="3" w:name="_Toc99178796"/>
      <w:r w:rsidRPr="0041038B">
        <w:rPr>
          <w:sz w:val="24"/>
          <w:szCs w:val="24"/>
        </w:rPr>
        <w:t>B.</w:t>
      </w:r>
      <w:r>
        <w:rPr>
          <w:sz w:val="24"/>
          <w:szCs w:val="24"/>
        </w:rPr>
        <w:tab/>
      </w:r>
      <w:r w:rsidRPr="0041038B">
        <w:rPr>
          <w:sz w:val="24"/>
          <w:szCs w:val="24"/>
        </w:rPr>
        <w:t xml:space="preserve">COLLECTIONS OF INFORMATION EMPLOYING STATISTICAL </w:t>
      </w:r>
    </w:p>
    <w:p w:rsidR="00514B61" w:rsidRDefault="00514B61" w:rsidP="00321EEB">
      <w:pPr>
        <w:pStyle w:val="Heading1"/>
        <w:tabs>
          <w:tab w:val="clear" w:pos="1152"/>
          <w:tab w:val="left" w:pos="720"/>
        </w:tabs>
        <w:spacing w:after="0" w:line="240" w:lineRule="auto"/>
        <w:ind w:left="0" w:firstLine="0"/>
        <w:jc w:val="left"/>
      </w:pPr>
      <w:r>
        <w:tab/>
      </w:r>
      <w:r w:rsidRPr="0041038B">
        <w:t>METHODS</w:t>
      </w:r>
      <w:bookmarkEnd w:id="0"/>
      <w:bookmarkEnd w:id="1"/>
      <w:bookmarkEnd w:id="2"/>
      <w:bookmarkEnd w:id="3"/>
    </w:p>
    <w:p w:rsidR="00514B61" w:rsidRPr="002E5FC3" w:rsidRDefault="00514B61" w:rsidP="002E5FC3">
      <w:pPr>
        <w:pStyle w:val="P1-StandPara"/>
      </w:pPr>
    </w:p>
    <w:p w:rsidR="00514B61" w:rsidRPr="00A526D0" w:rsidRDefault="00514B61" w:rsidP="002E5FC3">
      <w:pPr>
        <w:pStyle w:val="Heading2"/>
        <w:tabs>
          <w:tab w:val="clear" w:pos="1152"/>
          <w:tab w:val="left" w:pos="720"/>
        </w:tabs>
        <w:spacing w:after="0" w:line="480" w:lineRule="auto"/>
        <w:rPr>
          <w:sz w:val="24"/>
          <w:szCs w:val="24"/>
        </w:rPr>
      </w:pPr>
      <w:bookmarkStart w:id="4" w:name="_Toc443881763"/>
      <w:bookmarkStart w:id="5" w:name="_Toc451592250"/>
      <w:bookmarkStart w:id="6" w:name="_Toc5610291"/>
      <w:bookmarkStart w:id="7" w:name="_Toc99178797"/>
      <w:r>
        <w:rPr>
          <w:sz w:val="24"/>
          <w:szCs w:val="24"/>
        </w:rPr>
        <w:t>B.</w:t>
      </w:r>
      <w:r w:rsidRPr="00E41609">
        <w:rPr>
          <w:sz w:val="24"/>
          <w:szCs w:val="24"/>
        </w:rPr>
        <w:t>1</w:t>
      </w:r>
      <w:r w:rsidRPr="00E41609">
        <w:rPr>
          <w:sz w:val="24"/>
          <w:szCs w:val="24"/>
        </w:rPr>
        <w:tab/>
      </w:r>
      <w:r>
        <w:rPr>
          <w:sz w:val="24"/>
          <w:szCs w:val="24"/>
        </w:rPr>
        <w:tab/>
      </w:r>
      <w:r w:rsidRPr="00E41609">
        <w:rPr>
          <w:sz w:val="24"/>
          <w:szCs w:val="24"/>
        </w:rPr>
        <w:t>Respondent Universe and Sampling Methods</w:t>
      </w:r>
      <w:bookmarkEnd w:id="4"/>
      <w:bookmarkEnd w:id="5"/>
      <w:bookmarkEnd w:id="6"/>
      <w:bookmarkEnd w:id="7"/>
      <w:r>
        <w:rPr>
          <w:sz w:val="24"/>
          <w:szCs w:val="24"/>
        </w:rPr>
        <w:t xml:space="preserve"> </w:t>
      </w:r>
    </w:p>
    <w:p w:rsidR="00514B61" w:rsidRPr="000C21D0" w:rsidRDefault="00514B61" w:rsidP="002E5FC3">
      <w:pPr>
        <w:pStyle w:val="Heading4"/>
        <w:spacing w:line="480" w:lineRule="auto"/>
        <w:ind w:firstLine="720"/>
        <w:rPr>
          <w:rFonts w:ascii="Times New Roman" w:hAnsi="Times New Roman" w:cs="Times New Roman"/>
          <w:b w:val="0"/>
          <w:bCs w:val="0"/>
          <w:i w:val="0"/>
          <w:iCs w:val="0"/>
          <w:color w:val="auto"/>
          <w:sz w:val="24"/>
          <w:szCs w:val="24"/>
        </w:rPr>
      </w:pPr>
      <w:r w:rsidRPr="00DD6284">
        <w:rPr>
          <w:rFonts w:ascii="Times New Roman" w:hAnsi="Times New Roman" w:cs="Times New Roman"/>
          <w:b w:val="0"/>
          <w:bCs w:val="0"/>
          <w:i w:val="0"/>
          <w:iCs w:val="0"/>
          <w:color w:val="auto"/>
          <w:sz w:val="24"/>
          <w:szCs w:val="24"/>
        </w:rPr>
        <w:t>The respondent universe is comprised of the specific population that was diagnosed with</w:t>
      </w:r>
      <w:r>
        <w:rPr>
          <w:rFonts w:ascii="Times New Roman" w:hAnsi="Times New Roman" w:cs="Times New Roman"/>
          <w:b w:val="0"/>
          <w:bCs w:val="0"/>
          <w:i w:val="0"/>
          <w:iCs w:val="0"/>
          <w:color w:val="auto"/>
          <w:sz w:val="24"/>
          <w:szCs w:val="24"/>
        </w:rPr>
        <w:t xml:space="preserve"> Renal Cell Carcinoma (</w:t>
      </w:r>
      <w:r w:rsidRPr="00DD6284">
        <w:rPr>
          <w:rFonts w:ascii="Times New Roman" w:hAnsi="Times New Roman" w:cs="Times New Roman"/>
          <w:b w:val="0"/>
          <w:bCs w:val="0"/>
          <w:i w:val="0"/>
          <w:iCs w:val="0"/>
          <w:color w:val="auto"/>
          <w:sz w:val="24"/>
          <w:szCs w:val="24"/>
        </w:rPr>
        <w:t>RCC</w:t>
      </w:r>
      <w:r>
        <w:rPr>
          <w:rFonts w:ascii="Times New Roman" w:hAnsi="Times New Roman" w:cs="Times New Roman"/>
          <w:b w:val="0"/>
          <w:bCs w:val="0"/>
          <w:i w:val="0"/>
          <w:iCs w:val="0"/>
          <w:color w:val="auto"/>
          <w:sz w:val="24"/>
          <w:szCs w:val="24"/>
        </w:rPr>
        <w:t>)</w:t>
      </w:r>
      <w:r w:rsidRPr="00DD6284">
        <w:rPr>
          <w:rFonts w:ascii="Times New Roman" w:hAnsi="Times New Roman" w:cs="Times New Roman"/>
          <w:b w:val="0"/>
          <w:bCs w:val="0"/>
          <w:i w:val="0"/>
          <w:iCs w:val="0"/>
          <w:color w:val="auto"/>
          <w:sz w:val="24"/>
          <w:szCs w:val="24"/>
        </w:rPr>
        <w:t xml:space="preserve"> in the original case-control study that was conducted in each of the 6 study centers.  Therefore, to be eligible for the pilot study, or the follow-up survival study of RCC, patients needed to have participated as a</w:t>
      </w:r>
      <w:r>
        <w:rPr>
          <w:rFonts w:ascii="Times New Roman" w:hAnsi="Times New Roman" w:cs="Times New Roman"/>
          <w:b w:val="0"/>
          <w:bCs w:val="0"/>
          <w:i w:val="0"/>
          <w:iCs w:val="0"/>
          <w:color w:val="auto"/>
          <w:sz w:val="24"/>
          <w:szCs w:val="24"/>
        </w:rPr>
        <w:t xml:space="preserve"> histologi</w:t>
      </w:r>
      <w:r w:rsidRPr="00DD6284">
        <w:rPr>
          <w:rFonts w:ascii="Times New Roman" w:hAnsi="Times New Roman" w:cs="Times New Roman"/>
          <w:b w:val="0"/>
          <w:bCs w:val="0"/>
          <w:i w:val="0"/>
          <w:iCs w:val="0"/>
          <w:color w:val="auto"/>
          <w:sz w:val="24"/>
          <w:szCs w:val="24"/>
        </w:rPr>
        <w:t xml:space="preserve">cally confirmed renal cancer case in our previous case-control study entitled Central European Renal Cancer Case-Control Study.  </w:t>
      </w:r>
      <w:r>
        <w:rPr>
          <w:rFonts w:ascii="Times New Roman" w:hAnsi="Times New Roman" w:cs="Times New Roman"/>
          <w:b w:val="0"/>
          <w:bCs w:val="0"/>
          <w:i w:val="0"/>
          <w:iCs w:val="0"/>
          <w:color w:val="auto"/>
          <w:sz w:val="24"/>
          <w:szCs w:val="24"/>
        </w:rPr>
        <w:t>From a subgroup of these subjects, w</w:t>
      </w:r>
      <w:r w:rsidRPr="00DD6284">
        <w:rPr>
          <w:rFonts w:ascii="Times New Roman" w:hAnsi="Times New Roman" w:cs="Times New Roman"/>
          <w:b w:val="0"/>
          <w:bCs w:val="0"/>
          <w:i w:val="0"/>
          <w:iCs w:val="0"/>
          <w:color w:val="auto"/>
          <w:sz w:val="24"/>
          <w:szCs w:val="24"/>
        </w:rPr>
        <w:t xml:space="preserve">e will first conduct a pilot study to determine the feasibility of collecting survival information including 5-year survival status, date of death, cause of death, and date of last follow-up if alive on 220 cases from the six collaborating centers.  Information on 50 cases will be obtained from </w:t>
      </w:r>
      <w:smartTag w:uri="urn:schemas-microsoft-com:office:smarttags" w:element="stockticker">
        <w:r w:rsidRPr="00DD6284">
          <w:rPr>
            <w:rFonts w:ascii="Times New Roman" w:hAnsi="Times New Roman" w:cs="Times New Roman"/>
            <w:b w:val="0"/>
            <w:bCs w:val="0"/>
            <w:i w:val="0"/>
            <w:iCs w:val="0"/>
            <w:color w:val="auto"/>
            <w:sz w:val="24"/>
            <w:szCs w:val="24"/>
          </w:rPr>
          <w:t>Olomouc</w:t>
        </w:r>
      </w:smartTag>
      <w:r w:rsidRPr="00DD6284">
        <w:rPr>
          <w:rFonts w:ascii="Times New Roman" w:hAnsi="Times New Roman" w:cs="Times New Roman"/>
          <w:b w:val="0"/>
          <w:bCs w:val="0"/>
          <w:i w:val="0"/>
          <w:iCs w:val="0"/>
          <w:color w:val="auto"/>
          <w:sz w:val="24"/>
          <w:szCs w:val="24"/>
        </w:rPr>
        <w:t xml:space="preserve"> and </w:t>
      </w:r>
      <w:smartTag w:uri="urn:schemas-microsoft-com:office:smarttags" w:element="stockticker">
        <w:r w:rsidRPr="00DD6284">
          <w:rPr>
            <w:rFonts w:ascii="Times New Roman" w:hAnsi="Times New Roman" w:cs="Times New Roman"/>
            <w:b w:val="0"/>
            <w:bCs w:val="0"/>
            <w:i w:val="0"/>
            <w:iCs w:val="0"/>
            <w:color w:val="auto"/>
            <w:sz w:val="24"/>
            <w:szCs w:val="24"/>
          </w:rPr>
          <w:t>Moscow</w:t>
        </w:r>
      </w:smartTag>
      <w:r w:rsidRPr="00DD6284">
        <w:rPr>
          <w:rFonts w:ascii="Times New Roman" w:hAnsi="Times New Roman" w:cs="Times New Roman"/>
          <w:b w:val="0"/>
          <w:bCs w:val="0"/>
          <w:i w:val="0"/>
          <w:iCs w:val="0"/>
          <w:color w:val="auto"/>
          <w:sz w:val="24"/>
          <w:szCs w:val="24"/>
        </w:rPr>
        <w:t xml:space="preserve"> and 30 cases from the remaining centers (</w:t>
      </w:r>
      <w:smartTag w:uri="urn:schemas-microsoft-com:office:smarttags" w:element="stockticker">
        <w:r w:rsidRPr="00DD6284">
          <w:rPr>
            <w:rFonts w:ascii="Times New Roman" w:hAnsi="Times New Roman" w:cs="Times New Roman"/>
            <w:b w:val="0"/>
            <w:bCs w:val="0"/>
            <w:i w:val="0"/>
            <w:iCs w:val="0"/>
            <w:color w:val="auto"/>
            <w:sz w:val="24"/>
            <w:szCs w:val="24"/>
          </w:rPr>
          <w:t>Bucharest</w:t>
        </w:r>
      </w:smartTag>
      <w:r w:rsidRPr="00DD6284">
        <w:rPr>
          <w:rFonts w:ascii="Times New Roman" w:hAnsi="Times New Roman" w:cs="Times New Roman"/>
          <w:b w:val="0"/>
          <w:bCs w:val="0"/>
          <w:i w:val="0"/>
          <w:iCs w:val="0"/>
          <w:color w:val="auto"/>
          <w:sz w:val="24"/>
          <w:szCs w:val="24"/>
        </w:rPr>
        <w:t xml:space="preserve">, </w:t>
      </w:r>
      <w:smartTag w:uri="urn:schemas-microsoft-com:office:smarttags" w:element="stockticker">
        <w:r w:rsidRPr="00DD6284">
          <w:rPr>
            <w:rFonts w:ascii="Times New Roman" w:hAnsi="Times New Roman" w:cs="Times New Roman"/>
            <w:b w:val="0"/>
            <w:bCs w:val="0"/>
            <w:i w:val="0"/>
            <w:iCs w:val="0"/>
            <w:color w:val="auto"/>
            <w:sz w:val="24"/>
            <w:szCs w:val="24"/>
          </w:rPr>
          <w:t>Prague</w:t>
        </w:r>
      </w:smartTag>
      <w:r w:rsidRPr="00DD6284">
        <w:rPr>
          <w:rFonts w:ascii="Times New Roman" w:hAnsi="Times New Roman" w:cs="Times New Roman"/>
          <w:b w:val="0"/>
          <w:bCs w:val="0"/>
          <w:i w:val="0"/>
          <w:iCs w:val="0"/>
          <w:color w:val="auto"/>
          <w:sz w:val="24"/>
          <w:szCs w:val="24"/>
        </w:rPr>
        <w:t xml:space="preserve">, </w:t>
      </w:r>
      <w:smartTag w:uri="urn:schemas-microsoft-com:office:smarttags" w:element="stockticker">
        <w:r w:rsidRPr="00DD6284">
          <w:rPr>
            <w:rFonts w:ascii="Times New Roman" w:hAnsi="Times New Roman" w:cs="Times New Roman"/>
            <w:b w:val="0"/>
            <w:bCs w:val="0"/>
            <w:i w:val="0"/>
            <w:iCs w:val="0"/>
            <w:color w:val="auto"/>
            <w:sz w:val="24"/>
            <w:szCs w:val="24"/>
          </w:rPr>
          <w:t>Brno</w:t>
        </w:r>
      </w:smartTag>
      <w:r w:rsidRPr="00DD6284">
        <w:rPr>
          <w:rFonts w:ascii="Times New Roman" w:hAnsi="Times New Roman" w:cs="Times New Roman"/>
          <w:b w:val="0"/>
          <w:bCs w:val="0"/>
          <w:i w:val="0"/>
          <w:iCs w:val="0"/>
          <w:color w:val="auto"/>
          <w:sz w:val="24"/>
          <w:szCs w:val="24"/>
        </w:rPr>
        <w:t xml:space="preserve">, </w:t>
      </w:r>
      <w:smartTag w:uri="urn:schemas-microsoft-com:office:smarttags" w:element="stockticker">
        <w:r w:rsidRPr="00DD6284">
          <w:rPr>
            <w:rFonts w:ascii="Times New Roman" w:hAnsi="Times New Roman" w:cs="Times New Roman"/>
            <w:b w:val="0"/>
            <w:bCs w:val="0"/>
            <w:i w:val="0"/>
            <w:iCs w:val="0"/>
            <w:color w:val="auto"/>
            <w:sz w:val="24"/>
            <w:szCs w:val="24"/>
          </w:rPr>
          <w:t>Lodz</w:t>
        </w:r>
      </w:smartTag>
      <w:r w:rsidRPr="00DD6284">
        <w:rPr>
          <w:rFonts w:ascii="Times New Roman" w:hAnsi="Times New Roman" w:cs="Times New Roman"/>
          <w:b w:val="0"/>
          <w:bCs w:val="0"/>
          <w:i w:val="0"/>
          <w:iCs w:val="0"/>
          <w:color w:val="auto"/>
          <w:sz w:val="24"/>
          <w:szCs w:val="24"/>
        </w:rPr>
        <w:t xml:space="preserve">), using a list of cases provided </w:t>
      </w:r>
      <w:r>
        <w:rPr>
          <w:rFonts w:ascii="Times New Roman" w:hAnsi="Times New Roman" w:cs="Times New Roman"/>
          <w:b w:val="0"/>
          <w:bCs w:val="0"/>
          <w:i w:val="0"/>
          <w:iCs w:val="0"/>
          <w:color w:val="auto"/>
          <w:sz w:val="24"/>
          <w:szCs w:val="24"/>
        </w:rPr>
        <w:t xml:space="preserve">to the centers </w:t>
      </w:r>
      <w:r w:rsidRPr="00DD6284">
        <w:rPr>
          <w:rFonts w:ascii="Times New Roman" w:hAnsi="Times New Roman" w:cs="Times New Roman"/>
          <w:b w:val="0"/>
          <w:bCs w:val="0"/>
          <w:i w:val="0"/>
          <w:iCs w:val="0"/>
          <w:color w:val="auto"/>
          <w:sz w:val="24"/>
          <w:szCs w:val="24"/>
        </w:rPr>
        <w:t xml:space="preserve">by the </w:t>
      </w:r>
      <w:smartTag w:uri="urn:schemas-microsoft-com:office:smarttags" w:element="stockticker">
        <w:r w:rsidRPr="00DD6284">
          <w:rPr>
            <w:rFonts w:ascii="Times New Roman" w:hAnsi="Times New Roman" w:cs="Times New Roman"/>
            <w:b w:val="0"/>
            <w:bCs w:val="0"/>
            <w:i w:val="0"/>
            <w:iCs w:val="0"/>
            <w:color w:val="auto"/>
            <w:sz w:val="24"/>
            <w:szCs w:val="24"/>
          </w:rPr>
          <w:t>NCI</w:t>
        </w:r>
      </w:smartTag>
      <w:r w:rsidRPr="00DD6284">
        <w:rPr>
          <w:rFonts w:ascii="Times New Roman" w:hAnsi="Times New Roman" w:cs="Times New Roman"/>
          <w:b w:val="0"/>
          <w:bCs w:val="0"/>
          <w:i w:val="0"/>
          <w:iCs w:val="0"/>
          <w:color w:val="auto"/>
          <w:sz w:val="24"/>
          <w:szCs w:val="24"/>
        </w:rPr>
        <w:t xml:space="preserve">.  The feasibility of abstracting additional information including surgical and medical treatment procedures used to treat primary disease, recurrence and progression of primary disease will also be determined.  Abstracted information collected and translated into English, in addition to a report describing any obstacles to obtaining information requested will be provided by </w:t>
      </w:r>
      <w:smartTag w:uri="urn:schemas-microsoft-com:office:smarttags" w:element="stockticker">
        <w:r w:rsidRPr="00DD6284">
          <w:rPr>
            <w:rFonts w:ascii="Times New Roman" w:hAnsi="Times New Roman" w:cs="Times New Roman"/>
            <w:b w:val="0"/>
            <w:bCs w:val="0"/>
            <w:i w:val="0"/>
            <w:iCs w:val="0"/>
            <w:color w:val="auto"/>
            <w:sz w:val="24"/>
            <w:szCs w:val="24"/>
          </w:rPr>
          <w:t>IARC</w:t>
        </w:r>
      </w:smartTag>
      <w:r w:rsidRPr="00DD6284">
        <w:rPr>
          <w:rFonts w:ascii="Times New Roman" w:hAnsi="Times New Roman" w:cs="Times New Roman"/>
          <w:b w:val="0"/>
          <w:bCs w:val="0"/>
          <w:i w:val="0"/>
          <w:iCs w:val="0"/>
          <w:color w:val="auto"/>
          <w:sz w:val="24"/>
          <w:szCs w:val="24"/>
        </w:rPr>
        <w:t xml:space="preserve"> to the </w:t>
      </w:r>
      <w:smartTag w:uri="urn:schemas-microsoft-com:office:smarttags" w:element="stockticker">
        <w:r w:rsidRPr="00DD6284">
          <w:rPr>
            <w:rFonts w:ascii="Times New Roman" w:hAnsi="Times New Roman" w:cs="Times New Roman"/>
            <w:b w:val="0"/>
            <w:bCs w:val="0"/>
            <w:i w:val="0"/>
            <w:iCs w:val="0"/>
            <w:color w:val="auto"/>
            <w:sz w:val="24"/>
            <w:szCs w:val="24"/>
          </w:rPr>
          <w:t>NCI</w:t>
        </w:r>
      </w:smartTag>
      <w:r w:rsidRPr="00DD6284">
        <w:rPr>
          <w:rFonts w:ascii="Times New Roman" w:hAnsi="Times New Roman" w:cs="Times New Roman"/>
          <w:b w:val="0"/>
          <w:bCs w:val="0"/>
          <w:i w:val="0"/>
          <w:iCs w:val="0"/>
          <w:color w:val="auto"/>
          <w:sz w:val="24"/>
          <w:szCs w:val="24"/>
        </w:rPr>
        <w:t xml:space="preserve">.  If we can obtain information from 80% of cases in the feasibility study we </w:t>
      </w:r>
      <w:r w:rsidRPr="000C21D0">
        <w:rPr>
          <w:rFonts w:ascii="Times New Roman" w:hAnsi="Times New Roman" w:cs="Times New Roman"/>
          <w:b w:val="0"/>
          <w:bCs w:val="0"/>
          <w:i w:val="0"/>
          <w:iCs w:val="0"/>
          <w:color w:val="auto"/>
          <w:sz w:val="24"/>
          <w:szCs w:val="24"/>
        </w:rPr>
        <w:t>will proceed with the full survival study.</w:t>
      </w:r>
    </w:p>
    <w:p w:rsidR="00514B61" w:rsidRDefault="00514B61" w:rsidP="002E5FC3">
      <w:pPr>
        <w:spacing w:line="480" w:lineRule="auto"/>
        <w:rPr>
          <w:sz w:val="24"/>
          <w:szCs w:val="24"/>
        </w:rPr>
      </w:pPr>
      <w:r w:rsidRPr="000C21D0">
        <w:rPr>
          <w:sz w:val="24"/>
          <w:szCs w:val="24"/>
        </w:rPr>
        <w:t>For the survival study</w:t>
      </w:r>
      <w:r>
        <w:rPr>
          <w:sz w:val="24"/>
          <w:szCs w:val="24"/>
        </w:rPr>
        <w:t xml:space="preserve">, we estimate that there will be 658 cases living at 5-years; and 439 cases dead at 5-years.  Sample sizes were calculated based on the known number of cases in the original study and expected outcomes for survival and also known outcomes of other factors including, VHL gene mutation status, promoter hypermethylation and gene silencing, and prevalence of known RCC risk factors such as smoking, </w:t>
      </w:r>
      <w:smartTag w:uri="urn:schemas-microsoft-com:office:smarttags" w:element="stockticker">
        <w:r>
          <w:rPr>
            <w:sz w:val="24"/>
            <w:szCs w:val="24"/>
          </w:rPr>
          <w:t>BMI</w:t>
        </w:r>
      </w:smartTag>
      <w:r>
        <w:rPr>
          <w:sz w:val="24"/>
          <w:szCs w:val="24"/>
        </w:rPr>
        <w:t xml:space="preserve">, hypertension, sex, and a range of genetic susceptibility allelic prevalences (10, 20, 30%).  Sample size calculations are provided in </w:t>
      </w:r>
      <w:r w:rsidRPr="0093074F">
        <w:rPr>
          <w:sz w:val="24"/>
          <w:szCs w:val="24"/>
        </w:rPr>
        <w:t>Attachment</w:t>
      </w:r>
      <w:r w:rsidRPr="00342646">
        <w:rPr>
          <w:sz w:val="24"/>
          <w:szCs w:val="24"/>
        </w:rPr>
        <w:t xml:space="preserve"> 8.</w:t>
      </w:r>
      <w:r>
        <w:rPr>
          <w:sz w:val="24"/>
          <w:szCs w:val="24"/>
        </w:rPr>
        <w:t xml:space="preserve">  We are expecting a high participation rate (at least 80%) since all subjects were previous respondents of the case-control study.  </w:t>
      </w:r>
      <w:bookmarkStart w:id="8" w:name="_Toc443881764"/>
      <w:bookmarkStart w:id="9" w:name="_Toc451592251"/>
      <w:bookmarkStart w:id="10" w:name="_Toc5610292"/>
      <w:bookmarkStart w:id="11" w:name="_Toc99178798"/>
    </w:p>
    <w:p w:rsidR="00514B61" w:rsidRDefault="00514B61" w:rsidP="00A526D0">
      <w:pPr>
        <w:spacing w:line="480" w:lineRule="auto"/>
        <w:ind w:left="360" w:firstLine="360"/>
        <w:rPr>
          <w:sz w:val="24"/>
          <w:szCs w:val="24"/>
        </w:rPr>
      </w:pPr>
    </w:p>
    <w:p w:rsidR="00514B61" w:rsidRPr="00A526D0" w:rsidRDefault="00514B61" w:rsidP="00A526D0">
      <w:pPr>
        <w:pStyle w:val="Heading2"/>
        <w:tabs>
          <w:tab w:val="left" w:pos="720"/>
        </w:tabs>
        <w:spacing w:after="0" w:line="480" w:lineRule="auto"/>
        <w:ind w:left="0" w:firstLine="0"/>
        <w:rPr>
          <w:sz w:val="24"/>
          <w:szCs w:val="24"/>
        </w:rPr>
      </w:pPr>
      <w:r w:rsidRPr="00E41609">
        <w:rPr>
          <w:sz w:val="24"/>
          <w:szCs w:val="24"/>
        </w:rPr>
        <w:t>B.2</w:t>
      </w:r>
      <w:r w:rsidRPr="00E41609">
        <w:rPr>
          <w:sz w:val="24"/>
          <w:szCs w:val="24"/>
        </w:rPr>
        <w:tab/>
        <w:t>Procedures for the Collection of Information</w:t>
      </w:r>
      <w:bookmarkEnd w:id="8"/>
      <w:bookmarkEnd w:id="9"/>
      <w:bookmarkEnd w:id="10"/>
      <w:bookmarkEnd w:id="11"/>
    </w:p>
    <w:p w:rsidR="00514B61" w:rsidRDefault="00514B61" w:rsidP="00637CAD">
      <w:pPr>
        <w:pStyle w:val="P1-StandPara"/>
        <w:rPr>
          <w:sz w:val="24"/>
          <w:szCs w:val="24"/>
        </w:rPr>
      </w:pPr>
      <w:r w:rsidRPr="0068545C">
        <w:rPr>
          <w:sz w:val="24"/>
          <w:szCs w:val="24"/>
        </w:rPr>
        <w:t>All subjects that will be contacted for this study were previous participants in the Central European Renal Cancer Case Control Study.</w:t>
      </w:r>
      <w:r>
        <w:rPr>
          <w:color w:val="FF0000"/>
          <w:sz w:val="24"/>
          <w:szCs w:val="24"/>
        </w:rPr>
        <w:t xml:space="preserve"> </w:t>
      </w:r>
      <w:r w:rsidRPr="0068545C">
        <w:rPr>
          <w:sz w:val="24"/>
          <w:szCs w:val="24"/>
        </w:rPr>
        <w:t>The prevalence of covariates such as ethnicity,</w:t>
      </w:r>
      <w:r>
        <w:rPr>
          <w:sz w:val="24"/>
          <w:szCs w:val="24"/>
        </w:rPr>
        <w:t xml:space="preserve"> smoking history, </w:t>
      </w:r>
      <w:smartTag w:uri="urn:schemas-microsoft-com:office:smarttags" w:element="stockticker">
        <w:r>
          <w:rPr>
            <w:sz w:val="24"/>
            <w:szCs w:val="24"/>
          </w:rPr>
          <w:t>BMI</w:t>
        </w:r>
      </w:smartTag>
      <w:r>
        <w:rPr>
          <w:sz w:val="24"/>
          <w:szCs w:val="24"/>
        </w:rPr>
        <w:t>, hypertens</w:t>
      </w:r>
      <w:r w:rsidRPr="0068545C">
        <w:rPr>
          <w:sz w:val="24"/>
          <w:szCs w:val="24"/>
        </w:rPr>
        <w:t>ion, and family history of cancer have already been determined.</w:t>
      </w:r>
      <w:r>
        <w:rPr>
          <w:color w:val="FF0000"/>
          <w:sz w:val="24"/>
          <w:szCs w:val="24"/>
        </w:rPr>
        <w:t xml:space="preserve">  </w:t>
      </w:r>
      <w:r w:rsidRPr="00785E9D">
        <w:rPr>
          <w:color w:val="FF0000"/>
          <w:sz w:val="24"/>
          <w:szCs w:val="24"/>
        </w:rPr>
        <w:t xml:space="preserve"> </w:t>
      </w:r>
      <w:r w:rsidRPr="0068545C">
        <w:rPr>
          <w:sz w:val="24"/>
          <w:szCs w:val="24"/>
        </w:rPr>
        <w:t>To obtain information on survival status, treatment, disease recurrence, progression and a limited list of risk factors, forms have been created to abstract/record information from three potential</w:t>
      </w:r>
      <w:r>
        <w:rPr>
          <w:sz w:val="24"/>
          <w:szCs w:val="24"/>
        </w:rPr>
        <w:t xml:space="preserve"> sources.  These include 1) vital statistics, 2) patient medical records, and 3) cancer registry information when available.  The main method to obtain follow-up information is by linking the patients data obtained in the case-control study with vital statistics, cancer registry files, and medical records through active participation with patients’ physicians from the previous study.  We will use the information collected from the respondents as a gold standard to the other forms of data.  </w:t>
      </w:r>
    </w:p>
    <w:p w:rsidR="00514B61" w:rsidRDefault="00514B61" w:rsidP="00637CAD">
      <w:pPr>
        <w:pStyle w:val="P1-StandPara"/>
        <w:rPr>
          <w:sz w:val="24"/>
          <w:szCs w:val="24"/>
        </w:rPr>
      </w:pPr>
      <w:r>
        <w:rPr>
          <w:sz w:val="24"/>
          <w:szCs w:val="24"/>
        </w:rPr>
        <w:t xml:space="preserve">Before the interview, patients will learn about the study from their physicians during regular follow-up and participation will be requested by the physician.  The physician will ask the subject whether they would prefer to be interviewed at home or at the hospital.  The script that will be used when we contact the patient in included on page 1 of the attached questionnaire (Attachment 6).  </w:t>
      </w:r>
    </w:p>
    <w:p w:rsidR="00514B61" w:rsidRDefault="00514B61" w:rsidP="00637CAD">
      <w:pPr>
        <w:pStyle w:val="P1-StandPara"/>
        <w:rPr>
          <w:sz w:val="24"/>
          <w:szCs w:val="24"/>
        </w:rPr>
      </w:pPr>
      <w:r>
        <w:rPr>
          <w:sz w:val="24"/>
          <w:szCs w:val="24"/>
        </w:rPr>
        <w:t xml:space="preserve">All information collected from each method will be cross checked to determine and confirm the quality and completeness of data collected.  After we distinguish the types of follow-up protocols used and procedures followed in each country, we will develop a definition of those cases confirmed to be disease-free using “high-confidence confirmation methods” (i.e. CT, PET scan, laboratory methods, other), from those for whom follow-up was not confirmed, incomplete, or undetermined (“low-confidence confirmation”), so that we will be able stratify by this variable and conduct restricted analyses.  </w:t>
      </w:r>
    </w:p>
    <w:p w:rsidR="00514B61" w:rsidRDefault="00514B61" w:rsidP="00E22C9F">
      <w:pPr>
        <w:pStyle w:val="P1-StandPara"/>
        <w:rPr>
          <w:sz w:val="24"/>
          <w:szCs w:val="24"/>
        </w:rPr>
      </w:pPr>
      <w:r>
        <w:rPr>
          <w:sz w:val="24"/>
          <w:szCs w:val="24"/>
        </w:rPr>
        <w:t xml:space="preserve">For tobacco use post-diagnosis, interview of the patient [CE-08-05-01], or family interviews (no more than 9 will be interviewed) will be the most probable source of obtaining this information.  It may be possible to assess tobacco use after cancer diagnosis through medical charts, but this is not expected to be consistent.  The availability of tobacco information will be assessed in the pilot study.  </w:t>
      </w:r>
    </w:p>
    <w:p w:rsidR="00514B61" w:rsidRDefault="00514B61" w:rsidP="00E22C9F">
      <w:pPr>
        <w:pStyle w:val="P1-StandPara"/>
        <w:rPr>
          <w:sz w:val="24"/>
          <w:szCs w:val="24"/>
        </w:rPr>
      </w:pPr>
      <w:r>
        <w:rPr>
          <w:sz w:val="24"/>
          <w:szCs w:val="24"/>
        </w:rPr>
        <w:t>In summary:</w:t>
      </w:r>
    </w:p>
    <w:p w:rsidR="00514B61" w:rsidRDefault="00514B61" w:rsidP="00E22C9F">
      <w:pPr>
        <w:pStyle w:val="P1-StandPara"/>
        <w:numPr>
          <w:ilvl w:val="0"/>
          <w:numId w:val="8"/>
        </w:numPr>
        <w:ind w:left="2160" w:hanging="720"/>
        <w:rPr>
          <w:sz w:val="24"/>
          <w:szCs w:val="24"/>
        </w:rPr>
      </w:pPr>
      <w:r>
        <w:rPr>
          <w:sz w:val="24"/>
          <w:szCs w:val="24"/>
        </w:rPr>
        <w:t>Subjects in this study will be selected based on having prior participation in a case-control study conducted in this area.</w:t>
      </w:r>
    </w:p>
    <w:p w:rsidR="00514B61" w:rsidRDefault="00514B61" w:rsidP="00E22C9F">
      <w:pPr>
        <w:pStyle w:val="P1-StandPara"/>
        <w:numPr>
          <w:ilvl w:val="0"/>
          <w:numId w:val="8"/>
        </w:numPr>
        <w:ind w:left="2160" w:hanging="720"/>
        <w:rPr>
          <w:sz w:val="24"/>
          <w:szCs w:val="24"/>
        </w:rPr>
      </w:pPr>
      <w:r>
        <w:rPr>
          <w:sz w:val="24"/>
          <w:szCs w:val="24"/>
        </w:rPr>
        <w:t xml:space="preserve">Subjects will be contacted by physicians during follow-up visits, by phone and by mail. </w:t>
      </w:r>
    </w:p>
    <w:p w:rsidR="00514B61" w:rsidRDefault="00514B61" w:rsidP="00E22C9F">
      <w:pPr>
        <w:pStyle w:val="P1-StandPara"/>
        <w:numPr>
          <w:ilvl w:val="0"/>
          <w:numId w:val="8"/>
        </w:numPr>
        <w:ind w:left="2160" w:hanging="720"/>
        <w:rPr>
          <w:sz w:val="24"/>
          <w:szCs w:val="24"/>
        </w:rPr>
      </w:pPr>
      <w:r>
        <w:rPr>
          <w:sz w:val="24"/>
          <w:szCs w:val="24"/>
        </w:rPr>
        <w:t>All subjects enrolled in the previous study will be included; there are no exclusions if subjects met the criteria for cases in the previous case-control study of RCC risk factors conducted in this area.</w:t>
      </w:r>
    </w:p>
    <w:p w:rsidR="00514B61" w:rsidRDefault="00514B61" w:rsidP="00E22C9F">
      <w:pPr>
        <w:pStyle w:val="P1-StandPara"/>
        <w:numPr>
          <w:ilvl w:val="0"/>
          <w:numId w:val="8"/>
        </w:numPr>
        <w:ind w:left="2160" w:hanging="720"/>
        <w:rPr>
          <w:sz w:val="24"/>
          <w:szCs w:val="24"/>
        </w:rPr>
      </w:pPr>
      <w:r>
        <w:rPr>
          <w:sz w:val="24"/>
          <w:szCs w:val="24"/>
        </w:rPr>
        <w:t>All discussion of risks and benefit to the subjects is described in the informed consent form which will be presented prior to the interview.  The text will be read as proposed in the introduction of the informed consent document.</w:t>
      </w:r>
    </w:p>
    <w:p w:rsidR="00514B61" w:rsidRPr="00A526D0" w:rsidRDefault="00514B61" w:rsidP="00A86D40">
      <w:pPr>
        <w:pStyle w:val="P1-StandPara"/>
        <w:ind w:firstLine="0"/>
        <w:rPr>
          <w:sz w:val="24"/>
          <w:szCs w:val="24"/>
        </w:rPr>
      </w:pPr>
    </w:p>
    <w:p w:rsidR="00514B61" w:rsidRPr="00E41609" w:rsidRDefault="00514B61" w:rsidP="00A86D40">
      <w:pPr>
        <w:pStyle w:val="Heading2"/>
        <w:tabs>
          <w:tab w:val="clear" w:pos="1152"/>
          <w:tab w:val="left" w:pos="720"/>
        </w:tabs>
        <w:spacing w:after="0" w:line="480" w:lineRule="auto"/>
        <w:ind w:left="0" w:firstLine="0"/>
        <w:rPr>
          <w:sz w:val="24"/>
          <w:szCs w:val="24"/>
        </w:rPr>
      </w:pPr>
      <w:bookmarkStart w:id="12" w:name="_Toc443881765"/>
      <w:bookmarkStart w:id="13" w:name="_Toc451592252"/>
      <w:bookmarkStart w:id="14" w:name="_Toc5610293"/>
      <w:bookmarkStart w:id="15" w:name="_Toc99178799"/>
      <w:r>
        <w:rPr>
          <w:sz w:val="24"/>
          <w:szCs w:val="24"/>
        </w:rPr>
        <w:t>B.</w:t>
      </w:r>
      <w:r w:rsidRPr="00E41609">
        <w:rPr>
          <w:sz w:val="24"/>
          <w:szCs w:val="24"/>
        </w:rPr>
        <w:t>3</w:t>
      </w:r>
      <w:r>
        <w:rPr>
          <w:sz w:val="24"/>
          <w:szCs w:val="24"/>
        </w:rPr>
        <w:tab/>
      </w:r>
      <w:r w:rsidRPr="00E41609">
        <w:rPr>
          <w:sz w:val="24"/>
          <w:szCs w:val="24"/>
        </w:rPr>
        <w:t>Methods to Maximize Response Rates and Deal with Nonresponse</w:t>
      </w:r>
      <w:bookmarkEnd w:id="12"/>
      <w:bookmarkEnd w:id="13"/>
      <w:bookmarkEnd w:id="14"/>
      <w:bookmarkEnd w:id="15"/>
    </w:p>
    <w:p w:rsidR="00514B61" w:rsidRPr="00A526D0" w:rsidRDefault="00514B61" w:rsidP="00B76CA0">
      <w:pPr>
        <w:spacing w:line="480" w:lineRule="auto"/>
        <w:ind w:firstLine="720"/>
        <w:rPr>
          <w:sz w:val="24"/>
          <w:szCs w:val="24"/>
        </w:rPr>
      </w:pPr>
      <w:r w:rsidRPr="00A51BC0">
        <w:rPr>
          <w:sz w:val="24"/>
          <w:szCs w:val="24"/>
        </w:rPr>
        <w:t xml:space="preserve">Data collection procedures are designed to maximize response rates.  </w:t>
      </w:r>
      <w:r w:rsidRPr="00B76CA0">
        <w:rPr>
          <w:sz w:val="24"/>
          <w:szCs w:val="24"/>
        </w:rPr>
        <w:t>Training of abstractors and interviewers will facilitate the process of data collection and ensure data quality.</w:t>
      </w:r>
      <w:r>
        <w:rPr>
          <w:sz w:val="24"/>
          <w:szCs w:val="24"/>
        </w:rPr>
        <w:t xml:space="preserve">  Training will be conducted at each center since the linking procedures and records available in each center are expected to be different.  The principle investigator of each center will first try to gather a data report from the vital statistic office, cancer registry, and a set of medical records for the first several patients, to demonstrate how to collect the information requested. For interviews, the interviewers will be trained with material available from the original case-control study and as in the case-control study, physicians and trained medical professionals will abstract information from clinical records.  For the purpose of this survival study, patients will either refuse to participate or will be lost to follow-up.  Since these patients have already participated in our study we expect that participation will be high.  However, of greater concern will be the percent of patients lost to follow-up.  A patient will be considered lost to follow-up if the patients cannot be reached or tracked by any of the vital statistics records, cancer registry, and medical chart/pathology reports at the hospital, or available contact information.  They will be considered lost to follow-up when all possible trails have failed to provide information on their status.  We will also try to obtain information about the date last seen through the hospital or potential contacts or family members because this will tell us something about their cancer survivorship for a specific period of time, post treatment.  For subjects that refuse to participate at this time, we will ask them to contact their physicians to discuss this project. If subjects still refuse to participate, we will consider them living and will try to obtain other information we can through passive measures.</w:t>
      </w:r>
    </w:p>
    <w:p w:rsidR="00514B61" w:rsidRDefault="00514B61" w:rsidP="00A86D40">
      <w:pPr>
        <w:pStyle w:val="Heading2"/>
        <w:tabs>
          <w:tab w:val="clear" w:pos="1152"/>
          <w:tab w:val="left" w:pos="720"/>
        </w:tabs>
        <w:spacing w:after="0" w:line="480" w:lineRule="auto"/>
        <w:ind w:left="0" w:firstLine="0"/>
        <w:rPr>
          <w:sz w:val="24"/>
          <w:szCs w:val="24"/>
        </w:rPr>
      </w:pPr>
      <w:bookmarkStart w:id="16" w:name="_Toc443881766"/>
      <w:bookmarkStart w:id="17" w:name="_Toc451592253"/>
      <w:bookmarkStart w:id="18" w:name="_Toc5610294"/>
      <w:bookmarkStart w:id="19" w:name="_Toc99178800"/>
    </w:p>
    <w:p w:rsidR="00514B61" w:rsidRPr="00E41609" w:rsidRDefault="00514B61" w:rsidP="00A86D40">
      <w:pPr>
        <w:pStyle w:val="Heading2"/>
        <w:tabs>
          <w:tab w:val="clear" w:pos="1152"/>
          <w:tab w:val="left" w:pos="720"/>
        </w:tabs>
        <w:spacing w:after="0" w:line="480" w:lineRule="auto"/>
        <w:ind w:left="0" w:firstLine="0"/>
        <w:rPr>
          <w:sz w:val="24"/>
          <w:szCs w:val="24"/>
        </w:rPr>
      </w:pPr>
      <w:r>
        <w:rPr>
          <w:sz w:val="24"/>
          <w:szCs w:val="24"/>
        </w:rPr>
        <w:t>B.</w:t>
      </w:r>
      <w:r w:rsidRPr="00E41609">
        <w:rPr>
          <w:sz w:val="24"/>
          <w:szCs w:val="24"/>
        </w:rPr>
        <w:t>4</w:t>
      </w:r>
      <w:r>
        <w:rPr>
          <w:sz w:val="24"/>
          <w:szCs w:val="24"/>
        </w:rPr>
        <w:tab/>
      </w:r>
      <w:r w:rsidRPr="00E41609">
        <w:rPr>
          <w:sz w:val="24"/>
          <w:szCs w:val="24"/>
        </w:rPr>
        <w:t>Test of Procedures or Methods to be Undertaken</w:t>
      </w:r>
      <w:bookmarkEnd w:id="16"/>
      <w:bookmarkEnd w:id="17"/>
      <w:bookmarkEnd w:id="18"/>
      <w:bookmarkEnd w:id="19"/>
    </w:p>
    <w:p w:rsidR="00514B61" w:rsidRPr="00A526D0" w:rsidRDefault="00514B61" w:rsidP="00CF5F46">
      <w:pPr>
        <w:pStyle w:val="P1-StandPara"/>
        <w:rPr>
          <w:sz w:val="24"/>
          <w:szCs w:val="24"/>
        </w:rPr>
      </w:pPr>
      <w:r w:rsidRPr="00080A2F">
        <w:rPr>
          <w:sz w:val="24"/>
          <w:szCs w:val="24"/>
        </w:rPr>
        <w:t>There are no plans to test procedures or methods in this study.</w:t>
      </w:r>
    </w:p>
    <w:p w:rsidR="00514B61" w:rsidRPr="00BF2856" w:rsidRDefault="00514B61" w:rsidP="008B6F5C">
      <w:pPr>
        <w:pStyle w:val="P1-StandPara"/>
        <w:ind w:firstLine="0"/>
      </w:pPr>
      <w:bookmarkStart w:id="20" w:name="_Toc443881767"/>
      <w:bookmarkStart w:id="21" w:name="_Toc451592254"/>
      <w:bookmarkStart w:id="22" w:name="_Toc5610295"/>
      <w:bookmarkStart w:id="23" w:name="_Toc99178801"/>
    </w:p>
    <w:p w:rsidR="00514B61" w:rsidRDefault="00514B61" w:rsidP="00AE77C5">
      <w:pPr>
        <w:pStyle w:val="Heading2"/>
        <w:tabs>
          <w:tab w:val="left" w:pos="720"/>
        </w:tabs>
        <w:spacing w:after="0" w:line="240" w:lineRule="auto"/>
        <w:ind w:left="720" w:hanging="720"/>
      </w:pPr>
      <w:r>
        <w:rPr>
          <w:color w:val="000000"/>
          <w:sz w:val="24"/>
          <w:szCs w:val="24"/>
        </w:rPr>
        <w:t>B.5</w:t>
      </w:r>
      <w:r>
        <w:rPr>
          <w:color w:val="000000"/>
          <w:sz w:val="24"/>
          <w:szCs w:val="24"/>
        </w:rPr>
        <w:tab/>
      </w:r>
      <w:r w:rsidRPr="00E41609">
        <w:rPr>
          <w:color w:val="000000"/>
          <w:sz w:val="24"/>
          <w:szCs w:val="24"/>
        </w:rPr>
        <w:t>Individuals Consulted on Statistical Aspects and Individuals Collecting and/or Analyzing Data</w:t>
      </w:r>
      <w:bookmarkEnd w:id="20"/>
      <w:bookmarkEnd w:id="21"/>
      <w:bookmarkEnd w:id="22"/>
      <w:bookmarkEnd w:id="23"/>
    </w:p>
    <w:p w:rsidR="00514B61" w:rsidRPr="00781E3B" w:rsidRDefault="00514B61" w:rsidP="00A86D40">
      <w:pPr>
        <w:rPr>
          <w:sz w:val="24"/>
          <w:szCs w:val="24"/>
        </w:rPr>
      </w:pPr>
    </w:p>
    <w:p w:rsidR="00514B61" w:rsidRDefault="00514B61">
      <w:pPr>
        <w:spacing w:line="480" w:lineRule="auto"/>
        <w:ind w:firstLine="720"/>
        <w:rPr>
          <w:sz w:val="24"/>
          <w:szCs w:val="24"/>
        </w:rPr>
      </w:pPr>
      <w:r w:rsidRPr="00781E3B">
        <w:rPr>
          <w:sz w:val="24"/>
          <w:szCs w:val="24"/>
        </w:rPr>
        <w:t xml:space="preserve">The six study centers will be under contract from IARC and the NCI to serve as study centers and are responsible for </w:t>
      </w:r>
      <w:r>
        <w:rPr>
          <w:sz w:val="24"/>
          <w:szCs w:val="24"/>
        </w:rPr>
        <w:t>data collect</w:t>
      </w:r>
      <w:r w:rsidRPr="00781E3B">
        <w:rPr>
          <w:sz w:val="24"/>
          <w:szCs w:val="24"/>
        </w:rPr>
        <w:t>ion and data processing activities.  Data will be analyzed by Dr. Lee E</w:t>
      </w:r>
      <w:r>
        <w:rPr>
          <w:sz w:val="24"/>
          <w:szCs w:val="24"/>
        </w:rPr>
        <w:t>.</w:t>
      </w:r>
      <w:r w:rsidRPr="00781E3B">
        <w:rPr>
          <w:sz w:val="24"/>
          <w:szCs w:val="24"/>
        </w:rPr>
        <w:t xml:space="preserve"> Moore (Epidemiologist/Investigator) </w:t>
      </w:r>
      <w:r>
        <w:rPr>
          <w:sz w:val="24"/>
          <w:szCs w:val="24"/>
        </w:rPr>
        <w:t xml:space="preserve">at </w:t>
      </w:r>
      <w:r w:rsidRPr="00781E3B">
        <w:rPr>
          <w:sz w:val="24"/>
          <w:szCs w:val="24"/>
        </w:rPr>
        <w:t>301-496-6427</w:t>
      </w:r>
      <w:r>
        <w:rPr>
          <w:sz w:val="24"/>
          <w:szCs w:val="24"/>
        </w:rPr>
        <w:t>.</w:t>
      </w:r>
      <w:r w:rsidRPr="00C34CE9">
        <w:rPr>
          <w:sz w:val="24"/>
          <w:szCs w:val="24"/>
        </w:rPr>
        <w:t xml:space="preserve"> </w:t>
      </w:r>
      <w:r w:rsidRPr="00781E3B">
        <w:rPr>
          <w:sz w:val="24"/>
          <w:szCs w:val="24"/>
        </w:rPr>
        <w:t xml:space="preserve">Statistical Consultation has and will be provided by Dr. Ruth Pfeiffer (Statistician/Senior Investigator) </w:t>
      </w:r>
      <w:r>
        <w:rPr>
          <w:sz w:val="24"/>
          <w:szCs w:val="24"/>
        </w:rPr>
        <w:t xml:space="preserve">at 301-594-7832.  Additionally, </w:t>
      </w:r>
      <w:r w:rsidRPr="00781E3B">
        <w:rPr>
          <w:sz w:val="24"/>
          <w:szCs w:val="24"/>
        </w:rPr>
        <w:t>Information Management Services, Inc. is under contract to NCI to</w:t>
      </w:r>
      <w:r>
        <w:rPr>
          <w:sz w:val="24"/>
          <w:szCs w:val="24"/>
        </w:rPr>
        <w:t xml:space="preserve"> </w:t>
      </w:r>
      <w:r w:rsidRPr="00781E3B">
        <w:rPr>
          <w:sz w:val="24"/>
          <w:szCs w:val="24"/>
        </w:rPr>
        <w:t xml:space="preserve">provide analytic support.  </w:t>
      </w:r>
    </w:p>
    <w:sectPr w:rsidR="00514B61" w:rsidSect="00857C2E">
      <w:pgSz w:w="12240" w:h="15840" w:code="1"/>
      <w:pgMar w:top="1440" w:right="1440" w:bottom="1440" w:left="1440" w:header="720" w:footer="432"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B61" w:rsidRDefault="00514B61">
      <w:pPr>
        <w:spacing w:line="240" w:lineRule="auto"/>
      </w:pPr>
      <w:r>
        <w:separator/>
      </w:r>
    </w:p>
  </w:endnote>
  <w:endnote w:type="continuationSeparator" w:id="1">
    <w:p w:rsidR="00514B61" w:rsidRDefault="00514B6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B61" w:rsidRDefault="00514B61" w:rsidP="00E416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14B61" w:rsidRDefault="00514B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B61" w:rsidRDefault="00514B61" w:rsidP="00E416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514B61" w:rsidRDefault="00514B61" w:rsidP="00E4160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B61" w:rsidRDefault="00514B61">
      <w:pPr>
        <w:spacing w:line="240" w:lineRule="auto"/>
      </w:pPr>
      <w:r>
        <w:separator/>
      </w:r>
    </w:p>
  </w:footnote>
  <w:footnote w:type="continuationSeparator" w:id="1">
    <w:p w:rsidR="00514B61" w:rsidRDefault="00514B6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56202"/>
    <w:multiLevelType w:val="hybridMultilevel"/>
    <w:tmpl w:val="7FBE142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303C33D3"/>
    <w:multiLevelType w:val="hybridMultilevel"/>
    <w:tmpl w:val="A45004B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36035AAE"/>
    <w:multiLevelType w:val="hybridMultilevel"/>
    <w:tmpl w:val="30AC993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38C93BD4"/>
    <w:multiLevelType w:val="hybridMultilevel"/>
    <w:tmpl w:val="C76C006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4">
    <w:nsid w:val="416F1327"/>
    <w:multiLevelType w:val="hybridMultilevel"/>
    <w:tmpl w:val="B528444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8F865C5"/>
    <w:multiLevelType w:val="hybridMultilevel"/>
    <w:tmpl w:val="1FB6E29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661A5102"/>
    <w:multiLevelType w:val="hybridMultilevel"/>
    <w:tmpl w:val="913E68D0"/>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cs="Symbol"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7">
    <w:nsid w:val="67660E13"/>
    <w:multiLevelType w:val="hybridMultilevel"/>
    <w:tmpl w:val="AC4EC988"/>
    <w:lvl w:ilvl="0" w:tplc="69E00F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3"/>
  </w:num>
  <w:num w:numId="4">
    <w:abstractNumId w:val="2"/>
  </w:num>
  <w:num w:numId="5">
    <w:abstractNumId w:val="5"/>
  </w:num>
  <w:num w:numId="6">
    <w:abstractNumId w:val="6"/>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271A"/>
    <w:rsid w:val="0000216C"/>
    <w:rsid w:val="0000485E"/>
    <w:rsid w:val="00006044"/>
    <w:rsid w:val="00007CA4"/>
    <w:rsid w:val="0001163D"/>
    <w:rsid w:val="000123B1"/>
    <w:rsid w:val="00012B52"/>
    <w:rsid w:val="00012C2D"/>
    <w:rsid w:val="0002102F"/>
    <w:rsid w:val="00021DEA"/>
    <w:rsid w:val="00025BCF"/>
    <w:rsid w:val="00030615"/>
    <w:rsid w:val="00034658"/>
    <w:rsid w:val="0003571F"/>
    <w:rsid w:val="000403A5"/>
    <w:rsid w:val="0004184D"/>
    <w:rsid w:val="00050343"/>
    <w:rsid w:val="00050963"/>
    <w:rsid w:val="00050A76"/>
    <w:rsid w:val="00051AA2"/>
    <w:rsid w:val="00055962"/>
    <w:rsid w:val="00057024"/>
    <w:rsid w:val="00060A0E"/>
    <w:rsid w:val="00061D4D"/>
    <w:rsid w:val="00065E07"/>
    <w:rsid w:val="00072CF4"/>
    <w:rsid w:val="00077510"/>
    <w:rsid w:val="00080A2F"/>
    <w:rsid w:val="00080FF0"/>
    <w:rsid w:val="00082E9D"/>
    <w:rsid w:val="000872F1"/>
    <w:rsid w:val="0009593F"/>
    <w:rsid w:val="000962BB"/>
    <w:rsid w:val="000A0F5A"/>
    <w:rsid w:val="000A3FD5"/>
    <w:rsid w:val="000B0BFB"/>
    <w:rsid w:val="000B2376"/>
    <w:rsid w:val="000B4A20"/>
    <w:rsid w:val="000C0603"/>
    <w:rsid w:val="000C21D0"/>
    <w:rsid w:val="000C2334"/>
    <w:rsid w:val="000C23F7"/>
    <w:rsid w:val="000C4E01"/>
    <w:rsid w:val="000D1FAE"/>
    <w:rsid w:val="000D3827"/>
    <w:rsid w:val="000E2DA2"/>
    <w:rsid w:val="000E2F5A"/>
    <w:rsid w:val="000E32A7"/>
    <w:rsid w:val="000E4FA8"/>
    <w:rsid w:val="000E77AB"/>
    <w:rsid w:val="000F44FE"/>
    <w:rsid w:val="0010655B"/>
    <w:rsid w:val="00107489"/>
    <w:rsid w:val="001102A3"/>
    <w:rsid w:val="00113664"/>
    <w:rsid w:val="00113E23"/>
    <w:rsid w:val="001228F5"/>
    <w:rsid w:val="00126AA4"/>
    <w:rsid w:val="0013061F"/>
    <w:rsid w:val="00131E43"/>
    <w:rsid w:val="001329A5"/>
    <w:rsid w:val="001421B7"/>
    <w:rsid w:val="001509D0"/>
    <w:rsid w:val="00151979"/>
    <w:rsid w:val="00151D20"/>
    <w:rsid w:val="001566CB"/>
    <w:rsid w:val="001639FC"/>
    <w:rsid w:val="0016464B"/>
    <w:rsid w:val="0016566A"/>
    <w:rsid w:val="0016788C"/>
    <w:rsid w:val="00173F86"/>
    <w:rsid w:val="00174240"/>
    <w:rsid w:val="00175022"/>
    <w:rsid w:val="001758BA"/>
    <w:rsid w:val="00176515"/>
    <w:rsid w:val="00177D84"/>
    <w:rsid w:val="00182CDE"/>
    <w:rsid w:val="00190815"/>
    <w:rsid w:val="00191D79"/>
    <w:rsid w:val="00192B2A"/>
    <w:rsid w:val="00192CC4"/>
    <w:rsid w:val="00196479"/>
    <w:rsid w:val="001A13D1"/>
    <w:rsid w:val="001A3258"/>
    <w:rsid w:val="001B1A9D"/>
    <w:rsid w:val="001B1E35"/>
    <w:rsid w:val="001B27E4"/>
    <w:rsid w:val="001B5820"/>
    <w:rsid w:val="001C0969"/>
    <w:rsid w:val="001C170D"/>
    <w:rsid w:val="001C1D33"/>
    <w:rsid w:val="001C66F6"/>
    <w:rsid w:val="001D22EB"/>
    <w:rsid w:val="001D677B"/>
    <w:rsid w:val="001D7CD8"/>
    <w:rsid w:val="001E2BF6"/>
    <w:rsid w:val="001E40B3"/>
    <w:rsid w:val="001E4E1E"/>
    <w:rsid w:val="001F4053"/>
    <w:rsid w:val="002023C6"/>
    <w:rsid w:val="002030D9"/>
    <w:rsid w:val="00203FA2"/>
    <w:rsid w:val="00205257"/>
    <w:rsid w:val="00216261"/>
    <w:rsid w:val="00220991"/>
    <w:rsid w:val="0022166E"/>
    <w:rsid w:val="00222B05"/>
    <w:rsid w:val="00224360"/>
    <w:rsid w:val="00224DD0"/>
    <w:rsid w:val="00226916"/>
    <w:rsid w:val="002310B1"/>
    <w:rsid w:val="00240B0B"/>
    <w:rsid w:val="00240CB4"/>
    <w:rsid w:val="00245B99"/>
    <w:rsid w:val="002505DA"/>
    <w:rsid w:val="002524FA"/>
    <w:rsid w:val="002609D1"/>
    <w:rsid w:val="002664B4"/>
    <w:rsid w:val="002738AC"/>
    <w:rsid w:val="00273ACD"/>
    <w:rsid w:val="00274CAA"/>
    <w:rsid w:val="00276E8E"/>
    <w:rsid w:val="00280A5E"/>
    <w:rsid w:val="002855C2"/>
    <w:rsid w:val="00287B62"/>
    <w:rsid w:val="00293E14"/>
    <w:rsid w:val="002A1F4A"/>
    <w:rsid w:val="002A2661"/>
    <w:rsid w:val="002B56E0"/>
    <w:rsid w:val="002B6434"/>
    <w:rsid w:val="002B7481"/>
    <w:rsid w:val="002B7D57"/>
    <w:rsid w:val="002C38FB"/>
    <w:rsid w:val="002C57E9"/>
    <w:rsid w:val="002D2F64"/>
    <w:rsid w:val="002E0034"/>
    <w:rsid w:val="002E5FC3"/>
    <w:rsid w:val="002F2BAB"/>
    <w:rsid w:val="00302C88"/>
    <w:rsid w:val="00304D02"/>
    <w:rsid w:val="003117A3"/>
    <w:rsid w:val="00313488"/>
    <w:rsid w:val="00314DC8"/>
    <w:rsid w:val="0031557E"/>
    <w:rsid w:val="003165FC"/>
    <w:rsid w:val="00321AAC"/>
    <w:rsid w:val="00321EEB"/>
    <w:rsid w:val="00323DBB"/>
    <w:rsid w:val="003309CA"/>
    <w:rsid w:val="00332ED8"/>
    <w:rsid w:val="00335C36"/>
    <w:rsid w:val="00336508"/>
    <w:rsid w:val="00341780"/>
    <w:rsid w:val="00342646"/>
    <w:rsid w:val="0034387D"/>
    <w:rsid w:val="00350E31"/>
    <w:rsid w:val="003515B1"/>
    <w:rsid w:val="00352C28"/>
    <w:rsid w:val="00361B78"/>
    <w:rsid w:val="00361FF7"/>
    <w:rsid w:val="00365783"/>
    <w:rsid w:val="00367CA9"/>
    <w:rsid w:val="00370213"/>
    <w:rsid w:val="00382830"/>
    <w:rsid w:val="003837CC"/>
    <w:rsid w:val="00384416"/>
    <w:rsid w:val="0039241E"/>
    <w:rsid w:val="00392846"/>
    <w:rsid w:val="003A0609"/>
    <w:rsid w:val="003A2B38"/>
    <w:rsid w:val="003B1A8C"/>
    <w:rsid w:val="003B1FA6"/>
    <w:rsid w:val="003B254D"/>
    <w:rsid w:val="003B2D2B"/>
    <w:rsid w:val="003B300E"/>
    <w:rsid w:val="003B4591"/>
    <w:rsid w:val="003B62C7"/>
    <w:rsid w:val="003C122E"/>
    <w:rsid w:val="003C1CC8"/>
    <w:rsid w:val="003C51B9"/>
    <w:rsid w:val="003C5DB0"/>
    <w:rsid w:val="003C6CE5"/>
    <w:rsid w:val="003D3A1B"/>
    <w:rsid w:val="003D43FE"/>
    <w:rsid w:val="003D6F2A"/>
    <w:rsid w:val="003D7068"/>
    <w:rsid w:val="003E215E"/>
    <w:rsid w:val="003E2CFF"/>
    <w:rsid w:val="003E3864"/>
    <w:rsid w:val="003F249F"/>
    <w:rsid w:val="003F533D"/>
    <w:rsid w:val="003F74DE"/>
    <w:rsid w:val="003F7DDC"/>
    <w:rsid w:val="00401AEE"/>
    <w:rsid w:val="0041038B"/>
    <w:rsid w:val="004104C1"/>
    <w:rsid w:val="00412D21"/>
    <w:rsid w:val="0041707B"/>
    <w:rsid w:val="00417E1C"/>
    <w:rsid w:val="004239FD"/>
    <w:rsid w:val="00435130"/>
    <w:rsid w:val="00435409"/>
    <w:rsid w:val="004359F8"/>
    <w:rsid w:val="0043758A"/>
    <w:rsid w:val="004428F8"/>
    <w:rsid w:val="00450B53"/>
    <w:rsid w:val="00454AD7"/>
    <w:rsid w:val="0045688D"/>
    <w:rsid w:val="00456DC1"/>
    <w:rsid w:val="00462082"/>
    <w:rsid w:val="0046455C"/>
    <w:rsid w:val="00464594"/>
    <w:rsid w:val="00464BAA"/>
    <w:rsid w:val="00474822"/>
    <w:rsid w:val="00477FAE"/>
    <w:rsid w:val="004872C8"/>
    <w:rsid w:val="00490492"/>
    <w:rsid w:val="00490EDB"/>
    <w:rsid w:val="0049779D"/>
    <w:rsid w:val="004A047B"/>
    <w:rsid w:val="004B2456"/>
    <w:rsid w:val="004B307E"/>
    <w:rsid w:val="004B60BC"/>
    <w:rsid w:val="004D0CA0"/>
    <w:rsid w:val="004D21B8"/>
    <w:rsid w:val="004D37E3"/>
    <w:rsid w:val="004E60EB"/>
    <w:rsid w:val="004F23B1"/>
    <w:rsid w:val="004F2451"/>
    <w:rsid w:val="004F659A"/>
    <w:rsid w:val="00501AA2"/>
    <w:rsid w:val="00501DE9"/>
    <w:rsid w:val="00506972"/>
    <w:rsid w:val="00514B61"/>
    <w:rsid w:val="00514F96"/>
    <w:rsid w:val="005156C0"/>
    <w:rsid w:val="00533A84"/>
    <w:rsid w:val="0053452B"/>
    <w:rsid w:val="00534B19"/>
    <w:rsid w:val="00543FA2"/>
    <w:rsid w:val="00544AA0"/>
    <w:rsid w:val="00545320"/>
    <w:rsid w:val="00547A9E"/>
    <w:rsid w:val="00551B43"/>
    <w:rsid w:val="00556A12"/>
    <w:rsid w:val="00564A1E"/>
    <w:rsid w:val="00572297"/>
    <w:rsid w:val="0057594E"/>
    <w:rsid w:val="00577186"/>
    <w:rsid w:val="0057736B"/>
    <w:rsid w:val="00581B65"/>
    <w:rsid w:val="00592061"/>
    <w:rsid w:val="005923DA"/>
    <w:rsid w:val="00595BE8"/>
    <w:rsid w:val="005969B4"/>
    <w:rsid w:val="00597E48"/>
    <w:rsid w:val="005A269C"/>
    <w:rsid w:val="005A4E54"/>
    <w:rsid w:val="005A4E64"/>
    <w:rsid w:val="005A6322"/>
    <w:rsid w:val="005B6C76"/>
    <w:rsid w:val="005C01B9"/>
    <w:rsid w:val="005C1A8C"/>
    <w:rsid w:val="005C1F7E"/>
    <w:rsid w:val="005C58E9"/>
    <w:rsid w:val="005C631B"/>
    <w:rsid w:val="005D0639"/>
    <w:rsid w:val="005D2BF6"/>
    <w:rsid w:val="005D78D8"/>
    <w:rsid w:val="005E05A6"/>
    <w:rsid w:val="005E6E3B"/>
    <w:rsid w:val="006019D5"/>
    <w:rsid w:val="00607F2B"/>
    <w:rsid w:val="00610C5F"/>
    <w:rsid w:val="00611E46"/>
    <w:rsid w:val="00613585"/>
    <w:rsid w:val="00622742"/>
    <w:rsid w:val="00622CBB"/>
    <w:rsid w:val="00623409"/>
    <w:rsid w:val="00623E1B"/>
    <w:rsid w:val="006305C5"/>
    <w:rsid w:val="00630B97"/>
    <w:rsid w:val="00632869"/>
    <w:rsid w:val="00634957"/>
    <w:rsid w:val="00637B56"/>
    <w:rsid w:val="00637CAD"/>
    <w:rsid w:val="00641466"/>
    <w:rsid w:val="00647764"/>
    <w:rsid w:val="006502C2"/>
    <w:rsid w:val="00650729"/>
    <w:rsid w:val="00653641"/>
    <w:rsid w:val="00656EEF"/>
    <w:rsid w:val="0066035D"/>
    <w:rsid w:val="0066321D"/>
    <w:rsid w:val="006638B2"/>
    <w:rsid w:val="006642D6"/>
    <w:rsid w:val="00666DB3"/>
    <w:rsid w:val="00667330"/>
    <w:rsid w:val="006814D0"/>
    <w:rsid w:val="0068545C"/>
    <w:rsid w:val="00685E28"/>
    <w:rsid w:val="006914ED"/>
    <w:rsid w:val="006A6EA7"/>
    <w:rsid w:val="006B2141"/>
    <w:rsid w:val="006B5126"/>
    <w:rsid w:val="006B67BE"/>
    <w:rsid w:val="006B741D"/>
    <w:rsid w:val="006C10E0"/>
    <w:rsid w:val="006C50AF"/>
    <w:rsid w:val="006C5D86"/>
    <w:rsid w:val="006C74F8"/>
    <w:rsid w:val="006D2A80"/>
    <w:rsid w:val="006D414E"/>
    <w:rsid w:val="006D5561"/>
    <w:rsid w:val="006D631E"/>
    <w:rsid w:val="006E5D58"/>
    <w:rsid w:val="006E7A75"/>
    <w:rsid w:val="006F14A2"/>
    <w:rsid w:val="006F17D8"/>
    <w:rsid w:val="006F1AAA"/>
    <w:rsid w:val="006F2429"/>
    <w:rsid w:val="006F2553"/>
    <w:rsid w:val="00703BBD"/>
    <w:rsid w:val="007073D7"/>
    <w:rsid w:val="0071420D"/>
    <w:rsid w:val="00717A3B"/>
    <w:rsid w:val="00721271"/>
    <w:rsid w:val="00727553"/>
    <w:rsid w:val="00730479"/>
    <w:rsid w:val="007313A2"/>
    <w:rsid w:val="00731600"/>
    <w:rsid w:val="00733778"/>
    <w:rsid w:val="0073532E"/>
    <w:rsid w:val="00743122"/>
    <w:rsid w:val="0074711C"/>
    <w:rsid w:val="00762B89"/>
    <w:rsid w:val="007638F5"/>
    <w:rsid w:val="00764902"/>
    <w:rsid w:val="007709E8"/>
    <w:rsid w:val="00773A5D"/>
    <w:rsid w:val="00774C16"/>
    <w:rsid w:val="00780582"/>
    <w:rsid w:val="00781E3B"/>
    <w:rsid w:val="00783642"/>
    <w:rsid w:val="00785E9D"/>
    <w:rsid w:val="00794B72"/>
    <w:rsid w:val="00794DD3"/>
    <w:rsid w:val="007A05AC"/>
    <w:rsid w:val="007A4089"/>
    <w:rsid w:val="007B0738"/>
    <w:rsid w:val="007B0E95"/>
    <w:rsid w:val="007C0865"/>
    <w:rsid w:val="007C3864"/>
    <w:rsid w:val="007C3991"/>
    <w:rsid w:val="007C3AD3"/>
    <w:rsid w:val="007D35FE"/>
    <w:rsid w:val="007D4F37"/>
    <w:rsid w:val="007E6B73"/>
    <w:rsid w:val="007F247A"/>
    <w:rsid w:val="007F4546"/>
    <w:rsid w:val="007F717C"/>
    <w:rsid w:val="007F7579"/>
    <w:rsid w:val="00803856"/>
    <w:rsid w:val="0081051C"/>
    <w:rsid w:val="008170A9"/>
    <w:rsid w:val="00817780"/>
    <w:rsid w:val="008201A8"/>
    <w:rsid w:val="00823489"/>
    <w:rsid w:val="00823726"/>
    <w:rsid w:val="00825815"/>
    <w:rsid w:val="0083563A"/>
    <w:rsid w:val="008360EB"/>
    <w:rsid w:val="008410DD"/>
    <w:rsid w:val="00841B04"/>
    <w:rsid w:val="00845BFD"/>
    <w:rsid w:val="00846F64"/>
    <w:rsid w:val="00851CD0"/>
    <w:rsid w:val="00857C2E"/>
    <w:rsid w:val="008663BA"/>
    <w:rsid w:val="008675F2"/>
    <w:rsid w:val="00873228"/>
    <w:rsid w:val="00875D95"/>
    <w:rsid w:val="008766BC"/>
    <w:rsid w:val="00877F3F"/>
    <w:rsid w:val="008806E8"/>
    <w:rsid w:val="00882387"/>
    <w:rsid w:val="00892002"/>
    <w:rsid w:val="00892F37"/>
    <w:rsid w:val="00896E5C"/>
    <w:rsid w:val="008A2C4E"/>
    <w:rsid w:val="008A3DB3"/>
    <w:rsid w:val="008A5551"/>
    <w:rsid w:val="008A7FB0"/>
    <w:rsid w:val="008B2CBA"/>
    <w:rsid w:val="008B4C55"/>
    <w:rsid w:val="008B5013"/>
    <w:rsid w:val="008B6F5C"/>
    <w:rsid w:val="008C310C"/>
    <w:rsid w:val="008D21F0"/>
    <w:rsid w:val="008E3EBD"/>
    <w:rsid w:val="008E4D22"/>
    <w:rsid w:val="008E4DDE"/>
    <w:rsid w:val="008F4234"/>
    <w:rsid w:val="008F518F"/>
    <w:rsid w:val="00901219"/>
    <w:rsid w:val="009061BA"/>
    <w:rsid w:val="009076AA"/>
    <w:rsid w:val="00907B5C"/>
    <w:rsid w:val="009104A9"/>
    <w:rsid w:val="009150EC"/>
    <w:rsid w:val="00915495"/>
    <w:rsid w:val="0093074F"/>
    <w:rsid w:val="00935966"/>
    <w:rsid w:val="00936A97"/>
    <w:rsid w:val="00941322"/>
    <w:rsid w:val="00941622"/>
    <w:rsid w:val="00941ECF"/>
    <w:rsid w:val="0094205C"/>
    <w:rsid w:val="00943950"/>
    <w:rsid w:val="0095676A"/>
    <w:rsid w:val="00965932"/>
    <w:rsid w:val="00967485"/>
    <w:rsid w:val="009761E7"/>
    <w:rsid w:val="0097741A"/>
    <w:rsid w:val="009807C7"/>
    <w:rsid w:val="00983215"/>
    <w:rsid w:val="00983CBB"/>
    <w:rsid w:val="00983F70"/>
    <w:rsid w:val="009A47B6"/>
    <w:rsid w:val="009A557A"/>
    <w:rsid w:val="009A77EF"/>
    <w:rsid w:val="009B4572"/>
    <w:rsid w:val="009D1B15"/>
    <w:rsid w:val="009D1EEA"/>
    <w:rsid w:val="009D271A"/>
    <w:rsid w:val="009D2B3B"/>
    <w:rsid w:val="009D3BE0"/>
    <w:rsid w:val="009D68B2"/>
    <w:rsid w:val="009E30DD"/>
    <w:rsid w:val="009E345B"/>
    <w:rsid w:val="009E6314"/>
    <w:rsid w:val="009E742E"/>
    <w:rsid w:val="00A0202C"/>
    <w:rsid w:val="00A027C8"/>
    <w:rsid w:val="00A05862"/>
    <w:rsid w:val="00A101EF"/>
    <w:rsid w:val="00A11596"/>
    <w:rsid w:val="00A1269E"/>
    <w:rsid w:val="00A126B1"/>
    <w:rsid w:val="00A126DB"/>
    <w:rsid w:val="00A1320A"/>
    <w:rsid w:val="00A14736"/>
    <w:rsid w:val="00A21B37"/>
    <w:rsid w:val="00A24FFF"/>
    <w:rsid w:val="00A3178F"/>
    <w:rsid w:val="00A40D98"/>
    <w:rsid w:val="00A463DC"/>
    <w:rsid w:val="00A46EE5"/>
    <w:rsid w:val="00A47F28"/>
    <w:rsid w:val="00A51BC0"/>
    <w:rsid w:val="00A526D0"/>
    <w:rsid w:val="00A61FBF"/>
    <w:rsid w:val="00A621AE"/>
    <w:rsid w:val="00A6437D"/>
    <w:rsid w:val="00A674BB"/>
    <w:rsid w:val="00A76177"/>
    <w:rsid w:val="00A77049"/>
    <w:rsid w:val="00A80844"/>
    <w:rsid w:val="00A80959"/>
    <w:rsid w:val="00A82719"/>
    <w:rsid w:val="00A82E69"/>
    <w:rsid w:val="00A86D40"/>
    <w:rsid w:val="00A9133D"/>
    <w:rsid w:val="00AA6D09"/>
    <w:rsid w:val="00AB065F"/>
    <w:rsid w:val="00AB21A5"/>
    <w:rsid w:val="00AB76E3"/>
    <w:rsid w:val="00AB7DC7"/>
    <w:rsid w:val="00AC3DC3"/>
    <w:rsid w:val="00AC537B"/>
    <w:rsid w:val="00AC5E9E"/>
    <w:rsid w:val="00AD00A2"/>
    <w:rsid w:val="00AE40BD"/>
    <w:rsid w:val="00AE77C5"/>
    <w:rsid w:val="00AF16CA"/>
    <w:rsid w:val="00AF5AE9"/>
    <w:rsid w:val="00AF61D9"/>
    <w:rsid w:val="00B0066E"/>
    <w:rsid w:val="00B01857"/>
    <w:rsid w:val="00B068D2"/>
    <w:rsid w:val="00B14A6B"/>
    <w:rsid w:val="00B14C82"/>
    <w:rsid w:val="00B203EB"/>
    <w:rsid w:val="00B2186A"/>
    <w:rsid w:val="00B22BA2"/>
    <w:rsid w:val="00B305B8"/>
    <w:rsid w:val="00B36457"/>
    <w:rsid w:val="00B373EB"/>
    <w:rsid w:val="00B40F08"/>
    <w:rsid w:val="00B435A1"/>
    <w:rsid w:val="00B4793E"/>
    <w:rsid w:val="00B53631"/>
    <w:rsid w:val="00B61E0C"/>
    <w:rsid w:val="00B71500"/>
    <w:rsid w:val="00B7510A"/>
    <w:rsid w:val="00B76CA0"/>
    <w:rsid w:val="00B90EF0"/>
    <w:rsid w:val="00B92297"/>
    <w:rsid w:val="00B93878"/>
    <w:rsid w:val="00B97A5D"/>
    <w:rsid w:val="00BA0CC5"/>
    <w:rsid w:val="00BA2E66"/>
    <w:rsid w:val="00BB115F"/>
    <w:rsid w:val="00BC0604"/>
    <w:rsid w:val="00BC279D"/>
    <w:rsid w:val="00BC7DE2"/>
    <w:rsid w:val="00BD0165"/>
    <w:rsid w:val="00BD0764"/>
    <w:rsid w:val="00BD765D"/>
    <w:rsid w:val="00BE26B1"/>
    <w:rsid w:val="00BF04FE"/>
    <w:rsid w:val="00BF2856"/>
    <w:rsid w:val="00BF4613"/>
    <w:rsid w:val="00BF51BE"/>
    <w:rsid w:val="00BF59A5"/>
    <w:rsid w:val="00BF7AA4"/>
    <w:rsid w:val="00C10D88"/>
    <w:rsid w:val="00C223C8"/>
    <w:rsid w:val="00C243D2"/>
    <w:rsid w:val="00C25302"/>
    <w:rsid w:val="00C26947"/>
    <w:rsid w:val="00C269C8"/>
    <w:rsid w:val="00C30ABF"/>
    <w:rsid w:val="00C34CE9"/>
    <w:rsid w:val="00C35E83"/>
    <w:rsid w:val="00C36EF2"/>
    <w:rsid w:val="00C44DF8"/>
    <w:rsid w:val="00C51767"/>
    <w:rsid w:val="00C557F4"/>
    <w:rsid w:val="00C57768"/>
    <w:rsid w:val="00C6004D"/>
    <w:rsid w:val="00C6113B"/>
    <w:rsid w:val="00C61717"/>
    <w:rsid w:val="00C64461"/>
    <w:rsid w:val="00C748AF"/>
    <w:rsid w:val="00C8446F"/>
    <w:rsid w:val="00C860B9"/>
    <w:rsid w:val="00C8752A"/>
    <w:rsid w:val="00C902B9"/>
    <w:rsid w:val="00C97752"/>
    <w:rsid w:val="00C97FC1"/>
    <w:rsid w:val="00CA147D"/>
    <w:rsid w:val="00CA5C77"/>
    <w:rsid w:val="00CB0454"/>
    <w:rsid w:val="00CB4918"/>
    <w:rsid w:val="00CB4FC0"/>
    <w:rsid w:val="00CC19BF"/>
    <w:rsid w:val="00CC35DD"/>
    <w:rsid w:val="00CC73B0"/>
    <w:rsid w:val="00CE1E66"/>
    <w:rsid w:val="00CE40A1"/>
    <w:rsid w:val="00CE563D"/>
    <w:rsid w:val="00CE62B4"/>
    <w:rsid w:val="00CF5F46"/>
    <w:rsid w:val="00D0260C"/>
    <w:rsid w:val="00D07CF0"/>
    <w:rsid w:val="00D123B5"/>
    <w:rsid w:val="00D16EBC"/>
    <w:rsid w:val="00D20FEB"/>
    <w:rsid w:val="00D23E62"/>
    <w:rsid w:val="00D25531"/>
    <w:rsid w:val="00D25B5D"/>
    <w:rsid w:val="00D32E4F"/>
    <w:rsid w:val="00D36E6A"/>
    <w:rsid w:val="00D40066"/>
    <w:rsid w:val="00D405A6"/>
    <w:rsid w:val="00D4199F"/>
    <w:rsid w:val="00D46BF3"/>
    <w:rsid w:val="00D47147"/>
    <w:rsid w:val="00D510C1"/>
    <w:rsid w:val="00D57B20"/>
    <w:rsid w:val="00D66183"/>
    <w:rsid w:val="00D66336"/>
    <w:rsid w:val="00D67FCB"/>
    <w:rsid w:val="00D7511D"/>
    <w:rsid w:val="00D80012"/>
    <w:rsid w:val="00D80254"/>
    <w:rsid w:val="00D9064B"/>
    <w:rsid w:val="00D9544D"/>
    <w:rsid w:val="00DA0C2B"/>
    <w:rsid w:val="00DA0C6D"/>
    <w:rsid w:val="00DA199F"/>
    <w:rsid w:val="00DA3C1C"/>
    <w:rsid w:val="00DA5A1B"/>
    <w:rsid w:val="00DA6E2B"/>
    <w:rsid w:val="00DB1DDC"/>
    <w:rsid w:val="00DB441D"/>
    <w:rsid w:val="00DB6703"/>
    <w:rsid w:val="00DC12BB"/>
    <w:rsid w:val="00DC4485"/>
    <w:rsid w:val="00DC6B26"/>
    <w:rsid w:val="00DC73AF"/>
    <w:rsid w:val="00DC7C6E"/>
    <w:rsid w:val="00DD31AF"/>
    <w:rsid w:val="00DD42B1"/>
    <w:rsid w:val="00DD6284"/>
    <w:rsid w:val="00DD688C"/>
    <w:rsid w:val="00DE022E"/>
    <w:rsid w:val="00DE2DFB"/>
    <w:rsid w:val="00DE4C9E"/>
    <w:rsid w:val="00DF1383"/>
    <w:rsid w:val="00DF189E"/>
    <w:rsid w:val="00E00362"/>
    <w:rsid w:val="00E011B9"/>
    <w:rsid w:val="00E11818"/>
    <w:rsid w:val="00E20436"/>
    <w:rsid w:val="00E227A1"/>
    <w:rsid w:val="00E22C9F"/>
    <w:rsid w:val="00E27128"/>
    <w:rsid w:val="00E33288"/>
    <w:rsid w:val="00E41609"/>
    <w:rsid w:val="00E417A6"/>
    <w:rsid w:val="00E514E5"/>
    <w:rsid w:val="00E650F9"/>
    <w:rsid w:val="00E65A1C"/>
    <w:rsid w:val="00E6704B"/>
    <w:rsid w:val="00E74580"/>
    <w:rsid w:val="00E7463C"/>
    <w:rsid w:val="00E75435"/>
    <w:rsid w:val="00E75BFA"/>
    <w:rsid w:val="00E75EAD"/>
    <w:rsid w:val="00E80BC5"/>
    <w:rsid w:val="00E82B80"/>
    <w:rsid w:val="00E9102C"/>
    <w:rsid w:val="00E97328"/>
    <w:rsid w:val="00E973F1"/>
    <w:rsid w:val="00EA0AB9"/>
    <w:rsid w:val="00EA6573"/>
    <w:rsid w:val="00EB6FA1"/>
    <w:rsid w:val="00EC0585"/>
    <w:rsid w:val="00EC5215"/>
    <w:rsid w:val="00EC5E32"/>
    <w:rsid w:val="00ED11DC"/>
    <w:rsid w:val="00ED6A15"/>
    <w:rsid w:val="00ED78C5"/>
    <w:rsid w:val="00EE4537"/>
    <w:rsid w:val="00EF2FC2"/>
    <w:rsid w:val="00EF65EB"/>
    <w:rsid w:val="00F043FA"/>
    <w:rsid w:val="00F173B4"/>
    <w:rsid w:val="00F22483"/>
    <w:rsid w:val="00F23440"/>
    <w:rsid w:val="00F31635"/>
    <w:rsid w:val="00F33AEE"/>
    <w:rsid w:val="00F33CB1"/>
    <w:rsid w:val="00F37918"/>
    <w:rsid w:val="00F42EAB"/>
    <w:rsid w:val="00F4413A"/>
    <w:rsid w:val="00F504D0"/>
    <w:rsid w:val="00F52C49"/>
    <w:rsid w:val="00F56FF1"/>
    <w:rsid w:val="00F64652"/>
    <w:rsid w:val="00F8417B"/>
    <w:rsid w:val="00F84A57"/>
    <w:rsid w:val="00F851AC"/>
    <w:rsid w:val="00F85916"/>
    <w:rsid w:val="00F86A17"/>
    <w:rsid w:val="00F91B23"/>
    <w:rsid w:val="00F95F11"/>
    <w:rsid w:val="00FA0424"/>
    <w:rsid w:val="00FA288C"/>
    <w:rsid w:val="00FB1BEB"/>
    <w:rsid w:val="00FB4804"/>
    <w:rsid w:val="00FC134D"/>
    <w:rsid w:val="00FC4D57"/>
    <w:rsid w:val="00FC5F4D"/>
    <w:rsid w:val="00FD2DFF"/>
    <w:rsid w:val="00FD4EE2"/>
    <w:rsid w:val="00FD5660"/>
    <w:rsid w:val="00FD58F1"/>
    <w:rsid w:val="00FD6D9B"/>
    <w:rsid w:val="00FD7844"/>
    <w:rsid w:val="00FE09F8"/>
    <w:rsid w:val="00FE3212"/>
    <w:rsid w:val="00FF1E9F"/>
    <w:rsid w:val="00FF2BA3"/>
    <w:rsid w:val="00FF693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2BB"/>
    <w:pPr>
      <w:spacing w:line="240" w:lineRule="atLeast"/>
      <w:jc w:val="both"/>
    </w:pPr>
  </w:style>
  <w:style w:type="paragraph" w:styleId="Heading1">
    <w:name w:val="heading 1"/>
    <w:aliases w:val="H1-Sec.Head"/>
    <w:basedOn w:val="Normal"/>
    <w:next w:val="P1-StandPara"/>
    <w:link w:val="Heading1Char"/>
    <w:uiPriority w:val="99"/>
    <w:qFormat/>
    <w:rsid w:val="000962BB"/>
    <w:pPr>
      <w:keepNext/>
      <w:tabs>
        <w:tab w:val="left" w:pos="1152"/>
      </w:tabs>
      <w:spacing w:after="360" w:line="360" w:lineRule="atLeast"/>
      <w:ind w:left="1152" w:hanging="1152"/>
      <w:outlineLvl w:val="0"/>
    </w:pPr>
    <w:rPr>
      <w:b/>
      <w:bCs/>
    </w:rPr>
  </w:style>
  <w:style w:type="paragraph" w:styleId="Heading2">
    <w:name w:val="heading 2"/>
    <w:aliases w:val="H2-Sec. Head"/>
    <w:basedOn w:val="Normal"/>
    <w:next w:val="P1-StandPara"/>
    <w:link w:val="Heading2Char"/>
    <w:uiPriority w:val="99"/>
    <w:qFormat/>
    <w:rsid w:val="000962BB"/>
    <w:pPr>
      <w:keepNext/>
      <w:tabs>
        <w:tab w:val="left" w:pos="1152"/>
      </w:tabs>
      <w:spacing w:after="360" w:line="360" w:lineRule="atLeast"/>
      <w:ind w:left="432" w:hanging="432"/>
      <w:outlineLvl w:val="1"/>
    </w:pPr>
    <w:rPr>
      <w:b/>
      <w:bCs/>
    </w:rPr>
  </w:style>
  <w:style w:type="paragraph" w:styleId="Heading4">
    <w:name w:val="heading 4"/>
    <w:basedOn w:val="Normal"/>
    <w:next w:val="Normal"/>
    <w:link w:val="Heading4Char"/>
    <w:uiPriority w:val="99"/>
    <w:qFormat/>
    <w:rsid w:val="00DD6284"/>
    <w:pPr>
      <w:keepNext/>
      <w:keepLines/>
      <w:spacing w:before="200"/>
      <w:outlineLvl w:val="3"/>
    </w:pPr>
    <w:rPr>
      <w:rFonts w:ascii="Cambria" w:hAnsi="Cambria" w:cs="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rsid w:val="0093074F"/>
    <w:rPr>
      <w:rFonts w:ascii="Cambria" w:hAnsi="Cambria" w:cs="Cambria"/>
      <w:b/>
      <w:bCs/>
      <w:kern w:val="32"/>
      <w:sz w:val="32"/>
      <w:szCs w:val="32"/>
    </w:rPr>
  </w:style>
  <w:style w:type="character" w:customStyle="1" w:styleId="Heading2Char">
    <w:name w:val="Heading 2 Char"/>
    <w:aliases w:val="H2-Sec. Head Char"/>
    <w:basedOn w:val="DefaultParagraphFont"/>
    <w:link w:val="Heading2"/>
    <w:uiPriority w:val="99"/>
    <w:semiHidden/>
    <w:rsid w:val="0093074F"/>
    <w:rPr>
      <w:rFonts w:ascii="Cambria" w:hAnsi="Cambria" w:cs="Cambria"/>
      <w:b/>
      <w:bCs/>
      <w:i/>
      <w:iCs/>
      <w:sz w:val="28"/>
      <w:szCs w:val="28"/>
    </w:rPr>
  </w:style>
  <w:style w:type="character" w:customStyle="1" w:styleId="Heading4Char">
    <w:name w:val="Heading 4 Char"/>
    <w:basedOn w:val="DefaultParagraphFont"/>
    <w:link w:val="Heading4"/>
    <w:uiPriority w:val="99"/>
    <w:semiHidden/>
    <w:rsid w:val="00DD6284"/>
    <w:rPr>
      <w:rFonts w:ascii="Cambria" w:hAnsi="Cambria" w:cs="Cambria"/>
      <w:b/>
      <w:bCs/>
      <w:i/>
      <w:iCs/>
      <w:color w:val="4F81BD"/>
      <w:sz w:val="22"/>
      <w:szCs w:val="22"/>
    </w:rPr>
  </w:style>
  <w:style w:type="paragraph" w:customStyle="1" w:styleId="P1-StandPara">
    <w:name w:val="P1-Stand Para"/>
    <w:uiPriority w:val="99"/>
    <w:rsid w:val="000962BB"/>
    <w:pPr>
      <w:spacing w:line="480" w:lineRule="auto"/>
      <w:ind w:firstLine="720"/>
    </w:pPr>
  </w:style>
  <w:style w:type="paragraph" w:styleId="TOC1">
    <w:name w:val="toc 1"/>
    <w:basedOn w:val="Normal"/>
    <w:autoRedefine/>
    <w:uiPriority w:val="99"/>
    <w:semiHidden/>
    <w:rsid w:val="000962BB"/>
    <w:pPr>
      <w:tabs>
        <w:tab w:val="left" w:pos="720"/>
        <w:tab w:val="right" w:leader="dot" w:pos="9494"/>
      </w:tabs>
      <w:spacing w:before="120" w:after="120" w:line="480" w:lineRule="auto"/>
      <w:jc w:val="center"/>
    </w:pPr>
    <w:rPr>
      <w:b/>
      <w:bCs/>
      <w:caps/>
      <w:noProof/>
      <w:sz w:val="24"/>
      <w:szCs w:val="24"/>
    </w:rPr>
  </w:style>
  <w:style w:type="paragraph" w:styleId="TOC2">
    <w:name w:val="toc 2"/>
    <w:basedOn w:val="Normal"/>
    <w:autoRedefine/>
    <w:uiPriority w:val="99"/>
    <w:semiHidden/>
    <w:rsid w:val="00D4199F"/>
    <w:pPr>
      <w:tabs>
        <w:tab w:val="left" w:pos="720"/>
        <w:tab w:val="right" w:leader="dot" w:pos="9494"/>
      </w:tabs>
      <w:spacing w:beforeLines="120" w:afterLines="120"/>
      <w:jc w:val="left"/>
    </w:pPr>
    <w:rPr>
      <w:b/>
      <w:bCs/>
      <w:smallCaps/>
      <w:sz w:val="24"/>
      <w:szCs w:val="24"/>
    </w:rPr>
  </w:style>
  <w:style w:type="paragraph" w:styleId="BodyText">
    <w:name w:val="Body Text"/>
    <w:basedOn w:val="Normal"/>
    <w:link w:val="BodyTextChar"/>
    <w:uiPriority w:val="99"/>
    <w:rsid w:val="000962BB"/>
    <w:pPr>
      <w:spacing w:after="120"/>
    </w:pPr>
  </w:style>
  <w:style w:type="character" w:customStyle="1" w:styleId="BodyTextChar">
    <w:name w:val="Body Text Char"/>
    <w:basedOn w:val="DefaultParagraphFont"/>
    <w:link w:val="BodyText"/>
    <w:uiPriority w:val="99"/>
    <w:semiHidden/>
    <w:rsid w:val="0093074F"/>
  </w:style>
  <w:style w:type="paragraph" w:styleId="Footer">
    <w:name w:val="footer"/>
    <w:basedOn w:val="Normal"/>
    <w:link w:val="FooterChar"/>
    <w:uiPriority w:val="99"/>
    <w:rsid w:val="00E41609"/>
    <w:pPr>
      <w:tabs>
        <w:tab w:val="center" w:pos="4320"/>
        <w:tab w:val="right" w:pos="8640"/>
      </w:tabs>
    </w:pPr>
  </w:style>
  <w:style w:type="character" w:customStyle="1" w:styleId="FooterChar">
    <w:name w:val="Footer Char"/>
    <w:basedOn w:val="DefaultParagraphFont"/>
    <w:link w:val="Footer"/>
    <w:uiPriority w:val="99"/>
    <w:semiHidden/>
    <w:rsid w:val="0093074F"/>
  </w:style>
  <w:style w:type="character" w:styleId="PageNumber">
    <w:name w:val="page number"/>
    <w:basedOn w:val="DefaultParagraphFont"/>
    <w:uiPriority w:val="99"/>
    <w:rsid w:val="00E41609"/>
  </w:style>
  <w:style w:type="paragraph" w:styleId="BalloonText">
    <w:name w:val="Balloon Text"/>
    <w:basedOn w:val="Normal"/>
    <w:link w:val="BalloonTextChar"/>
    <w:uiPriority w:val="99"/>
    <w:semiHidden/>
    <w:rsid w:val="00CA147D"/>
    <w:rPr>
      <w:rFonts w:ascii="Tahoma" w:hAnsi="Tahoma" w:cs="Tahoma"/>
      <w:sz w:val="16"/>
      <w:szCs w:val="16"/>
    </w:rPr>
  </w:style>
  <w:style w:type="character" w:customStyle="1" w:styleId="BalloonTextChar">
    <w:name w:val="Balloon Text Char"/>
    <w:basedOn w:val="DefaultParagraphFont"/>
    <w:link w:val="BalloonText"/>
    <w:uiPriority w:val="99"/>
    <w:semiHidden/>
    <w:rsid w:val="0093074F"/>
    <w:rPr>
      <w:sz w:val="2"/>
      <w:szCs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8</Pages>
  <Words>1410</Words>
  <Characters>8037</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Vivian Horovitch-Kelley</dc:creator>
  <cp:keywords/>
  <dc:description/>
  <cp:lastModifiedBy>Vivian Horovitch-Kelley</cp:lastModifiedBy>
  <cp:revision>4</cp:revision>
  <cp:lastPrinted>2008-10-01T13:23:00Z</cp:lastPrinted>
  <dcterms:created xsi:type="dcterms:W3CDTF">2008-10-10T14:36:00Z</dcterms:created>
  <dcterms:modified xsi:type="dcterms:W3CDTF">2008-10-10T17:24:00Z</dcterms:modified>
</cp:coreProperties>
</file>