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98" w:rsidRPr="007D7A66" w:rsidRDefault="00C56098" w:rsidP="00AF7DD0">
      <w:pPr>
        <w:pStyle w:val="BodyText3"/>
        <w:spacing w:before="60" w:after="0"/>
        <w:rPr>
          <w:rFonts w:cs="Arial"/>
          <w:b/>
          <w:bCs/>
          <w:sz w:val="24"/>
          <w:szCs w:val="24"/>
        </w:rPr>
      </w:pPr>
      <w:r w:rsidRPr="007D7A66">
        <w:rPr>
          <w:rFonts w:cs="Arial"/>
          <w:b/>
          <w:bCs/>
          <w:sz w:val="24"/>
          <w:szCs w:val="24"/>
        </w:rPr>
        <w:t xml:space="preserve">Memorandum </w:t>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t xml:space="preserve">United States Department of Education </w:t>
      </w:r>
    </w:p>
    <w:p w:rsidR="00C56098" w:rsidRPr="007D7A66" w:rsidRDefault="00C56098" w:rsidP="00AF7DD0">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C56098" w:rsidRPr="007D7A66" w:rsidRDefault="00C56098" w:rsidP="00AF7DD0">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C56098" w:rsidRPr="007D7A66" w:rsidRDefault="00C56098" w:rsidP="00AF7DD0">
      <w:pPr>
        <w:pBdr>
          <w:bottom w:val="single" w:sz="24" w:space="1" w:color="auto"/>
        </w:pBdr>
        <w:spacing w:before="60"/>
        <w:rPr>
          <w:rFonts w:cs="Arial"/>
          <w:sz w:val="24"/>
        </w:rPr>
      </w:pPr>
    </w:p>
    <w:p w:rsidR="00C56098" w:rsidRPr="007D7A66" w:rsidRDefault="00C56098" w:rsidP="004A2714">
      <w:pPr>
        <w:rPr>
          <w:rFonts w:cs="Arial"/>
          <w:sz w:val="24"/>
        </w:rPr>
      </w:pPr>
    </w:p>
    <w:p w:rsidR="00C56098" w:rsidRPr="00E63DDD" w:rsidRDefault="00C56098" w:rsidP="007203E3">
      <w:pPr>
        <w:spacing w:line="300" w:lineRule="atLeast"/>
        <w:rPr>
          <w:rFonts w:cs="Arial"/>
          <w:sz w:val="24"/>
        </w:rPr>
      </w:pPr>
      <w:r w:rsidRPr="00E63DDD">
        <w:rPr>
          <w:rFonts w:cs="Arial"/>
          <w:sz w:val="24"/>
        </w:rPr>
        <w:t>DATE:</w:t>
      </w:r>
      <w:r w:rsidRPr="00E63DDD">
        <w:rPr>
          <w:rFonts w:cs="Arial"/>
          <w:sz w:val="24"/>
        </w:rPr>
        <w:tab/>
      </w:r>
      <w:r w:rsidRPr="00E63DDD">
        <w:rPr>
          <w:rFonts w:cs="Arial"/>
          <w:sz w:val="24"/>
        </w:rPr>
        <w:tab/>
      </w:r>
      <w:r w:rsidR="003F3149">
        <w:rPr>
          <w:rFonts w:cs="Arial"/>
          <w:sz w:val="24"/>
        </w:rPr>
        <w:t xml:space="preserve">June </w:t>
      </w:r>
      <w:r w:rsidR="007E3A2F">
        <w:rPr>
          <w:rFonts w:cs="Arial"/>
          <w:sz w:val="24"/>
        </w:rPr>
        <w:t>6</w:t>
      </w:r>
      <w:r w:rsidR="00C55583">
        <w:rPr>
          <w:rFonts w:cs="Arial"/>
          <w:sz w:val="24"/>
        </w:rPr>
        <w:t xml:space="preserve">, </w:t>
      </w:r>
      <w:r w:rsidR="00CE2311">
        <w:rPr>
          <w:rFonts w:cs="Arial"/>
          <w:sz w:val="24"/>
        </w:rPr>
        <w:t>2011</w:t>
      </w:r>
    </w:p>
    <w:p w:rsidR="00C56098" w:rsidRPr="00A867F4" w:rsidRDefault="00C56098" w:rsidP="00D474D2">
      <w:pPr>
        <w:spacing w:line="300" w:lineRule="atLeast"/>
        <w:rPr>
          <w:rFonts w:cs="Arial"/>
          <w:sz w:val="24"/>
        </w:rPr>
      </w:pPr>
      <w:r w:rsidRPr="00E63DDD">
        <w:rPr>
          <w:rFonts w:cs="Arial"/>
          <w:sz w:val="24"/>
        </w:rPr>
        <w:t>FROM:</w:t>
      </w:r>
      <w:r w:rsidRPr="00E63DDD">
        <w:rPr>
          <w:rFonts w:cs="Arial"/>
          <w:sz w:val="24"/>
        </w:rPr>
        <w:tab/>
      </w:r>
      <w:r w:rsidR="00A867F4" w:rsidRPr="00A867F4">
        <w:rPr>
          <w:rFonts w:cs="Arial"/>
          <w:sz w:val="24"/>
        </w:rPr>
        <w:t>Elise Miller</w:t>
      </w:r>
      <w:r w:rsidRPr="00A867F4">
        <w:rPr>
          <w:rFonts w:cs="Arial"/>
          <w:sz w:val="24"/>
        </w:rPr>
        <w:t>, NCES</w:t>
      </w:r>
      <w:r w:rsidRPr="00A867F4">
        <w:rPr>
          <w:rFonts w:cs="Arial"/>
          <w:sz w:val="24"/>
        </w:rPr>
        <w:tab/>
      </w:r>
    </w:p>
    <w:p w:rsidR="00C56098" w:rsidRPr="00E63DDD" w:rsidRDefault="00C56098" w:rsidP="00472D72">
      <w:pPr>
        <w:spacing w:line="300" w:lineRule="atLeast"/>
        <w:rPr>
          <w:rFonts w:cs="Arial"/>
          <w:sz w:val="24"/>
        </w:rPr>
      </w:pPr>
      <w:r w:rsidRPr="00A867F4">
        <w:rPr>
          <w:rFonts w:cs="Arial"/>
          <w:sz w:val="24"/>
        </w:rPr>
        <w:t>TO:</w:t>
      </w:r>
      <w:r w:rsidRPr="00A867F4">
        <w:rPr>
          <w:rFonts w:cs="Arial"/>
          <w:sz w:val="24"/>
        </w:rPr>
        <w:tab/>
      </w:r>
      <w:r w:rsidRPr="00A867F4">
        <w:rPr>
          <w:rFonts w:cs="Arial"/>
          <w:sz w:val="24"/>
        </w:rPr>
        <w:tab/>
        <w:t>Shelly Martinez, OMB</w:t>
      </w:r>
    </w:p>
    <w:p w:rsidR="00C56098" w:rsidRPr="00E63DDD" w:rsidRDefault="00C56098" w:rsidP="00472D72">
      <w:pPr>
        <w:spacing w:line="300" w:lineRule="atLeast"/>
        <w:rPr>
          <w:rFonts w:cs="Arial"/>
          <w:sz w:val="24"/>
        </w:rPr>
      </w:pPr>
      <w:r w:rsidRPr="00A867F4">
        <w:rPr>
          <w:rFonts w:cs="Arial"/>
          <w:sz w:val="24"/>
        </w:rPr>
        <w:t>THROUGH:</w:t>
      </w:r>
      <w:r w:rsidRPr="00A867F4">
        <w:rPr>
          <w:rFonts w:cs="Arial"/>
          <w:sz w:val="24"/>
        </w:rPr>
        <w:tab/>
        <w:t>Kashka Kubzdela, NCES</w:t>
      </w:r>
      <w:r w:rsidRPr="00E63DDD">
        <w:rPr>
          <w:rFonts w:cs="Arial"/>
          <w:sz w:val="24"/>
        </w:rPr>
        <w:tab/>
      </w:r>
      <w:r w:rsidRPr="00E63DDD">
        <w:rPr>
          <w:rFonts w:cs="Arial"/>
          <w:sz w:val="24"/>
        </w:rPr>
        <w:tab/>
      </w:r>
      <w:r w:rsidRPr="00E63DDD">
        <w:rPr>
          <w:rFonts w:cs="Arial"/>
          <w:sz w:val="24"/>
        </w:rPr>
        <w:tab/>
      </w:r>
      <w:r w:rsidRPr="00E63DDD">
        <w:rPr>
          <w:rFonts w:cs="Arial"/>
          <w:sz w:val="24"/>
        </w:rPr>
        <w:tab/>
      </w:r>
      <w:r w:rsidRPr="00E63DDD">
        <w:rPr>
          <w:rFonts w:cs="Arial"/>
          <w:sz w:val="24"/>
        </w:rPr>
        <w:tab/>
      </w:r>
    </w:p>
    <w:p w:rsidR="00C56098" w:rsidRPr="00E63DDD" w:rsidRDefault="00C56098" w:rsidP="006624CC">
      <w:pPr>
        <w:pStyle w:val="question"/>
        <w:numPr>
          <w:ilvl w:val="0"/>
          <w:numId w:val="0"/>
        </w:numPr>
        <w:tabs>
          <w:tab w:val="left" w:pos="0"/>
        </w:tabs>
        <w:spacing w:before="0" w:after="0" w:line="300" w:lineRule="atLeast"/>
        <w:ind w:left="1440" w:right="-180" w:hanging="1440"/>
        <w:rPr>
          <w:sz w:val="24"/>
          <w:szCs w:val="24"/>
        </w:rPr>
      </w:pPr>
      <w:r w:rsidRPr="00E63DDD">
        <w:rPr>
          <w:sz w:val="24"/>
          <w:szCs w:val="24"/>
        </w:rPr>
        <w:t>SUBJECT:</w:t>
      </w:r>
      <w:r w:rsidRPr="00E63DDD">
        <w:rPr>
          <w:sz w:val="24"/>
          <w:szCs w:val="24"/>
        </w:rPr>
        <w:tab/>
      </w:r>
      <w:r w:rsidR="00C55583">
        <w:rPr>
          <w:sz w:val="24"/>
          <w:szCs w:val="24"/>
        </w:rPr>
        <w:t>Focus Groups</w:t>
      </w:r>
      <w:r w:rsidRPr="00E63DDD">
        <w:rPr>
          <w:sz w:val="24"/>
          <w:szCs w:val="24"/>
        </w:rPr>
        <w:t xml:space="preserve"> </w:t>
      </w:r>
      <w:r w:rsidR="00A867F4">
        <w:rPr>
          <w:sz w:val="24"/>
          <w:szCs w:val="24"/>
        </w:rPr>
        <w:t xml:space="preserve">with </w:t>
      </w:r>
      <w:r w:rsidRPr="00E63DDD">
        <w:rPr>
          <w:sz w:val="24"/>
          <w:szCs w:val="24"/>
        </w:rPr>
        <w:t xml:space="preserve">High School </w:t>
      </w:r>
      <w:r w:rsidR="00C55583">
        <w:rPr>
          <w:sz w:val="24"/>
          <w:szCs w:val="24"/>
        </w:rPr>
        <w:t xml:space="preserve">Seniors and Guidance Counselors, Consumer Information on the College Navigator Website </w:t>
      </w:r>
      <w:r w:rsidR="001C62DB">
        <w:rPr>
          <w:sz w:val="24"/>
          <w:szCs w:val="24"/>
        </w:rPr>
        <w:br/>
      </w:r>
      <w:r w:rsidRPr="00E63DDD">
        <w:rPr>
          <w:sz w:val="24"/>
          <w:szCs w:val="24"/>
        </w:rPr>
        <w:t xml:space="preserve">(OMB# </w:t>
      </w:r>
      <w:r w:rsidR="00CB1158">
        <w:rPr>
          <w:sz w:val="24"/>
          <w:szCs w:val="24"/>
        </w:rPr>
        <w:t>180</w:t>
      </w:r>
      <w:r w:rsidRPr="00A867F4">
        <w:rPr>
          <w:sz w:val="24"/>
          <w:szCs w:val="24"/>
        </w:rPr>
        <w:t>0-0</w:t>
      </w:r>
      <w:r w:rsidR="00CB1158">
        <w:rPr>
          <w:sz w:val="24"/>
          <w:szCs w:val="24"/>
        </w:rPr>
        <w:t>011</w:t>
      </w:r>
      <w:r w:rsidRPr="00A867F4">
        <w:rPr>
          <w:sz w:val="24"/>
          <w:szCs w:val="24"/>
        </w:rPr>
        <w:t xml:space="preserve"> v.</w:t>
      </w:r>
      <w:r w:rsidR="00CB1158">
        <w:rPr>
          <w:sz w:val="24"/>
          <w:szCs w:val="24"/>
        </w:rPr>
        <w:t>163</w:t>
      </w:r>
      <w:r w:rsidRPr="00A867F4">
        <w:rPr>
          <w:sz w:val="24"/>
          <w:szCs w:val="24"/>
        </w:rPr>
        <w:t>)</w:t>
      </w:r>
    </w:p>
    <w:p w:rsidR="00C56098" w:rsidRPr="007D7A66" w:rsidRDefault="00C56098" w:rsidP="00C26E2D">
      <w:pPr>
        <w:pStyle w:val="question"/>
        <w:numPr>
          <w:ilvl w:val="0"/>
          <w:numId w:val="0"/>
        </w:numPr>
        <w:tabs>
          <w:tab w:val="left" w:pos="0"/>
        </w:tabs>
        <w:spacing w:before="0" w:after="0" w:line="240" w:lineRule="auto"/>
        <w:ind w:left="1267" w:hanging="1267"/>
        <w:rPr>
          <w:sz w:val="24"/>
          <w:szCs w:val="24"/>
        </w:rPr>
      </w:pPr>
    </w:p>
    <w:p w:rsidR="00C56098" w:rsidRDefault="00C56098" w:rsidP="002B1AD1">
      <w:pPr>
        <w:pStyle w:val="Heading2"/>
        <w:spacing w:after="120" w:line="360" w:lineRule="auto"/>
        <w:ind w:left="0"/>
        <w:rPr>
          <w:rFonts w:ascii="Arial" w:hAnsi="Arial" w:cs="Arial"/>
          <w:i w:val="0"/>
          <w:iCs w:val="0"/>
        </w:rPr>
      </w:pPr>
      <w:bookmarkStart w:id="0" w:name="_Toc223245302"/>
    </w:p>
    <w:p w:rsidR="00C56098" w:rsidRPr="007D7A66" w:rsidRDefault="00C56098" w:rsidP="002B1AD1">
      <w:pPr>
        <w:pStyle w:val="Heading2"/>
        <w:spacing w:after="120" w:line="360" w:lineRule="auto"/>
        <w:ind w:left="0"/>
        <w:rPr>
          <w:rFonts w:ascii="Arial" w:hAnsi="Arial" w:cs="Arial"/>
          <w:i w:val="0"/>
          <w:iCs w:val="0"/>
        </w:rPr>
      </w:pPr>
      <w:r w:rsidRPr="007D7A66">
        <w:rPr>
          <w:rFonts w:ascii="Arial" w:hAnsi="Arial" w:cs="Arial"/>
          <w:i w:val="0"/>
          <w:iCs w:val="0"/>
        </w:rPr>
        <w:t>Submittal-Related Information</w:t>
      </w:r>
      <w:bookmarkEnd w:id="0"/>
    </w:p>
    <w:p w:rsidR="005A4D18" w:rsidRDefault="00C56098" w:rsidP="00CB1158">
      <w:pPr>
        <w:rPr>
          <w:rFonts w:ascii="Garamond" w:hAnsi="Garamond"/>
        </w:rPr>
      </w:pPr>
      <w:r w:rsidRPr="003965A1">
        <w:t xml:space="preserve">The following material is being submitted under the </w:t>
      </w:r>
      <w:r w:rsidR="00CB1158">
        <w:t xml:space="preserve">U.S. Department of Education’s </w:t>
      </w:r>
      <w:r w:rsidR="00CB1158" w:rsidRPr="00CB1158">
        <w:t xml:space="preserve">Generic </w:t>
      </w:r>
      <w:proofErr w:type="gramStart"/>
      <w:r w:rsidR="00CB1158" w:rsidRPr="00CB1158">
        <w:t>Clearance of Customer Service Satisfaction Collections (OMB# 1800-0011)</w:t>
      </w:r>
      <w:r w:rsidR="007E3A2F">
        <w:t>.</w:t>
      </w:r>
      <w:proofErr w:type="gramEnd"/>
      <w:r w:rsidR="007E3A2F">
        <w:t xml:space="preserve"> </w:t>
      </w:r>
      <w:r w:rsidR="007E3A2F" w:rsidRPr="007E3A2F">
        <w:t>This generic clearance provides for the Department to conduct surveys and other studies to evaluate customer satisfaction.</w:t>
      </w:r>
      <w:r w:rsidRPr="003965A1">
        <w:t xml:space="preserve"> The request for approval described in this memorandum is to conduct </w:t>
      </w:r>
      <w:r w:rsidR="00C55583">
        <w:t>focus groups</w:t>
      </w:r>
      <w:r w:rsidRPr="003965A1">
        <w:t xml:space="preserve"> with </w:t>
      </w:r>
      <w:r w:rsidR="00C55583">
        <w:t>graduating seniors</w:t>
      </w:r>
      <w:r w:rsidRPr="003965A1">
        <w:t xml:space="preserve"> and </w:t>
      </w:r>
      <w:r w:rsidR="00C55583">
        <w:t xml:space="preserve">high school </w:t>
      </w:r>
      <w:r w:rsidR="005A4D18">
        <w:t xml:space="preserve">guidance </w:t>
      </w:r>
      <w:r w:rsidR="00C55583">
        <w:t xml:space="preserve">counselors, </w:t>
      </w:r>
      <w:r w:rsidRPr="003965A1">
        <w:t xml:space="preserve">the results of which will </w:t>
      </w:r>
      <w:r w:rsidR="005A4D18">
        <w:t xml:space="preserve">lead to </w:t>
      </w:r>
      <w:r w:rsidR="00D376D8">
        <w:t>revisions to</w:t>
      </w:r>
      <w:r w:rsidR="00C55583">
        <w:t xml:space="preserve"> the College Navigator </w:t>
      </w:r>
      <w:r w:rsidR="005A4D18">
        <w:t xml:space="preserve">website </w:t>
      </w:r>
      <w:r w:rsidR="00C55583">
        <w:t>that will allow students to compare key data elements on postsecondary institutions.</w:t>
      </w:r>
      <w:r w:rsidRPr="003965A1">
        <w:t xml:space="preserve"> </w:t>
      </w:r>
      <w:r w:rsidR="00C55583">
        <w:t>The subject of the focus group is the information students</w:t>
      </w:r>
      <w:r w:rsidR="005A4D18">
        <w:t xml:space="preserve"> want and need to</w:t>
      </w:r>
      <w:r w:rsidR="00C55583">
        <w:t xml:space="preserve"> </w:t>
      </w:r>
      <w:r w:rsidR="001C62DB">
        <w:t>have</w:t>
      </w:r>
      <w:r w:rsidR="005A4D18">
        <w:t xml:space="preserve"> </w:t>
      </w:r>
      <w:r w:rsidR="007D6C8A">
        <w:t>when they</w:t>
      </w:r>
      <w:r w:rsidR="00C55583">
        <w:t xml:space="preserve"> search for</w:t>
      </w:r>
      <w:r w:rsidR="005A4D18">
        <w:t xml:space="preserve"> and </w:t>
      </w:r>
      <w:r w:rsidR="00C55583">
        <w:t>compare</w:t>
      </w:r>
      <w:r w:rsidR="005A4D18">
        <w:t xml:space="preserve"> colleges </w:t>
      </w:r>
      <w:r w:rsidR="007D6C8A">
        <w:t xml:space="preserve">in order </w:t>
      </w:r>
      <w:r w:rsidR="005A4D18">
        <w:t xml:space="preserve">to make informed decisions about which </w:t>
      </w:r>
      <w:r w:rsidR="001C62DB">
        <w:t xml:space="preserve">institutions </w:t>
      </w:r>
      <w:r w:rsidR="005A4D18">
        <w:t xml:space="preserve">to apply to and attend.  </w:t>
      </w:r>
    </w:p>
    <w:p w:rsidR="00C56098" w:rsidRPr="007D7A66" w:rsidRDefault="00C56098"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9B3D1A" w:rsidRPr="00B721C1" w:rsidRDefault="005A4D18" w:rsidP="000E25A7">
      <w:pPr>
        <w:pStyle w:val="BodyText1"/>
        <w:rPr>
          <w:szCs w:val="24"/>
        </w:rPr>
      </w:pPr>
      <w:r w:rsidRPr="00B721C1">
        <w:rPr>
          <w:szCs w:val="24"/>
        </w:rPr>
        <w:t xml:space="preserve">College Navigator, developed by </w:t>
      </w:r>
      <w:r w:rsidR="001C62DB">
        <w:rPr>
          <w:szCs w:val="24"/>
        </w:rPr>
        <w:t>NCES</w:t>
      </w:r>
      <w:r w:rsidR="0062505B">
        <w:rPr>
          <w:szCs w:val="24"/>
        </w:rPr>
        <w:t xml:space="preserve"> in 2007</w:t>
      </w:r>
      <w:r w:rsidR="001C62DB">
        <w:rPr>
          <w:szCs w:val="24"/>
        </w:rPr>
        <w:t xml:space="preserve">, </w:t>
      </w:r>
      <w:r w:rsidRPr="00B721C1">
        <w:rPr>
          <w:szCs w:val="24"/>
        </w:rPr>
        <w:t xml:space="preserve">is </w:t>
      </w:r>
      <w:r w:rsidRPr="00B721C1">
        <w:rPr>
          <w:color w:val="000000"/>
          <w:szCs w:val="24"/>
        </w:rPr>
        <w:t xml:space="preserve">a free web-based consumer information tool designed to help students, parents, high school counselors, and consumers search for and obtain information about </w:t>
      </w:r>
      <w:r w:rsidR="001C62DB">
        <w:rPr>
          <w:color w:val="000000"/>
          <w:szCs w:val="24"/>
        </w:rPr>
        <w:t xml:space="preserve">more than </w:t>
      </w:r>
      <w:r w:rsidRPr="00B721C1">
        <w:rPr>
          <w:color w:val="000000"/>
          <w:szCs w:val="24"/>
        </w:rPr>
        <w:t xml:space="preserve">7,000 Title IV postsecondary </w:t>
      </w:r>
      <w:r w:rsidR="0012064B" w:rsidRPr="0012064B">
        <w:rPr>
          <w:color w:val="000000"/>
          <w:szCs w:val="24"/>
        </w:rPr>
        <w:t>institutions in the United States.</w:t>
      </w:r>
      <w:r w:rsidR="0012064B" w:rsidRPr="0012064B">
        <w:rPr>
          <w:szCs w:val="24"/>
        </w:rPr>
        <w:t xml:space="preserve"> Among the many data elements about institutions </w:t>
      </w:r>
      <w:r w:rsidR="001C62DB">
        <w:rPr>
          <w:szCs w:val="24"/>
        </w:rPr>
        <w:t xml:space="preserve">available </w:t>
      </w:r>
      <w:r w:rsidR="0012064B" w:rsidRPr="0012064B">
        <w:rPr>
          <w:szCs w:val="24"/>
        </w:rPr>
        <w:t>through this data tool are</w:t>
      </w:r>
      <w:r w:rsidR="001C62DB">
        <w:rPr>
          <w:szCs w:val="24"/>
        </w:rPr>
        <w:t xml:space="preserve"> the following</w:t>
      </w:r>
      <w:r w:rsidR="0012064B" w:rsidRPr="0012064B">
        <w:rPr>
          <w:szCs w:val="24"/>
        </w:rPr>
        <w:t>:</w:t>
      </w:r>
    </w:p>
    <w:p w:rsidR="009C0DCE" w:rsidRDefault="00A867F4" w:rsidP="00804913">
      <w:pPr>
        <w:pStyle w:val="ListParagraph"/>
        <w:numPr>
          <w:ilvl w:val="0"/>
          <w:numId w:val="2"/>
        </w:numPr>
        <w:spacing w:line="324" w:lineRule="auto"/>
        <w:rPr>
          <w:rFonts w:ascii="Times New Roman" w:hAnsi="Times New Roman"/>
          <w:sz w:val="24"/>
          <w:szCs w:val="24"/>
        </w:rPr>
      </w:pPr>
      <w:r>
        <w:rPr>
          <w:rFonts w:ascii="Times New Roman" w:hAnsi="Times New Roman" w:cs="Times New Roman"/>
          <w:sz w:val="24"/>
          <w:szCs w:val="24"/>
        </w:rPr>
        <w:t>A</w:t>
      </w:r>
      <w:r w:rsidR="0012064B" w:rsidRPr="0012064B">
        <w:rPr>
          <w:rFonts w:ascii="Times New Roman" w:hAnsi="Times New Roman" w:cs="Times New Roman"/>
          <w:sz w:val="24"/>
          <w:szCs w:val="24"/>
        </w:rPr>
        <w:t>dmissions criteria,</w:t>
      </w:r>
    </w:p>
    <w:p w:rsidR="009C0DCE" w:rsidRDefault="00A867F4"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P</w:t>
      </w:r>
      <w:r w:rsidR="009B3D1A" w:rsidRPr="00B721C1">
        <w:rPr>
          <w:rFonts w:ascii="Times New Roman" w:hAnsi="Times New Roman" w:cs="Times New Roman"/>
          <w:sz w:val="24"/>
          <w:szCs w:val="24"/>
        </w:rPr>
        <w:t xml:space="preserve">rograms offered, </w:t>
      </w:r>
    </w:p>
    <w:p w:rsidR="009C0DCE" w:rsidRDefault="00A867F4"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I</w:t>
      </w:r>
      <w:r w:rsidR="009B3D1A" w:rsidRPr="00B721C1">
        <w:rPr>
          <w:rFonts w:ascii="Times New Roman" w:hAnsi="Times New Roman" w:cs="Times New Roman"/>
          <w:sz w:val="24"/>
          <w:szCs w:val="24"/>
        </w:rPr>
        <w:t>nstitution type</w:t>
      </w:r>
      <w:r w:rsidR="007D6C8A">
        <w:rPr>
          <w:rFonts w:ascii="Times New Roman" w:hAnsi="Times New Roman" w:cs="Times New Roman"/>
          <w:sz w:val="24"/>
          <w:szCs w:val="24"/>
        </w:rPr>
        <w:t>,</w:t>
      </w:r>
    </w:p>
    <w:p w:rsidR="009C0DCE" w:rsidRDefault="00A867F4"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R</w:t>
      </w:r>
      <w:r w:rsidR="009B3D1A" w:rsidRPr="00B721C1">
        <w:rPr>
          <w:rFonts w:ascii="Times New Roman" w:hAnsi="Times New Roman" w:cs="Times New Roman"/>
          <w:sz w:val="24"/>
          <w:szCs w:val="24"/>
        </w:rPr>
        <w:t xml:space="preserve">etention and graduation rates, </w:t>
      </w:r>
    </w:p>
    <w:p w:rsidR="009C0DCE" w:rsidRDefault="00B721C1"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P</w:t>
      </w:r>
      <w:r w:rsidR="009B3D1A" w:rsidRPr="00B721C1">
        <w:rPr>
          <w:rFonts w:ascii="Times New Roman" w:hAnsi="Times New Roman" w:cs="Times New Roman"/>
          <w:sz w:val="24"/>
          <w:szCs w:val="24"/>
        </w:rPr>
        <w:t>rices</w:t>
      </w:r>
      <w:r w:rsidR="001C62DB">
        <w:rPr>
          <w:rFonts w:ascii="Times New Roman" w:hAnsi="Times New Roman" w:cs="Times New Roman"/>
          <w:sz w:val="24"/>
          <w:szCs w:val="24"/>
        </w:rPr>
        <w:t>, including net price,</w:t>
      </w:r>
    </w:p>
    <w:p w:rsidR="009C0DCE" w:rsidRDefault="00B721C1"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lastRenderedPageBreak/>
        <w:t>A</w:t>
      </w:r>
      <w:r w:rsidR="009B3D1A" w:rsidRPr="00B721C1">
        <w:rPr>
          <w:rFonts w:ascii="Times New Roman" w:hAnsi="Times New Roman" w:cs="Times New Roman"/>
          <w:sz w:val="24"/>
          <w:szCs w:val="24"/>
        </w:rPr>
        <w:t xml:space="preserve">id available, </w:t>
      </w:r>
    </w:p>
    <w:p w:rsidR="009C0DCE" w:rsidRDefault="00B721C1"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D</w:t>
      </w:r>
      <w:r w:rsidR="009B3D1A" w:rsidRPr="00B721C1">
        <w:rPr>
          <w:rFonts w:ascii="Times New Roman" w:hAnsi="Times New Roman" w:cs="Times New Roman"/>
          <w:sz w:val="24"/>
          <w:szCs w:val="24"/>
        </w:rPr>
        <w:t xml:space="preserve">egrees awarded, </w:t>
      </w:r>
    </w:p>
    <w:p w:rsidR="009C0DCE" w:rsidRDefault="00B721C1"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C</w:t>
      </w:r>
      <w:r w:rsidR="009B3D1A" w:rsidRPr="00B721C1">
        <w:rPr>
          <w:rFonts w:ascii="Times New Roman" w:hAnsi="Times New Roman" w:cs="Times New Roman"/>
          <w:sz w:val="24"/>
          <w:szCs w:val="24"/>
        </w:rPr>
        <w:t xml:space="preserve">ampus safety, </w:t>
      </w:r>
    </w:p>
    <w:p w:rsidR="009C0DCE" w:rsidRDefault="00B721C1"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S</w:t>
      </w:r>
      <w:r w:rsidR="0019120C" w:rsidRPr="00B721C1">
        <w:rPr>
          <w:rFonts w:ascii="Times New Roman" w:hAnsi="Times New Roman" w:cs="Times New Roman"/>
          <w:sz w:val="24"/>
          <w:szCs w:val="24"/>
        </w:rPr>
        <w:t xml:space="preserve">ize of student population and student-to-faculty ratio, </w:t>
      </w:r>
      <w:r w:rsidR="009B3D1A" w:rsidRPr="00B721C1">
        <w:rPr>
          <w:rFonts w:ascii="Times New Roman" w:hAnsi="Times New Roman" w:cs="Times New Roman"/>
          <w:sz w:val="24"/>
          <w:szCs w:val="24"/>
        </w:rPr>
        <w:t xml:space="preserve">and </w:t>
      </w:r>
    </w:p>
    <w:p w:rsidR="009C0DCE" w:rsidRDefault="00B721C1" w:rsidP="00804913">
      <w:pPr>
        <w:pStyle w:val="ListParagraph"/>
        <w:numPr>
          <w:ilvl w:val="0"/>
          <w:numId w:val="2"/>
        </w:numPr>
        <w:spacing w:line="324" w:lineRule="auto"/>
        <w:rPr>
          <w:rFonts w:ascii="Times New Roman" w:hAnsi="Times New Roman"/>
          <w:sz w:val="24"/>
        </w:rPr>
      </w:pPr>
      <w:r>
        <w:rPr>
          <w:rFonts w:ascii="Times New Roman" w:hAnsi="Times New Roman" w:cs="Times New Roman"/>
          <w:sz w:val="24"/>
          <w:szCs w:val="24"/>
        </w:rPr>
        <w:t>A</w:t>
      </w:r>
      <w:r w:rsidR="009B3D1A" w:rsidRPr="00B721C1">
        <w:rPr>
          <w:rFonts w:ascii="Times New Roman" w:hAnsi="Times New Roman" w:cs="Times New Roman"/>
          <w:sz w:val="24"/>
          <w:szCs w:val="24"/>
        </w:rPr>
        <w:t xml:space="preserve">ccreditation. </w:t>
      </w:r>
    </w:p>
    <w:p w:rsidR="00B721C1" w:rsidRPr="00B721C1" w:rsidRDefault="00B721C1" w:rsidP="00B721C1">
      <w:pPr>
        <w:spacing w:line="324" w:lineRule="auto"/>
        <w:rPr>
          <w:rFonts w:ascii="Times New Roman" w:hAnsi="Times New Roman"/>
          <w:sz w:val="24"/>
        </w:rPr>
      </w:pPr>
    </w:p>
    <w:p w:rsidR="00FF0F9A" w:rsidRDefault="005A4D18" w:rsidP="000E25A7">
      <w:pPr>
        <w:pStyle w:val="BodyText1"/>
        <w:rPr>
          <w:szCs w:val="24"/>
        </w:rPr>
      </w:pPr>
      <w:r w:rsidRPr="00B721C1">
        <w:rPr>
          <w:szCs w:val="24"/>
        </w:rPr>
        <w:t xml:space="preserve">Under a separate task order contract for </w:t>
      </w:r>
      <w:r w:rsidR="00B721C1">
        <w:rPr>
          <w:szCs w:val="24"/>
        </w:rPr>
        <w:t>NCES in 200</w:t>
      </w:r>
      <w:r w:rsidR="009B0A3A">
        <w:rPr>
          <w:szCs w:val="24"/>
        </w:rPr>
        <w:t>5</w:t>
      </w:r>
      <w:r w:rsidR="00B721C1">
        <w:rPr>
          <w:szCs w:val="24"/>
        </w:rPr>
        <w:t xml:space="preserve">, Westat conducted </w:t>
      </w:r>
      <w:r w:rsidR="00FF0F9A">
        <w:rPr>
          <w:szCs w:val="24"/>
        </w:rPr>
        <w:t>several</w:t>
      </w:r>
      <w:r w:rsidRPr="00B721C1">
        <w:rPr>
          <w:szCs w:val="24"/>
        </w:rPr>
        <w:t xml:space="preserve"> focus groups with </w:t>
      </w:r>
      <w:r w:rsidR="00FF0F9A">
        <w:rPr>
          <w:szCs w:val="24"/>
        </w:rPr>
        <w:t>primarily low-income, first</w:t>
      </w:r>
      <w:r w:rsidR="001C62DB">
        <w:rPr>
          <w:szCs w:val="24"/>
        </w:rPr>
        <w:t>-</w:t>
      </w:r>
      <w:r w:rsidR="00FF0F9A">
        <w:rPr>
          <w:szCs w:val="24"/>
        </w:rPr>
        <w:t>generation students,</w:t>
      </w:r>
      <w:r w:rsidRPr="00B721C1">
        <w:rPr>
          <w:szCs w:val="24"/>
        </w:rPr>
        <w:t xml:space="preserve"> </w:t>
      </w:r>
      <w:r w:rsidR="001C62DB">
        <w:rPr>
          <w:szCs w:val="24"/>
        </w:rPr>
        <w:t xml:space="preserve">their </w:t>
      </w:r>
      <w:r w:rsidRPr="00B721C1">
        <w:rPr>
          <w:szCs w:val="24"/>
        </w:rPr>
        <w:t>parents</w:t>
      </w:r>
      <w:r w:rsidR="00FF0F9A">
        <w:rPr>
          <w:szCs w:val="24"/>
        </w:rPr>
        <w:t>, and guidance counselors who worked in low-</w:t>
      </w:r>
      <w:r w:rsidR="001C62DB">
        <w:rPr>
          <w:szCs w:val="24"/>
        </w:rPr>
        <w:t xml:space="preserve"> to </w:t>
      </w:r>
      <w:r w:rsidR="00FF0F9A">
        <w:rPr>
          <w:szCs w:val="24"/>
        </w:rPr>
        <w:t>moderate-income high schools</w:t>
      </w:r>
      <w:r w:rsidRPr="00B721C1">
        <w:rPr>
          <w:szCs w:val="24"/>
        </w:rPr>
        <w:t xml:space="preserve"> to help refine and redesign </w:t>
      </w:r>
      <w:proofErr w:type="gramStart"/>
      <w:r w:rsidRPr="00B721C1">
        <w:rPr>
          <w:szCs w:val="24"/>
        </w:rPr>
        <w:t xml:space="preserve">the </w:t>
      </w:r>
      <w:r w:rsidR="0062505B">
        <w:rPr>
          <w:szCs w:val="24"/>
        </w:rPr>
        <w:t xml:space="preserve"> predecessor</w:t>
      </w:r>
      <w:proofErr w:type="gramEnd"/>
      <w:r w:rsidR="0062505B">
        <w:rPr>
          <w:szCs w:val="24"/>
        </w:rPr>
        <w:t xml:space="preserve"> to the</w:t>
      </w:r>
      <w:r w:rsidR="0062505B" w:rsidRPr="00B721C1">
        <w:rPr>
          <w:szCs w:val="24"/>
        </w:rPr>
        <w:t xml:space="preserve"> </w:t>
      </w:r>
      <w:r w:rsidRPr="00B721C1">
        <w:rPr>
          <w:szCs w:val="24"/>
        </w:rPr>
        <w:t xml:space="preserve">College Navigator website, </w:t>
      </w:r>
      <w:r w:rsidR="0062505B">
        <w:rPr>
          <w:szCs w:val="24"/>
        </w:rPr>
        <w:t xml:space="preserve">a website </w:t>
      </w:r>
      <w:r w:rsidRPr="00B721C1">
        <w:rPr>
          <w:szCs w:val="24"/>
        </w:rPr>
        <w:t xml:space="preserve">called College Opportunities Online (COOL). </w:t>
      </w:r>
      <w:r w:rsidR="00FF0F9A">
        <w:rPr>
          <w:szCs w:val="24"/>
        </w:rPr>
        <w:t>Based, in part, on the data collected and analyzed in these groups, NCES redesigned the COOL website.</w:t>
      </w:r>
      <w:r w:rsidR="0062505B">
        <w:rPr>
          <w:szCs w:val="24"/>
        </w:rPr>
        <w:t xml:space="preserve"> Findings from these groups also provide insights for the development of College Navigator website. </w:t>
      </w:r>
    </w:p>
    <w:p w:rsidR="00E94138" w:rsidRDefault="0062505B" w:rsidP="000E25A7">
      <w:pPr>
        <w:pStyle w:val="BodyText1"/>
        <w:rPr>
          <w:szCs w:val="24"/>
        </w:rPr>
      </w:pPr>
      <w:r>
        <w:rPr>
          <w:szCs w:val="24"/>
        </w:rPr>
        <w:t>Since August 2008</w:t>
      </w:r>
      <w:r w:rsidR="00FF0F9A">
        <w:rPr>
          <w:szCs w:val="24"/>
        </w:rPr>
        <w:t xml:space="preserve">, NCES has added more information to </w:t>
      </w:r>
      <w:r>
        <w:rPr>
          <w:szCs w:val="24"/>
        </w:rPr>
        <w:t>College Navigator as required by</w:t>
      </w:r>
      <w:r w:rsidR="00FF0F9A">
        <w:rPr>
          <w:szCs w:val="24"/>
        </w:rPr>
        <w:t xml:space="preserve"> </w:t>
      </w:r>
      <w:r w:rsidR="00154B5A">
        <w:rPr>
          <w:szCs w:val="24"/>
        </w:rPr>
        <w:t xml:space="preserve">the </w:t>
      </w:r>
      <w:r w:rsidR="00FF0F9A">
        <w:rPr>
          <w:szCs w:val="24"/>
        </w:rPr>
        <w:t xml:space="preserve">Higher Education Opportunity Act. </w:t>
      </w:r>
      <w:r>
        <w:rPr>
          <w:szCs w:val="24"/>
        </w:rPr>
        <w:t xml:space="preserve">With the addition of these new items such as net price and 200% graduation rates, there is a great deal of good information for students to use in their college comparison. However, NCES does not want to overwhelm students with information when they first enter the site. </w:t>
      </w:r>
      <w:r w:rsidR="00FF0F9A">
        <w:rPr>
          <w:szCs w:val="24"/>
        </w:rPr>
        <w:t xml:space="preserve">Therefore, </w:t>
      </w:r>
      <w:r w:rsidR="005A4D18" w:rsidRPr="00B721C1">
        <w:rPr>
          <w:szCs w:val="24"/>
        </w:rPr>
        <w:t xml:space="preserve">NCES </w:t>
      </w:r>
      <w:r w:rsidR="00B57D8E">
        <w:rPr>
          <w:szCs w:val="24"/>
        </w:rPr>
        <w:t>wants to use</w:t>
      </w:r>
      <w:r w:rsidR="00141AA2">
        <w:rPr>
          <w:szCs w:val="24"/>
        </w:rPr>
        <w:t xml:space="preserve"> </w:t>
      </w:r>
      <w:r w:rsidR="007D6C8A">
        <w:rPr>
          <w:szCs w:val="24"/>
        </w:rPr>
        <w:t xml:space="preserve">the results from these </w:t>
      </w:r>
      <w:r w:rsidR="00E94138">
        <w:rPr>
          <w:szCs w:val="24"/>
        </w:rPr>
        <w:t>focus groups t</w:t>
      </w:r>
      <w:r w:rsidR="00365A03">
        <w:rPr>
          <w:szCs w:val="24"/>
        </w:rPr>
        <w:t>o</w:t>
      </w:r>
      <w:r w:rsidR="00E94138">
        <w:rPr>
          <w:szCs w:val="24"/>
        </w:rPr>
        <w:t xml:space="preserve"> help </w:t>
      </w:r>
      <w:r w:rsidR="005A4D18" w:rsidRPr="00B721C1">
        <w:rPr>
          <w:szCs w:val="24"/>
        </w:rPr>
        <w:t xml:space="preserve">identify a </w:t>
      </w:r>
      <w:r>
        <w:rPr>
          <w:szCs w:val="24"/>
        </w:rPr>
        <w:t>sub</w:t>
      </w:r>
      <w:r w:rsidR="00FF0F9A">
        <w:rPr>
          <w:szCs w:val="24"/>
        </w:rPr>
        <w:t xml:space="preserve">set </w:t>
      </w:r>
      <w:r w:rsidR="005A4D18" w:rsidRPr="00B721C1">
        <w:rPr>
          <w:szCs w:val="24"/>
        </w:rPr>
        <w:t>of data elements student</w:t>
      </w:r>
      <w:r w:rsidR="00E94138">
        <w:rPr>
          <w:szCs w:val="24"/>
        </w:rPr>
        <w:t>s and guidance counselors deem</w:t>
      </w:r>
      <w:r w:rsidR="005A4D18" w:rsidRPr="00B721C1">
        <w:rPr>
          <w:szCs w:val="24"/>
        </w:rPr>
        <w:t xml:space="preserve"> critical </w:t>
      </w:r>
      <w:r>
        <w:rPr>
          <w:szCs w:val="24"/>
        </w:rPr>
        <w:t>as a “first look</w:t>
      </w:r>
      <w:r w:rsidR="008C24AF">
        <w:rPr>
          <w:szCs w:val="24"/>
        </w:rPr>
        <w:t>”</w:t>
      </w:r>
      <w:r>
        <w:rPr>
          <w:szCs w:val="24"/>
        </w:rPr>
        <w:t xml:space="preserve"> at an institution before further entering into the site for additional information</w:t>
      </w:r>
      <w:r w:rsidR="005A4D18" w:rsidRPr="00B721C1">
        <w:rPr>
          <w:szCs w:val="24"/>
        </w:rPr>
        <w:t xml:space="preserve">. </w:t>
      </w:r>
      <w:r w:rsidR="00FF0F9A">
        <w:rPr>
          <w:szCs w:val="24"/>
        </w:rPr>
        <w:t xml:space="preserve">To accomplish this task, </w:t>
      </w:r>
      <w:r w:rsidR="00B721C1">
        <w:rPr>
          <w:szCs w:val="24"/>
        </w:rPr>
        <w:t xml:space="preserve">NCES is interested in testing a draft </w:t>
      </w:r>
      <w:r w:rsidR="00917868">
        <w:rPr>
          <w:szCs w:val="24"/>
        </w:rPr>
        <w:t>profile</w:t>
      </w:r>
      <w:r w:rsidR="00B721C1">
        <w:rPr>
          <w:szCs w:val="24"/>
        </w:rPr>
        <w:t xml:space="preserve"> </w:t>
      </w:r>
      <w:r w:rsidR="00D376D8">
        <w:rPr>
          <w:szCs w:val="24"/>
        </w:rPr>
        <w:t>containing data</w:t>
      </w:r>
      <w:r w:rsidR="00EE6A7C">
        <w:rPr>
          <w:szCs w:val="24"/>
        </w:rPr>
        <w:t xml:space="preserve"> elements </w:t>
      </w:r>
      <w:r w:rsidR="00D376D8">
        <w:rPr>
          <w:szCs w:val="24"/>
        </w:rPr>
        <w:t xml:space="preserve">from </w:t>
      </w:r>
      <w:r w:rsidR="00E20A4B">
        <w:rPr>
          <w:szCs w:val="24"/>
        </w:rPr>
        <w:t>seven</w:t>
      </w:r>
      <w:r w:rsidR="002E43EF">
        <w:rPr>
          <w:szCs w:val="24"/>
        </w:rPr>
        <w:t xml:space="preserve"> different </w:t>
      </w:r>
      <w:r w:rsidR="00375282">
        <w:rPr>
          <w:szCs w:val="24"/>
        </w:rPr>
        <w:t>categories</w:t>
      </w:r>
      <w:r w:rsidR="00EE6A7C">
        <w:rPr>
          <w:szCs w:val="24"/>
        </w:rPr>
        <w:t xml:space="preserve"> (</w:t>
      </w:r>
      <w:r w:rsidR="002E43EF">
        <w:rPr>
          <w:szCs w:val="24"/>
        </w:rPr>
        <w:t xml:space="preserve">i.e., </w:t>
      </w:r>
      <w:r w:rsidR="00E20A4B">
        <w:rPr>
          <w:szCs w:val="24"/>
        </w:rPr>
        <w:t xml:space="preserve">basic information about the college, </w:t>
      </w:r>
      <w:r w:rsidR="00EE6A7C">
        <w:rPr>
          <w:szCs w:val="24"/>
        </w:rPr>
        <w:t xml:space="preserve">undergraduate admissions, student financial aid, </w:t>
      </w:r>
      <w:proofErr w:type="gramStart"/>
      <w:r w:rsidR="00CB4C2D">
        <w:rPr>
          <w:szCs w:val="24"/>
        </w:rPr>
        <w:t>estimated</w:t>
      </w:r>
      <w:proofErr w:type="gramEnd"/>
      <w:r>
        <w:rPr>
          <w:szCs w:val="24"/>
        </w:rPr>
        <w:t xml:space="preserve"> student exp</w:t>
      </w:r>
      <w:r w:rsidR="009B0A3A">
        <w:rPr>
          <w:szCs w:val="24"/>
        </w:rPr>
        <w:t>e</w:t>
      </w:r>
      <w:r>
        <w:rPr>
          <w:szCs w:val="24"/>
        </w:rPr>
        <w:t xml:space="preserve">nses </w:t>
      </w:r>
      <w:r w:rsidR="00CB4C2D">
        <w:rPr>
          <w:szCs w:val="24"/>
        </w:rPr>
        <w:t>before and after aid</w:t>
      </w:r>
      <w:r w:rsidR="00EE6A7C">
        <w:rPr>
          <w:szCs w:val="24"/>
        </w:rPr>
        <w:t>, student characteristics, student persistence and success, and information about degrees and certificates</w:t>
      </w:r>
      <w:r w:rsidR="00B57D8E">
        <w:rPr>
          <w:szCs w:val="24"/>
        </w:rPr>
        <w:t>)</w:t>
      </w:r>
      <w:r w:rsidR="00EE6A7C">
        <w:rPr>
          <w:szCs w:val="24"/>
        </w:rPr>
        <w:t>. The purpose of conducting these focus groups is to</w:t>
      </w:r>
      <w:r w:rsidR="00A51871">
        <w:rPr>
          <w:szCs w:val="24"/>
        </w:rPr>
        <w:t xml:space="preserve"> determine </w:t>
      </w:r>
      <w:r w:rsidR="00EE6A7C">
        <w:rPr>
          <w:szCs w:val="24"/>
        </w:rPr>
        <w:t xml:space="preserve">which elements </w:t>
      </w:r>
      <w:r w:rsidR="00CB4C2D">
        <w:rPr>
          <w:szCs w:val="24"/>
        </w:rPr>
        <w:t>are of most interest to consumers</w:t>
      </w:r>
      <w:r w:rsidR="00EE6A7C">
        <w:rPr>
          <w:szCs w:val="24"/>
        </w:rPr>
        <w:t xml:space="preserve"> and why, the </w:t>
      </w:r>
      <w:r w:rsidR="00A51871">
        <w:rPr>
          <w:szCs w:val="24"/>
        </w:rPr>
        <w:t>extent to which</w:t>
      </w:r>
      <w:r w:rsidR="00B721C1">
        <w:rPr>
          <w:szCs w:val="24"/>
        </w:rPr>
        <w:t xml:space="preserve"> </w:t>
      </w:r>
      <w:r w:rsidR="00EE6A7C">
        <w:rPr>
          <w:szCs w:val="24"/>
        </w:rPr>
        <w:t xml:space="preserve">they </w:t>
      </w:r>
      <w:r w:rsidR="00B721C1">
        <w:rPr>
          <w:szCs w:val="24"/>
        </w:rPr>
        <w:t xml:space="preserve">understand </w:t>
      </w:r>
      <w:r w:rsidR="00EE6A7C">
        <w:rPr>
          <w:szCs w:val="24"/>
        </w:rPr>
        <w:t xml:space="preserve">and </w:t>
      </w:r>
      <w:r w:rsidR="002E43EF">
        <w:rPr>
          <w:szCs w:val="24"/>
        </w:rPr>
        <w:t xml:space="preserve">accurately </w:t>
      </w:r>
      <w:r w:rsidR="00EE6A7C">
        <w:rPr>
          <w:szCs w:val="24"/>
        </w:rPr>
        <w:t xml:space="preserve">interpret </w:t>
      </w:r>
      <w:r w:rsidR="00A51871">
        <w:rPr>
          <w:szCs w:val="24"/>
        </w:rPr>
        <w:t>t</w:t>
      </w:r>
      <w:r w:rsidR="00EE6A7C">
        <w:rPr>
          <w:szCs w:val="24"/>
        </w:rPr>
        <w:t xml:space="preserve">he terminology and the data presented, and how </w:t>
      </w:r>
      <w:r w:rsidR="00B57D8E">
        <w:rPr>
          <w:szCs w:val="24"/>
        </w:rPr>
        <w:t>these data</w:t>
      </w:r>
      <w:r w:rsidR="00EE6A7C">
        <w:rPr>
          <w:szCs w:val="24"/>
        </w:rPr>
        <w:t xml:space="preserve"> can be used</w:t>
      </w:r>
      <w:r w:rsidR="00A51871">
        <w:rPr>
          <w:szCs w:val="24"/>
        </w:rPr>
        <w:t xml:space="preserve"> when</w:t>
      </w:r>
      <w:r w:rsidR="00B721C1">
        <w:rPr>
          <w:szCs w:val="24"/>
        </w:rPr>
        <w:t xml:space="preserve"> comparing institutions </w:t>
      </w:r>
      <w:r w:rsidR="00365A03">
        <w:rPr>
          <w:szCs w:val="24"/>
        </w:rPr>
        <w:t>of interest</w:t>
      </w:r>
      <w:r w:rsidR="00A51871">
        <w:rPr>
          <w:szCs w:val="24"/>
        </w:rPr>
        <w:t xml:space="preserve">. After discussing </w:t>
      </w:r>
      <w:r w:rsidR="002E43EF">
        <w:rPr>
          <w:szCs w:val="24"/>
        </w:rPr>
        <w:t>in detail the data elements contained in each</w:t>
      </w:r>
      <w:r w:rsidR="00141AA2">
        <w:rPr>
          <w:szCs w:val="24"/>
        </w:rPr>
        <w:t xml:space="preserve"> </w:t>
      </w:r>
      <w:r w:rsidR="002E43EF">
        <w:rPr>
          <w:szCs w:val="24"/>
        </w:rPr>
        <w:t>topic</w:t>
      </w:r>
      <w:r w:rsidR="00A51871">
        <w:rPr>
          <w:szCs w:val="24"/>
        </w:rPr>
        <w:t xml:space="preserve">, </w:t>
      </w:r>
      <w:r w:rsidR="002E43EF">
        <w:rPr>
          <w:szCs w:val="24"/>
        </w:rPr>
        <w:t xml:space="preserve">which will include items presented in the draft profile and a few additional items on each topic </w:t>
      </w:r>
      <w:r w:rsidR="00A867F4">
        <w:rPr>
          <w:szCs w:val="24"/>
        </w:rPr>
        <w:t>found in</w:t>
      </w:r>
      <w:r w:rsidR="002E43EF">
        <w:rPr>
          <w:szCs w:val="24"/>
        </w:rPr>
        <w:t xml:space="preserve"> College Navigator, </w:t>
      </w:r>
      <w:r w:rsidR="00A51871">
        <w:rPr>
          <w:szCs w:val="24"/>
        </w:rPr>
        <w:t>each focus group participant will be asked to rank the elements</w:t>
      </w:r>
      <w:r w:rsidR="00B57D8E">
        <w:rPr>
          <w:szCs w:val="24"/>
        </w:rPr>
        <w:t xml:space="preserve"> </w:t>
      </w:r>
      <w:r w:rsidR="00CB4C2D">
        <w:rPr>
          <w:szCs w:val="24"/>
        </w:rPr>
        <w:t>within each category on how important they are to the student or counselor</w:t>
      </w:r>
      <w:r w:rsidR="00E94138">
        <w:rPr>
          <w:szCs w:val="24"/>
        </w:rPr>
        <w:t xml:space="preserve">. </w:t>
      </w:r>
      <w:r w:rsidR="00B721C1">
        <w:rPr>
          <w:szCs w:val="24"/>
        </w:rPr>
        <w:t xml:space="preserve"> </w:t>
      </w:r>
    </w:p>
    <w:p w:rsidR="00E94138" w:rsidRDefault="00E94138" w:rsidP="000E25A7">
      <w:pPr>
        <w:pStyle w:val="BodyText1"/>
        <w:rPr>
          <w:szCs w:val="24"/>
        </w:rPr>
      </w:pPr>
      <w:r>
        <w:rPr>
          <w:szCs w:val="24"/>
        </w:rPr>
        <w:lastRenderedPageBreak/>
        <w:t xml:space="preserve">The information collected and </w:t>
      </w:r>
      <w:r w:rsidR="001573D7">
        <w:rPr>
          <w:szCs w:val="24"/>
        </w:rPr>
        <w:t>synthesized</w:t>
      </w:r>
      <w:r>
        <w:rPr>
          <w:szCs w:val="24"/>
        </w:rPr>
        <w:t xml:space="preserve"> in the focus groups will be summarized in a background paper that will be shared with the </w:t>
      </w:r>
      <w:r w:rsidR="00CB4C2D">
        <w:rPr>
          <w:szCs w:val="24"/>
        </w:rPr>
        <w:t>NCES and the National Postsecondary Education Cooperative, the IPEDS research and development group</w:t>
      </w:r>
      <w:r w:rsidR="008C24AF">
        <w:rPr>
          <w:szCs w:val="24"/>
        </w:rPr>
        <w:t>,</w:t>
      </w:r>
      <w:r w:rsidR="00CB4C2D">
        <w:rPr>
          <w:szCs w:val="24"/>
        </w:rPr>
        <w:t xml:space="preserve"> and core of the IPEDS Technical Review Panel</w:t>
      </w:r>
      <w:r>
        <w:rPr>
          <w:szCs w:val="24"/>
        </w:rPr>
        <w:t xml:space="preserve">. NCES will use the background paper to </w:t>
      </w:r>
      <w:r w:rsidR="005F7D94">
        <w:rPr>
          <w:szCs w:val="24"/>
        </w:rPr>
        <w:t xml:space="preserve">enhance </w:t>
      </w:r>
      <w:r>
        <w:rPr>
          <w:szCs w:val="24"/>
        </w:rPr>
        <w:t xml:space="preserve">the functionality of the </w:t>
      </w:r>
      <w:r w:rsidR="007D6C8A">
        <w:rPr>
          <w:szCs w:val="24"/>
        </w:rPr>
        <w:t>web</w:t>
      </w:r>
      <w:r>
        <w:rPr>
          <w:szCs w:val="24"/>
        </w:rPr>
        <w:t xml:space="preserve">site </w:t>
      </w:r>
      <w:r w:rsidR="007D6C8A">
        <w:rPr>
          <w:szCs w:val="24"/>
        </w:rPr>
        <w:t>so that</w:t>
      </w:r>
      <w:r>
        <w:rPr>
          <w:szCs w:val="24"/>
        </w:rPr>
        <w:t xml:space="preserve"> consumers </w:t>
      </w:r>
      <w:r w:rsidR="007D6C8A">
        <w:rPr>
          <w:szCs w:val="24"/>
        </w:rPr>
        <w:t>can</w:t>
      </w:r>
      <w:r w:rsidR="005F7D94">
        <w:rPr>
          <w:szCs w:val="24"/>
        </w:rPr>
        <w:t xml:space="preserve"> compare a </w:t>
      </w:r>
      <w:r w:rsidR="002E43EF">
        <w:rPr>
          <w:szCs w:val="24"/>
        </w:rPr>
        <w:t xml:space="preserve">meaningful </w:t>
      </w:r>
      <w:r w:rsidR="005F7D94">
        <w:rPr>
          <w:szCs w:val="24"/>
        </w:rPr>
        <w:t xml:space="preserve">subset of </w:t>
      </w:r>
      <w:r w:rsidR="001573D7">
        <w:rPr>
          <w:szCs w:val="24"/>
        </w:rPr>
        <w:t>key data elements.</w:t>
      </w:r>
    </w:p>
    <w:p w:rsidR="007E2679" w:rsidRDefault="007E2679" w:rsidP="000E25A7">
      <w:pPr>
        <w:pStyle w:val="BodyText1"/>
        <w:rPr>
          <w:szCs w:val="24"/>
        </w:rPr>
      </w:pPr>
      <w:r>
        <w:rPr>
          <w:szCs w:val="24"/>
        </w:rPr>
        <w:t>NCES recently conducted a single consumer information-related</w:t>
      </w:r>
      <w:r w:rsidRPr="007E2679">
        <w:rPr>
          <w:szCs w:val="24"/>
        </w:rPr>
        <w:t xml:space="preserve"> focus group to </w:t>
      </w:r>
      <w:r>
        <w:rPr>
          <w:szCs w:val="24"/>
        </w:rPr>
        <w:t xml:space="preserve">solicit input </w:t>
      </w:r>
      <w:r w:rsidRPr="007E2679">
        <w:rPr>
          <w:szCs w:val="24"/>
        </w:rPr>
        <w:t xml:space="preserve">from students about </w:t>
      </w:r>
      <w:r>
        <w:rPr>
          <w:szCs w:val="24"/>
        </w:rPr>
        <w:t xml:space="preserve">proposed </w:t>
      </w:r>
      <w:r w:rsidRPr="007E2679">
        <w:rPr>
          <w:szCs w:val="24"/>
        </w:rPr>
        <w:t xml:space="preserve">information </w:t>
      </w:r>
      <w:r>
        <w:rPr>
          <w:szCs w:val="24"/>
        </w:rPr>
        <w:t>related to the recent gainful employment regulation on disclosures that institutions must present on their</w:t>
      </w:r>
      <w:r w:rsidRPr="007E2679">
        <w:rPr>
          <w:szCs w:val="24"/>
        </w:rPr>
        <w:t xml:space="preserve"> websites. This similar project</w:t>
      </w:r>
      <w:r>
        <w:rPr>
          <w:szCs w:val="24"/>
        </w:rPr>
        <w:t xml:space="preserve"> yielded insightful information from students on how they perceived the information and how it could be better presented to them</w:t>
      </w:r>
      <w:r w:rsidRPr="007E2679">
        <w:rPr>
          <w:szCs w:val="24"/>
        </w:rPr>
        <w:t xml:space="preserve">. </w:t>
      </w:r>
      <w:r>
        <w:rPr>
          <w:szCs w:val="24"/>
        </w:rPr>
        <w:t>We hope to gain similar insights through these focus groups. One-on-one interviews were considered as an alternative. However, due to</w:t>
      </w:r>
      <w:r w:rsidRPr="007E2679">
        <w:rPr>
          <w:szCs w:val="24"/>
        </w:rPr>
        <w:t xml:space="preserve"> budget </w:t>
      </w:r>
      <w:r>
        <w:rPr>
          <w:szCs w:val="24"/>
        </w:rPr>
        <w:t>and time constraints, a focus group method was chose. However, these focus groups are just the first step in</w:t>
      </w:r>
      <w:r w:rsidRPr="007E2679">
        <w:rPr>
          <w:szCs w:val="24"/>
        </w:rPr>
        <w:t xml:space="preserve"> </w:t>
      </w:r>
      <w:r>
        <w:rPr>
          <w:szCs w:val="24"/>
        </w:rPr>
        <w:t>a</w:t>
      </w:r>
      <w:r w:rsidRPr="007E2679">
        <w:rPr>
          <w:szCs w:val="24"/>
        </w:rPr>
        <w:t xml:space="preserve"> series of ways in which </w:t>
      </w:r>
      <w:r>
        <w:rPr>
          <w:szCs w:val="24"/>
        </w:rPr>
        <w:t>NCES</w:t>
      </w:r>
      <w:r w:rsidRPr="007E2679">
        <w:rPr>
          <w:szCs w:val="24"/>
        </w:rPr>
        <w:t xml:space="preserve"> </w:t>
      </w:r>
      <w:r>
        <w:rPr>
          <w:szCs w:val="24"/>
        </w:rPr>
        <w:t xml:space="preserve">plans </w:t>
      </w:r>
      <w:r w:rsidRPr="007E2679">
        <w:rPr>
          <w:szCs w:val="24"/>
        </w:rPr>
        <w:t xml:space="preserve">to gain feedback on College Navigator. </w:t>
      </w:r>
      <w:r>
        <w:rPr>
          <w:szCs w:val="24"/>
        </w:rPr>
        <w:t>O</w:t>
      </w:r>
      <w:r w:rsidRPr="007E2679">
        <w:rPr>
          <w:szCs w:val="24"/>
        </w:rPr>
        <w:t xml:space="preserve">ther efforts such as usability testing are planned in the next </w:t>
      </w:r>
      <w:r>
        <w:rPr>
          <w:szCs w:val="24"/>
        </w:rPr>
        <w:t>fiscal year</w:t>
      </w:r>
      <w:r w:rsidRPr="007E2679">
        <w:rPr>
          <w:szCs w:val="24"/>
        </w:rPr>
        <w:t xml:space="preserve">. </w:t>
      </w:r>
      <w:r>
        <w:rPr>
          <w:szCs w:val="24"/>
        </w:rPr>
        <w:t xml:space="preserve">One-on-one usability testing was previously conducted for College Navigator </w:t>
      </w:r>
      <w:r w:rsidRPr="007E2679">
        <w:rPr>
          <w:szCs w:val="24"/>
        </w:rPr>
        <w:t xml:space="preserve">when we initially launched the site </w:t>
      </w:r>
      <w:r>
        <w:rPr>
          <w:szCs w:val="24"/>
        </w:rPr>
        <w:t>in September 2007. As w</w:t>
      </w:r>
      <w:r w:rsidRPr="007E2679">
        <w:rPr>
          <w:szCs w:val="24"/>
        </w:rPr>
        <w:t xml:space="preserve">e </w:t>
      </w:r>
      <w:r>
        <w:rPr>
          <w:szCs w:val="24"/>
        </w:rPr>
        <w:t xml:space="preserve">continue to </w:t>
      </w:r>
      <w:r w:rsidRPr="007E2679">
        <w:rPr>
          <w:szCs w:val="24"/>
        </w:rPr>
        <w:t>make changes</w:t>
      </w:r>
      <w:r>
        <w:rPr>
          <w:szCs w:val="24"/>
        </w:rPr>
        <w:t xml:space="preserve"> to the site, </w:t>
      </w:r>
      <w:r w:rsidRPr="007E2679">
        <w:rPr>
          <w:szCs w:val="24"/>
        </w:rPr>
        <w:t>we</w:t>
      </w:r>
      <w:r>
        <w:rPr>
          <w:szCs w:val="24"/>
        </w:rPr>
        <w:t xml:space="preserve"> plan </w:t>
      </w:r>
      <w:proofErr w:type="spellStart"/>
      <w:r>
        <w:rPr>
          <w:szCs w:val="24"/>
        </w:rPr>
        <w:t>toi</w:t>
      </w:r>
      <w:proofErr w:type="spellEnd"/>
      <w:r w:rsidRPr="007E2679">
        <w:rPr>
          <w:szCs w:val="24"/>
        </w:rPr>
        <w:t xml:space="preserve"> re-visit that method of gathering feedback as well.</w:t>
      </w:r>
    </w:p>
    <w:p w:rsidR="00C56098" w:rsidRPr="007D7A66" w:rsidRDefault="00C56098"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C56098" w:rsidRPr="003965A1" w:rsidRDefault="00C56098" w:rsidP="00E63DDD">
      <w:pPr>
        <w:pStyle w:val="bodytextpsg"/>
        <w:spacing w:line="360" w:lineRule="auto"/>
        <w:rPr>
          <w:sz w:val="24"/>
          <w:szCs w:val="24"/>
        </w:rPr>
      </w:pPr>
      <w:r w:rsidRPr="003965A1">
        <w:rPr>
          <w:sz w:val="24"/>
          <w:szCs w:val="24"/>
        </w:rPr>
        <w:t xml:space="preserve">The current request is for approval to conduct </w:t>
      </w:r>
      <w:r w:rsidR="001573D7">
        <w:rPr>
          <w:sz w:val="24"/>
          <w:szCs w:val="24"/>
        </w:rPr>
        <w:t>three</w:t>
      </w:r>
      <w:r w:rsidRPr="003965A1">
        <w:rPr>
          <w:sz w:val="24"/>
          <w:szCs w:val="24"/>
        </w:rPr>
        <w:t xml:space="preserve"> </w:t>
      </w:r>
      <w:r w:rsidR="001573D7">
        <w:rPr>
          <w:sz w:val="24"/>
          <w:szCs w:val="24"/>
        </w:rPr>
        <w:t>focus groups</w:t>
      </w:r>
      <w:r w:rsidRPr="003965A1">
        <w:rPr>
          <w:sz w:val="24"/>
          <w:szCs w:val="24"/>
        </w:rPr>
        <w:t xml:space="preserve"> in </w:t>
      </w:r>
      <w:r w:rsidR="001573D7">
        <w:rPr>
          <w:sz w:val="24"/>
          <w:szCs w:val="24"/>
        </w:rPr>
        <w:t>June 2011</w:t>
      </w:r>
      <w:r w:rsidRPr="003965A1">
        <w:rPr>
          <w:sz w:val="24"/>
          <w:szCs w:val="24"/>
        </w:rPr>
        <w:t xml:space="preserve">. </w:t>
      </w:r>
      <w:r w:rsidR="001573D7">
        <w:rPr>
          <w:sz w:val="24"/>
          <w:szCs w:val="24"/>
        </w:rPr>
        <w:t>The summary background paper based on the results will be prepared in July 2011.</w:t>
      </w:r>
      <w:r w:rsidRPr="003965A1">
        <w:rPr>
          <w:sz w:val="24"/>
          <w:szCs w:val="24"/>
        </w:rPr>
        <w:t xml:space="preserve">  </w:t>
      </w:r>
      <w:r w:rsidR="001573D7">
        <w:rPr>
          <w:sz w:val="24"/>
          <w:szCs w:val="24"/>
        </w:rPr>
        <w:t>Westat, t</w:t>
      </w:r>
      <w:r w:rsidRPr="003965A1">
        <w:rPr>
          <w:sz w:val="24"/>
          <w:szCs w:val="24"/>
        </w:rPr>
        <w:t>he contractor</w:t>
      </w:r>
      <w:r w:rsidR="00365A03">
        <w:rPr>
          <w:sz w:val="24"/>
          <w:szCs w:val="24"/>
        </w:rPr>
        <w:t>,</w:t>
      </w:r>
      <w:r w:rsidRPr="003965A1">
        <w:rPr>
          <w:sz w:val="24"/>
          <w:szCs w:val="24"/>
        </w:rPr>
        <w:t xml:space="preserve"> has drafted </w:t>
      </w:r>
      <w:r w:rsidR="001573D7">
        <w:rPr>
          <w:sz w:val="24"/>
          <w:szCs w:val="24"/>
        </w:rPr>
        <w:t>focus group</w:t>
      </w:r>
      <w:r w:rsidRPr="003965A1">
        <w:rPr>
          <w:sz w:val="24"/>
          <w:szCs w:val="24"/>
        </w:rPr>
        <w:t xml:space="preserve"> materials</w:t>
      </w:r>
      <w:r w:rsidR="001C62DB">
        <w:rPr>
          <w:sz w:val="24"/>
          <w:szCs w:val="24"/>
        </w:rPr>
        <w:t xml:space="preserve"> that</w:t>
      </w:r>
      <w:r w:rsidRPr="003965A1">
        <w:rPr>
          <w:sz w:val="24"/>
          <w:szCs w:val="24"/>
        </w:rPr>
        <w:t xml:space="preserve"> include </w:t>
      </w:r>
      <w:r w:rsidR="001573D7">
        <w:rPr>
          <w:sz w:val="24"/>
          <w:szCs w:val="24"/>
        </w:rPr>
        <w:t xml:space="preserve">questions about the draft </w:t>
      </w:r>
      <w:r w:rsidR="00917868">
        <w:rPr>
          <w:sz w:val="24"/>
          <w:szCs w:val="24"/>
        </w:rPr>
        <w:t>profile</w:t>
      </w:r>
      <w:r w:rsidR="001573D7">
        <w:rPr>
          <w:sz w:val="24"/>
          <w:szCs w:val="24"/>
        </w:rPr>
        <w:t xml:space="preserve"> containing a subset of items for review by students and guidance counselors</w:t>
      </w:r>
      <w:r w:rsidRPr="003965A1">
        <w:rPr>
          <w:sz w:val="24"/>
          <w:szCs w:val="24"/>
        </w:rPr>
        <w:t xml:space="preserve">.  </w:t>
      </w:r>
      <w:r w:rsidR="001573D7">
        <w:rPr>
          <w:sz w:val="24"/>
          <w:szCs w:val="24"/>
        </w:rPr>
        <w:t>Westat will use a moderator’s guide to ask t</w:t>
      </w:r>
      <w:r w:rsidR="00664111">
        <w:rPr>
          <w:sz w:val="24"/>
          <w:szCs w:val="24"/>
        </w:rPr>
        <w:t xml:space="preserve">he same or parallel </w:t>
      </w:r>
      <w:r w:rsidR="001573D7">
        <w:rPr>
          <w:sz w:val="24"/>
          <w:szCs w:val="24"/>
        </w:rPr>
        <w:t xml:space="preserve">questions of </w:t>
      </w:r>
      <w:r w:rsidR="00365A03">
        <w:rPr>
          <w:sz w:val="24"/>
          <w:szCs w:val="24"/>
        </w:rPr>
        <w:t xml:space="preserve">all </w:t>
      </w:r>
      <w:r w:rsidR="001573D7">
        <w:rPr>
          <w:sz w:val="24"/>
          <w:szCs w:val="24"/>
        </w:rPr>
        <w:t>participants.</w:t>
      </w:r>
    </w:p>
    <w:p w:rsidR="00985563" w:rsidRDefault="001573D7" w:rsidP="00E63DDD">
      <w:pPr>
        <w:pStyle w:val="bodytextpsg"/>
        <w:spacing w:line="360" w:lineRule="auto"/>
        <w:rPr>
          <w:sz w:val="24"/>
          <w:szCs w:val="24"/>
        </w:rPr>
      </w:pPr>
      <w:r>
        <w:rPr>
          <w:sz w:val="24"/>
          <w:szCs w:val="24"/>
        </w:rPr>
        <w:t xml:space="preserve">Westat </w:t>
      </w:r>
      <w:r w:rsidR="00C56098" w:rsidRPr="003965A1">
        <w:rPr>
          <w:sz w:val="24"/>
          <w:szCs w:val="24"/>
        </w:rPr>
        <w:t xml:space="preserve">will draw </w:t>
      </w:r>
      <w:r>
        <w:rPr>
          <w:sz w:val="24"/>
          <w:szCs w:val="24"/>
        </w:rPr>
        <w:t xml:space="preserve">focus group </w:t>
      </w:r>
      <w:r w:rsidR="00C56098" w:rsidRPr="003965A1">
        <w:rPr>
          <w:sz w:val="24"/>
          <w:szCs w:val="24"/>
        </w:rPr>
        <w:t xml:space="preserve">participants from the </w:t>
      </w:r>
      <w:r>
        <w:rPr>
          <w:sz w:val="24"/>
          <w:szCs w:val="24"/>
        </w:rPr>
        <w:t xml:space="preserve">DC metropolitan </w:t>
      </w:r>
      <w:r w:rsidR="00C56098" w:rsidRPr="003965A1">
        <w:rPr>
          <w:sz w:val="24"/>
          <w:szCs w:val="24"/>
        </w:rPr>
        <w:t xml:space="preserve">area </w:t>
      </w:r>
      <w:r>
        <w:rPr>
          <w:sz w:val="24"/>
          <w:szCs w:val="24"/>
        </w:rPr>
        <w:t xml:space="preserve">since </w:t>
      </w:r>
      <w:r w:rsidR="007D6C8A">
        <w:rPr>
          <w:sz w:val="24"/>
          <w:szCs w:val="24"/>
        </w:rPr>
        <w:t>the main Westat office is</w:t>
      </w:r>
      <w:r>
        <w:rPr>
          <w:sz w:val="24"/>
          <w:szCs w:val="24"/>
        </w:rPr>
        <w:t xml:space="preserve"> located in Rockville, Maryland</w:t>
      </w:r>
      <w:r w:rsidR="00C56098" w:rsidRPr="003965A1">
        <w:rPr>
          <w:sz w:val="24"/>
          <w:szCs w:val="24"/>
        </w:rPr>
        <w:t xml:space="preserve">. </w:t>
      </w:r>
      <w:r>
        <w:rPr>
          <w:sz w:val="24"/>
          <w:szCs w:val="24"/>
        </w:rPr>
        <w:t xml:space="preserve">The two student </w:t>
      </w:r>
      <w:r w:rsidR="00A867F4">
        <w:rPr>
          <w:sz w:val="24"/>
          <w:szCs w:val="24"/>
        </w:rPr>
        <w:t>protocols</w:t>
      </w:r>
      <w:r>
        <w:rPr>
          <w:sz w:val="24"/>
          <w:szCs w:val="24"/>
        </w:rPr>
        <w:t xml:space="preserve"> </w:t>
      </w:r>
      <w:r w:rsidR="001E0691">
        <w:rPr>
          <w:sz w:val="24"/>
          <w:szCs w:val="24"/>
        </w:rPr>
        <w:t>are</w:t>
      </w:r>
      <w:r w:rsidR="00985563">
        <w:rPr>
          <w:sz w:val="24"/>
          <w:szCs w:val="24"/>
        </w:rPr>
        <w:t xml:space="preserve"> identical, with a few minor modifications</w:t>
      </w:r>
      <w:r w:rsidR="008C24AF">
        <w:rPr>
          <w:sz w:val="24"/>
          <w:szCs w:val="24"/>
        </w:rPr>
        <w:t>:</w:t>
      </w:r>
      <w:r w:rsidR="00985563">
        <w:rPr>
          <w:sz w:val="24"/>
          <w:szCs w:val="24"/>
        </w:rPr>
        <w:t xml:space="preserve"> one group will be held with graduating seniors planning to attend 4-year institutions and the second student group with graduating seniors planning to attend </w:t>
      </w:r>
      <w:r w:rsidR="001C62DB">
        <w:rPr>
          <w:sz w:val="24"/>
          <w:szCs w:val="24"/>
        </w:rPr>
        <w:br/>
      </w:r>
      <w:r w:rsidR="00985563">
        <w:rPr>
          <w:sz w:val="24"/>
          <w:szCs w:val="24"/>
        </w:rPr>
        <w:t xml:space="preserve">2-year institutions.  A </w:t>
      </w:r>
      <w:r w:rsidR="008C24AF">
        <w:rPr>
          <w:sz w:val="24"/>
          <w:szCs w:val="24"/>
        </w:rPr>
        <w:t>separate</w:t>
      </w:r>
      <w:r w:rsidR="00985563">
        <w:rPr>
          <w:sz w:val="24"/>
          <w:szCs w:val="24"/>
        </w:rPr>
        <w:t xml:space="preserve"> </w:t>
      </w:r>
      <w:r w:rsidR="00A867F4">
        <w:rPr>
          <w:sz w:val="24"/>
          <w:szCs w:val="24"/>
        </w:rPr>
        <w:t>protocol</w:t>
      </w:r>
      <w:r w:rsidR="00985563">
        <w:rPr>
          <w:sz w:val="24"/>
          <w:szCs w:val="24"/>
        </w:rPr>
        <w:t xml:space="preserve"> was developed for use with high school guidance </w:t>
      </w:r>
      <w:r w:rsidR="00985563">
        <w:rPr>
          <w:sz w:val="24"/>
          <w:szCs w:val="24"/>
        </w:rPr>
        <w:lastRenderedPageBreak/>
        <w:t xml:space="preserve">counselors.  Approximately 12 participants will be recruited for each focus group in </w:t>
      </w:r>
      <w:r w:rsidR="001C62DB">
        <w:rPr>
          <w:sz w:val="24"/>
          <w:szCs w:val="24"/>
        </w:rPr>
        <w:t xml:space="preserve">the hope that </w:t>
      </w:r>
      <w:r w:rsidR="00985563">
        <w:rPr>
          <w:sz w:val="24"/>
          <w:szCs w:val="24"/>
        </w:rPr>
        <w:t xml:space="preserve">9 </w:t>
      </w:r>
      <w:r w:rsidR="001C62DB">
        <w:rPr>
          <w:sz w:val="24"/>
          <w:szCs w:val="24"/>
        </w:rPr>
        <w:t xml:space="preserve">will </w:t>
      </w:r>
      <w:r w:rsidR="00985563">
        <w:rPr>
          <w:sz w:val="24"/>
          <w:szCs w:val="24"/>
        </w:rPr>
        <w:t>show up</w:t>
      </w:r>
      <w:r w:rsidR="008C24AF">
        <w:rPr>
          <w:sz w:val="24"/>
          <w:szCs w:val="24"/>
        </w:rPr>
        <w:t xml:space="preserve"> to participate</w:t>
      </w:r>
      <w:r w:rsidR="00985563">
        <w:rPr>
          <w:sz w:val="24"/>
          <w:szCs w:val="24"/>
        </w:rPr>
        <w:t xml:space="preserve">. </w:t>
      </w:r>
    </w:p>
    <w:p w:rsidR="00C56098" w:rsidRPr="003965A1" w:rsidRDefault="00C56098" w:rsidP="00BB5E6F">
      <w:pPr>
        <w:pStyle w:val="bodytextpsg"/>
        <w:tabs>
          <w:tab w:val="left" w:pos="2790"/>
        </w:tabs>
        <w:spacing w:line="360" w:lineRule="auto"/>
        <w:rPr>
          <w:sz w:val="24"/>
          <w:szCs w:val="24"/>
        </w:rPr>
      </w:pPr>
      <w:r w:rsidRPr="003965A1">
        <w:rPr>
          <w:sz w:val="24"/>
          <w:szCs w:val="24"/>
        </w:rPr>
        <w:t xml:space="preserve">Participants will be </w:t>
      </w:r>
      <w:r w:rsidR="00985563">
        <w:rPr>
          <w:sz w:val="24"/>
          <w:szCs w:val="24"/>
        </w:rPr>
        <w:t xml:space="preserve">recruited by a </w:t>
      </w:r>
      <w:r w:rsidR="001E0691">
        <w:rPr>
          <w:sz w:val="24"/>
          <w:szCs w:val="24"/>
        </w:rPr>
        <w:t xml:space="preserve">professional </w:t>
      </w:r>
      <w:r w:rsidR="00985563">
        <w:rPr>
          <w:sz w:val="24"/>
          <w:szCs w:val="24"/>
        </w:rPr>
        <w:t xml:space="preserve">focus group </w:t>
      </w:r>
      <w:r w:rsidR="001E0691">
        <w:rPr>
          <w:sz w:val="24"/>
          <w:szCs w:val="24"/>
        </w:rPr>
        <w:t>recruiting</w:t>
      </w:r>
      <w:r w:rsidR="00081C25">
        <w:rPr>
          <w:sz w:val="24"/>
          <w:szCs w:val="24"/>
        </w:rPr>
        <w:t xml:space="preserve"> </w:t>
      </w:r>
      <w:r w:rsidR="00664111">
        <w:rPr>
          <w:sz w:val="24"/>
          <w:szCs w:val="24"/>
        </w:rPr>
        <w:t>facility</w:t>
      </w:r>
      <w:r w:rsidR="001E0691">
        <w:rPr>
          <w:sz w:val="24"/>
          <w:szCs w:val="24"/>
        </w:rPr>
        <w:t xml:space="preserve"> located in Bethesda, </w:t>
      </w:r>
      <w:r w:rsidR="00985563">
        <w:rPr>
          <w:sz w:val="24"/>
          <w:szCs w:val="24"/>
        </w:rPr>
        <w:t>Maryland</w:t>
      </w:r>
      <w:r w:rsidR="001E0691">
        <w:rPr>
          <w:sz w:val="24"/>
          <w:szCs w:val="24"/>
        </w:rPr>
        <w:t xml:space="preserve">. Recruitment will be </w:t>
      </w:r>
      <w:r w:rsidR="00985563">
        <w:rPr>
          <w:sz w:val="24"/>
          <w:szCs w:val="24"/>
        </w:rPr>
        <w:t>based on</w:t>
      </w:r>
      <w:r w:rsidR="001E0691">
        <w:rPr>
          <w:sz w:val="24"/>
          <w:szCs w:val="24"/>
        </w:rPr>
        <w:t xml:space="preserve"> screening questions</w:t>
      </w:r>
      <w:r w:rsidR="00985563">
        <w:rPr>
          <w:sz w:val="24"/>
          <w:szCs w:val="24"/>
        </w:rPr>
        <w:t xml:space="preserve"> prepared by</w:t>
      </w:r>
      <w:r w:rsidR="00664111">
        <w:rPr>
          <w:sz w:val="24"/>
          <w:szCs w:val="24"/>
        </w:rPr>
        <w:t xml:space="preserve"> </w:t>
      </w:r>
      <w:r w:rsidR="00985563">
        <w:rPr>
          <w:sz w:val="24"/>
          <w:szCs w:val="24"/>
        </w:rPr>
        <w:t>Westat</w:t>
      </w:r>
      <w:r w:rsidR="00BB5E6F">
        <w:rPr>
          <w:sz w:val="24"/>
          <w:szCs w:val="24"/>
        </w:rPr>
        <w:t xml:space="preserve"> (Attachment </w:t>
      </w:r>
      <w:r w:rsidR="001E0691">
        <w:rPr>
          <w:sz w:val="24"/>
          <w:szCs w:val="24"/>
        </w:rPr>
        <w:t>I</w:t>
      </w:r>
      <w:r w:rsidR="00BB5E6F">
        <w:rPr>
          <w:sz w:val="24"/>
          <w:szCs w:val="24"/>
        </w:rPr>
        <w:t xml:space="preserve">) </w:t>
      </w:r>
      <w:r w:rsidR="001E0691">
        <w:rPr>
          <w:sz w:val="24"/>
          <w:szCs w:val="24"/>
        </w:rPr>
        <w:t>to determine eligibility for the groups</w:t>
      </w:r>
      <w:r w:rsidR="00985563">
        <w:rPr>
          <w:sz w:val="24"/>
          <w:szCs w:val="24"/>
        </w:rPr>
        <w:t xml:space="preserve">. </w:t>
      </w:r>
      <w:r w:rsidRPr="003965A1">
        <w:rPr>
          <w:sz w:val="24"/>
          <w:szCs w:val="24"/>
        </w:rPr>
        <w:t xml:space="preserve">Attachment </w:t>
      </w:r>
      <w:r w:rsidR="001E0691">
        <w:rPr>
          <w:sz w:val="24"/>
          <w:szCs w:val="24"/>
        </w:rPr>
        <w:t xml:space="preserve">II </w:t>
      </w:r>
      <w:r w:rsidRPr="003965A1">
        <w:rPr>
          <w:sz w:val="24"/>
          <w:szCs w:val="24"/>
        </w:rPr>
        <w:t>provides additional detail about recruitment procedures</w:t>
      </w:r>
      <w:r w:rsidR="005C2DC0">
        <w:rPr>
          <w:sz w:val="24"/>
          <w:szCs w:val="24"/>
        </w:rPr>
        <w:t>, including sample fliers and confirmation e-mails</w:t>
      </w:r>
      <w:r w:rsidRPr="003965A1">
        <w:rPr>
          <w:sz w:val="24"/>
          <w:szCs w:val="24"/>
        </w:rPr>
        <w:t xml:space="preserve">. Attachment </w:t>
      </w:r>
      <w:r w:rsidR="001E0691" w:rsidRPr="003965A1">
        <w:rPr>
          <w:sz w:val="24"/>
          <w:szCs w:val="24"/>
        </w:rPr>
        <w:t>I</w:t>
      </w:r>
      <w:r w:rsidR="001E0691">
        <w:rPr>
          <w:sz w:val="24"/>
          <w:szCs w:val="24"/>
        </w:rPr>
        <w:t>II</w:t>
      </w:r>
      <w:r w:rsidR="001E0691" w:rsidRPr="003965A1">
        <w:rPr>
          <w:sz w:val="24"/>
          <w:szCs w:val="24"/>
        </w:rPr>
        <w:t xml:space="preserve"> </w:t>
      </w:r>
      <w:r w:rsidRPr="003965A1">
        <w:rPr>
          <w:sz w:val="24"/>
          <w:szCs w:val="24"/>
        </w:rPr>
        <w:t xml:space="preserve">contains the </w:t>
      </w:r>
      <w:r w:rsidR="001E0691">
        <w:rPr>
          <w:sz w:val="24"/>
          <w:szCs w:val="24"/>
        </w:rPr>
        <w:t>focus group protocols: one for the 4</w:t>
      </w:r>
      <w:r w:rsidR="00081C25">
        <w:rPr>
          <w:sz w:val="24"/>
          <w:szCs w:val="24"/>
        </w:rPr>
        <w:t>-</w:t>
      </w:r>
      <w:r w:rsidR="001E0691">
        <w:rPr>
          <w:sz w:val="24"/>
          <w:szCs w:val="24"/>
        </w:rPr>
        <w:t xml:space="preserve"> and 2-year student groups and a second one for the guidance counselors. </w:t>
      </w:r>
      <w:r w:rsidRPr="003965A1">
        <w:rPr>
          <w:sz w:val="24"/>
          <w:szCs w:val="24"/>
        </w:rPr>
        <w:t xml:space="preserve">Attachment </w:t>
      </w:r>
      <w:r w:rsidR="001E0691">
        <w:rPr>
          <w:sz w:val="24"/>
          <w:szCs w:val="24"/>
        </w:rPr>
        <w:t>I</w:t>
      </w:r>
      <w:r w:rsidRPr="003965A1">
        <w:rPr>
          <w:sz w:val="24"/>
          <w:szCs w:val="24"/>
        </w:rPr>
        <w:t>V</w:t>
      </w:r>
      <w:r w:rsidR="00EB1BA9">
        <w:rPr>
          <w:sz w:val="24"/>
          <w:szCs w:val="24"/>
        </w:rPr>
        <w:t xml:space="preserve"> contains the draft screen shots of the NCES profile as well as screen shots of </w:t>
      </w:r>
      <w:r w:rsidR="00141AA2">
        <w:rPr>
          <w:sz w:val="24"/>
          <w:szCs w:val="24"/>
        </w:rPr>
        <w:t xml:space="preserve">relevant </w:t>
      </w:r>
      <w:r w:rsidR="004A4AB0">
        <w:rPr>
          <w:sz w:val="24"/>
          <w:szCs w:val="24"/>
        </w:rPr>
        <w:t xml:space="preserve">data elements </w:t>
      </w:r>
      <w:r w:rsidR="00141AA2">
        <w:rPr>
          <w:sz w:val="24"/>
          <w:szCs w:val="24"/>
        </w:rPr>
        <w:t xml:space="preserve">from the College Navigator </w:t>
      </w:r>
      <w:r w:rsidR="005C2DC0">
        <w:rPr>
          <w:sz w:val="24"/>
          <w:szCs w:val="24"/>
        </w:rPr>
        <w:t xml:space="preserve">(not included in the profile) </w:t>
      </w:r>
      <w:r w:rsidR="004A4AB0">
        <w:rPr>
          <w:sz w:val="24"/>
          <w:szCs w:val="24"/>
        </w:rPr>
        <w:t xml:space="preserve">that will be discussed </w:t>
      </w:r>
      <w:r w:rsidR="005C2DC0">
        <w:rPr>
          <w:sz w:val="24"/>
          <w:szCs w:val="24"/>
        </w:rPr>
        <w:t xml:space="preserve">in the focus groups. Attachment IV also contains two versions of the ranking forms: one for students planning to attend 4-year institutions, which will also be used for the focus group with guidance counselors, and a second one for students planning to attend </w:t>
      </w:r>
      <w:r w:rsidR="005C2DC0">
        <w:rPr>
          <w:sz w:val="24"/>
          <w:szCs w:val="24"/>
        </w:rPr>
        <w:br/>
        <w:t>2-year institutions</w:t>
      </w:r>
      <w:r w:rsidR="004A4AB0">
        <w:rPr>
          <w:sz w:val="24"/>
          <w:szCs w:val="24"/>
        </w:rPr>
        <w:t>. Attachment V</w:t>
      </w:r>
      <w:r w:rsidRPr="003965A1">
        <w:rPr>
          <w:sz w:val="24"/>
          <w:szCs w:val="24"/>
        </w:rPr>
        <w:t xml:space="preserve"> </w:t>
      </w:r>
      <w:r w:rsidR="001E0691">
        <w:rPr>
          <w:sz w:val="24"/>
          <w:szCs w:val="24"/>
        </w:rPr>
        <w:t xml:space="preserve">contains </w:t>
      </w:r>
      <w:r w:rsidRPr="003965A1">
        <w:rPr>
          <w:sz w:val="24"/>
          <w:szCs w:val="24"/>
        </w:rPr>
        <w:t>the Assurance of Confidentiality</w:t>
      </w:r>
      <w:r w:rsidR="004B6822">
        <w:rPr>
          <w:sz w:val="24"/>
          <w:szCs w:val="24"/>
        </w:rPr>
        <w:t xml:space="preserve"> (consent forms)</w:t>
      </w:r>
      <w:r w:rsidR="00664111">
        <w:rPr>
          <w:sz w:val="24"/>
          <w:szCs w:val="24"/>
        </w:rPr>
        <w:t>, and</w:t>
      </w:r>
      <w:r w:rsidRPr="003965A1">
        <w:rPr>
          <w:sz w:val="24"/>
          <w:szCs w:val="24"/>
        </w:rPr>
        <w:t xml:space="preserve"> Attachment V</w:t>
      </w:r>
      <w:r w:rsidR="004A4AB0">
        <w:rPr>
          <w:sz w:val="24"/>
          <w:szCs w:val="24"/>
        </w:rPr>
        <w:t>I</w:t>
      </w:r>
      <w:r w:rsidR="00664111">
        <w:rPr>
          <w:sz w:val="24"/>
          <w:szCs w:val="24"/>
        </w:rPr>
        <w:t xml:space="preserve"> </w:t>
      </w:r>
      <w:r w:rsidRPr="003965A1">
        <w:rPr>
          <w:sz w:val="24"/>
          <w:szCs w:val="24"/>
        </w:rPr>
        <w:t xml:space="preserve">contains the Affidavit of Non-disclosure form that </w:t>
      </w:r>
      <w:r w:rsidR="00664111">
        <w:rPr>
          <w:sz w:val="24"/>
          <w:szCs w:val="24"/>
        </w:rPr>
        <w:t>Westat</w:t>
      </w:r>
      <w:r w:rsidRPr="003965A1">
        <w:rPr>
          <w:sz w:val="24"/>
          <w:szCs w:val="24"/>
        </w:rPr>
        <w:t xml:space="preserve"> staff assigned to the </w:t>
      </w:r>
      <w:r w:rsidR="00664111">
        <w:rPr>
          <w:sz w:val="24"/>
          <w:szCs w:val="24"/>
        </w:rPr>
        <w:t>focus groups task</w:t>
      </w:r>
      <w:r w:rsidRPr="003965A1">
        <w:rPr>
          <w:sz w:val="24"/>
          <w:szCs w:val="24"/>
        </w:rPr>
        <w:t xml:space="preserve"> have signed.</w:t>
      </w:r>
    </w:p>
    <w:p w:rsidR="00C56098" w:rsidRPr="003965A1" w:rsidRDefault="00C56098" w:rsidP="00E63DDD">
      <w:pPr>
        <w:pStyle w:val="bodytextpsg"/>
        <w:spacing w:line="360" w:lineRule="auto"/>
        <w:rPr>
          <w:sz w:val="24"/>
          <w:szCs w:val="24"/>
        </w:rPr>
      </w:pPr>
      <w:r w:rsidRPr="003965A1">
        <w:rPr>
          <w:sz w:val="24"/>
          <w:szCs w:val="24"/>
        </w:rPr>
        <w:t xml:space="preserve">The </w:t>
      </w:r>
      <w:r w:rsidR="001E0691">
        <w:rPr>
          <w:sz w:val="24"/>
          <w:szCs w:val="24"/>
        </w:rPr>
        <w:t>focus groups</w:t>
      </w:r>
      <w:r w:rsidRPr="003965A1">
        <w:rPr>
          <w:sz w:val="24"/>
          <w:szCs w:val="24"/>
        </w:rPr>
        <w:t xml:space="preserve"> will be held in a facility that is centrally located, easily accessible by car and public transportation, and allows for professional audio recording. Sessions will be held at times convenient for worker</w:t>
      </w:r>
      <w:r w:rsidR="001C62DB">
        <w:rPr>
          <w:sz w:val="24"/>
          <w:szCs w:val="24"/>
        </w:rPr>
        <w:t>s’</w:t>
      </w:r>
      <w:r w:rsidRPr="003965A1">
        <w:rPr>
          <w:sz w:val="24"/>
          <w:szCs w:val="24"/>
        </w:rPr>
        <w:t xml:space="preserve"> and student</w:t>
      </w:r>
      <w:r w:rsidR="001C62DB">
        <w:rPr>
          <w:sz w:val="24"/>
          <w:szCs w:val="24"/>
        </w:rPr>
        <w:t>s’</w:t>
      </w:r>
      <w:r w:rsidRPr="003965A1">
        <w:rPr>
          <w:sz w:val="24"/>
          <w:szCs w:val="24"/>
        </w:rPr>
        <w:t xml:space="preserve"> schedules. Each </w:t>
      </w:r>
      <w:r w:rsidR="00664111">
        <w:rPr>
          <w:sz w:val="24"/>
          <w:szCs w:val="24"/>
        </w:rPr>
        <w:t>focus group</w:t>
      </w:r>
      <w:r w:rsidRPr="003965A1">
        <w:rPr>
          <w:sz w:val="24"/>
          <w:szCs w:val="24"/>
        </w:rPr>
        <w:t xml:space="preserve">, of approximately </w:t>
      </w:r>
      <w:r w:rsidR="00664111">
        <w:rPr>
          <w:sz w:val="24"/>
          <w:szCs w:val="24"/>
        </w:rPr>
        <w:t>9</w:t>
      </w:r>
      <w:r w:rsidR="00664111" w:rsidRPr="003965A1">
        <w:rPr>
          <w:sz w:val="24"/>
          <w:szCs w:val="24"/>
        </w:rPr>
        <w:t xml:space="preserve">0 </w:t>
      </w:r>
      <w:r w:rsidRPr="003965A1">
        <w:rPr>
          <w:sz w:val="24"/>
          <w:szCs w:val="24"/>
        </w:rPr>
        <w:t xml:space="preserve">minutes’ duration, will be conducted by </w:t>
      </w:r>
      <w:r w:rsidR="00664111">
        <w:rPr>
          <w:sz w:val="24"/>
          <w:szCs w:val="24"/>
        </w:rPr>
        <w:t>Westat</w:t>
      </w:r>
      <w:r w:rsidR="00664111" w:rsidRPr="003965A1">
        <w:rPr>
          <w:sz w:val="24"/>
          <w:szCs w:val="24"/>
        </w:rPr>
        <w:t xml:space="preserve"> </w:t>
      </w:r>
      <w:r w:rsidRPr="003965A1">
        <w:rPr>
          <w:sz w:val="24"/>
          <w:szCs w:val="24"/>
        </w:rPr>
        <w:t xml:space="preserve">researchers with extensive experience </w:t>
      </w:r>
      <w:r>
        <w:rPr>
          <w:sz w:val="24"/>
          <w:szCs w:val="24"/>
        </w:rPr>
        <w:t>in</w:t>
      </w:r>
      <w:r w:rsidRPr="003965A1">
        <w:rPr>
          <w:sz w:val="24"/>
          <w:szCs w:val="24"/>
        </w:rPr>
        <w:t xml:space="preserve"> </w:t>
      </w:r>
      <w:r w:rsidR="00664111">
        <w:rPr>
          <w:sz w:val="24"/>
          <w:szCs w:val="24"/>
        </w:rPr>
        <w:t>moderating focus groups</w:t>
      </w:r>
      <w:r w:rsidRPr="003965A1">
        <w:rPr>
          <w:sz w:val="24"/>
          <w:szCs w:val="24"/>
        </w:rPr>
        <w:t xml:space="preserve"> of youth and adults. </w:t>
      </w:r>
      <w:r w:rsidR="00664111">
        <w:rPr>
          <w:sz w:val="24"/>
          <w:szCs w:val="24"/>
        </w:rPr>
        <w:t>(The moderator for the College Navigator groups also conducted the COOL focus groups in 2007.) A Westat note</w:t>
      </w:r>
      <w:r w:rsidR="003229B6">
        <w:rPr>
          <w:sz w:val="24"/>
          <w:szCs w:val="24"/>
        </w:rPr>
        <w:t>-</w:t>
      </w:r>
      <w:r w:rsidR="00664111">
        <w:rPr>
          <w:sz w:val="24"/>
          <w:szCs w:val="24"/>
        </w:rPr>
        <w:t>taker will attend each of the groups and</w:t>
      </w:r>
      <w:r w:rsidR="00500BD9">
        <w:rPr>
          <w:sz w:val="24"/>
          <w:szCs w:val="24"/>
        </w:rPr>
        <w:t xml:space="preserve"> take notes from behind the one-way mirror. </w:t>
      </w:r>
      <w:r w:rsidRPr="003965A1">
        <w:rPr>
          <w:sz w:val="24"/>
          <w:szCs w:val="24"/>
        </w:rPr>
        <w:t xml:space="preserve">The audio recordings will be made available to </w:t>
      </w:r>
      <w:r w:rsidR="00664111">
        <w:rPr>
          <w:sz w:val="24"/>
          <w:szCs w:val="24"/>
        </w:rPr>
        <w:t>Westat</w:t>
      </w:r>
      <w:r w:rsidRPr="003965A1">
        <w:rPr>
          <w:sz w:val="24"/>
          <w:szCs w:val="24"/>
        </w:rPr>
        <w:t xml:space="preserve"> for </w:t>
      </w:r>
      <w:r w:rsidR="00500BD9">
        <w:rPr>
          <w:sz w:val="24"/>
          <w:szCs w:val="24"/>
        </w:rPr>
        <w:t>use in fleshing out the</w:t>
      </w:r>
      <w:r w:rsidR="00664111">
        <w:rPr>
          <w:sz w:val="24"/>
          <w:szCs w:val="24"/>
        </w:rPr>
        <w:t xml:space="preserve"> notes</w:t>
      </w:r>
      <w:r w:rsidRPr="003965A1">
        <w:rPr>
          <w:sz w:val="24"/>
          <w:szCs w:val="24"/>
        </w:rPr>
        <w:t xml:space="preserve">. </w:t>
      </w:r>
    </w:p>
    <w:p w:rsidR="00C44011" w:rsidRDefault="00C56098" w:rsidP="00E63DDD">
      <w:pPr>
        <w:pStyle w:val="bodytextpsg"/>
        <w:spacing w:line="360" w:lineRule="auto"/>
        <w:rPr>
          <w:sz w:val="24"/>
          <w:szCs w:val="24"/>
        </w:rPr>
      </w:pPr>
      <w:r w:rsidRPr="003965A1">
        <w:rPr>
          <w:sz w:val="24"/>
          <w:szCs w:val="24"/>
        </w:rPr>
        <w:t xml:space="preserve">The </w:t>
      </w:r>
      <w:r w:rsidR="003C28B5">
        <w:rPr>
          <w:sz w:val="24"/>
          <w:szCs w:val="24"/>
        </w:rPr>
        <w:t xml:space="preserve">focus group questions are organized into three sections: </w:t>
      </w:r>
      <w:r w:rsidR="002049AD">
        <w:rPr>
          <w:sz w:val="24"/>
          <w:szCs w:val="24"/>
        </w:rPr>
        <w:t>(1) a section of warm-up and background</w:t>
      </w:r>
      <w:r w:rsidR="003C28B5">
        <w:rPr>
          <w:sz w:val="24"/>
          <w:szCs w:val="24"/>
        </w:rPr>
        <w:t xml:space="preserve"> questions,</w:t>
      </w:r>
      <w:r w:rsidR="002049AD">
        <w:rPr>
          <w:sz w:val="24"/>
          <w:szCs w:val="24"/>
        </w:rPr>
        <w:t xml:space="preserve"> (2) the main section </w:t>
      </w:r>
      <w:r w:rsidR="00B57D8E">
        <w:rPr>
          <w:sz w:val="24"/>
          <w:szCs w:val="24"/>
        </w:rPr>
        <w:t>containing questions</w:t>
      </w:r>
      <w:r w:rsidR="003C28B5">
        <w:rPr>
          <w:sz w:val="24"/>
          <w:szCs w:val="24"/>
        </w:rPr>
        <w:t xml:space="preserve"> </w:t>
      </w:r>
      <w:r w:rsidR="002049AD">
        <w:rPr>
          <w:sz w:val="24"/>
          <w:szCs w:val="24"/>
        </w:rPr>
        <w:t>about the specific</w:t>
      </w:r>
      <w:r w:rsidR="003C28B5">
        <w:rPr>
          <w:sz w:val="24"/>
          <w:szCs w:val="24"/>
        </w:rPr>
        <w:t xml:space="preserve"> data elements </w:t>
      </w:r>
      <w:r w:rsidR="006A67C0">
        <w:rPr>
          <w:sz w:val="24"/>
          <w:szCs w:val="24"/>
        </w:rPr>
        <w:t xml:space="preserve">in each of the </w:t>
      </w:r>
      <w:r w:rsidR="006A61F5">
        <w:rPr>
          <w:sz w:val="24"/>
          <w:szCs w:val="24"/>
        </w:rPr>
        <w:t>seven</w:t>
      </w:r>
      <w:r w:rsidR="006A67C0">
        <w:rPr>
          <w:sz w:val="24"/>
          <w:szCs w:val="24"/>
        </w:rPr>
        <w:t xml:space="preserve"> </w:t>
      </w:r>
      <w:r w:rsidR="00375282">
        <w:rPr>
          <w:sz w:val="24"/>
          <w:szCs w:val="24"/>
        </w:rPr>
        <w:t>categories</w:t>
      </w:r>
      <w:r w:rsidR="002049AD">
        <w:rPr>
          <w:sz w:val="24"/>
          <w:szCs w:val="24"/>
        </w:rPr>
        <w:t xml:space="preserve"> </w:t>
      </w:r>
      <w:r w:rsidR="00B57D8E">
        <w:rPr>
          <w:sz w:val="24"/>
          <w:szCs w:val="24"/>
        </w:rPr>
        <w:t>followed by a ranking exercise</w:t>
      </w:r>
      <w:r w:rsidR="006A67C0">
        <w:rPr>
          <w:sz w:val="24"/>
          <w:szCs w:val="24"/>
        </w:rPr>
        <w:t xml:space="preserve"> for each topic</w:t>
      </w:r>
      <w:r w:rsidR="00B57D8E">
        <w:rPr>
          <w:sz w:val="24"/>
          <w:szCs w:val="24"/>
        </w:rPr>
        <w:t xml:space="preserve">, </w:t>
      </w:r>
      <w:r w:rsidR="002049AD">
        <w:rPr>
          <w:sz w:val="24"/>
          <w:szCs w:val="24"/>
        </w:rPr>
        <w:t>and (3)</w:t>
      </w:r>
      <w:r w:rsidR="003C28B5">
        <w:rPr>
          <w:sz w:val="24"/>
          <w:szCs w:val="24"/>
        </w:rPr>
        <w:t xml:space="preserve"> </w:t>
      </w:r>
      <w:r w:rsidR="001C62DB">
        <w:rPr>
          <w:sz w:val="24"/>
          <w:szCs w:val="24"/>
        </w:rPr>
        <w:t>a</w:t>
      </w:r>
      <w:r w:rsidR="003C28B5">
        <w:rPr>
          <w:sz w:val="24"/>
          <w:szCs w:val="24"/>
        </w:rPr>
        <w:t xml:space="preserve"> </w:t>
      </w:r>
      <w:r w:rsidR="00B57D8E">
        <w:rPr>
          <w:sz w:val="24"/>
          <w:szCs w:val="24"/>
        </w:rPr>
        <w:t xml:space="preserve">concluding </w:t>
      </w:r>
      <w:r w:rsidR="003C28B5">
        <w:rPr>
          <w:sz w:val="24"/>
          <w:szCs w:val="24"/>
        </w:rPr>
        <w:t>section</w:t>
      </w:r>
      <w:r w:rsidR="006D2784">
        <w:rPr>
          <w:sz w:val="24"/>
          <w:szCs w:val="24"/>
        </w:rPr>
        <w:t xml:space="preserve"> in which all the categories are reviewed and participants are asked to rank the importance of all the categories followed by a few </w:t>
      </w:r>
      <w:r w:rsidR="00B57D8E">
        <w:rPr>
          <w:sz w:val="24"/>
          <w:szCs w:val="24"/>
        </w:rPr>
        <w:t>general questions about the format and presentation of the profile.</w:t>
      </w:r>
      <w:r w:rsidR="003C28B5">
        <w:rPr>
          <w:sz w:val="24"/>
          <w:szCs w:val="24"/>
        </w:rPr>
        <w:t xml:space="preserve"> </w:t>
      </w:r>
    </w:p>
    <w:p w:rsidR="00EB1BA9" w:rsidRDefault="003C28B5" w:rsidP="00E63DDD">
      <w:pPr>
        <w:pStyle w:val="bodytextpsg"/>
        <w:spacing w:line="360" w:lineRule="auto"/>
        <w:rPr>
          <w:sz w:val="24"/>
          <w:szCs w:val="24"/>
        </w:rPr>
      </w:pPr>
      <w:r>
        <w:rPr>
          <w:sz w:val="24"/>
          <w:szCs w:val="24"/>
        </w:rPr>
        <w:lastRenderedPageBreak/>
        <w:t xml:space="preserve">The </w:t>
      </w:r>
      <w:r w:rsidR="009C0DCE">
        <w:rPr>
          <w:sz w:val="24"/>
          <w:szCs w:val="24"/>
        </w:rPr>
        <w:t>first set of</w:t>
      </w:r>
      <w:r w:rsidR="00B57D8E">
        <w:rPr>
          <w:sz w:val="24"/>
          <w:szCs w:val="24"/>
        </w:rPr>
        <w:t xml:space="preserve"> background</w:t>
      </w:r>
      <w:r w:rsidR="009C0DCE">
        <w:rPr>
          <w:sz w:val="24"/>
          <w:szCs w:val="24"/>
        </w:rPr>
        <w:t xml:space="preserve"> questions is </w:t>
      </w:r>
      <w:r w:rsidR="002049AD">
        <w:rPr>
          <w:sz w:val="24"/>
          <w:szCs w:val="24"/>
        </w:rPr>
        <w:t xml:space="preserve">designed to solicit </w:t>
      </w:r>
      <w:r w:rsidR="00C44011">
        <w:rPr>
          <w:sz w:val="24"/>
          <w:szCs w:val="24"/>
        </w:rPr>
        <w:t>students’</w:t>
      </w:r>
      <w:r w:rsidR="002049AD">
        <w:rPr>
          <w:sz w:val="24"/>
          <w:szCs w:val="24"/>
        </w:rPr>
        <w:t xml:space="preserve"> ex</w:t>
      </w:r>
      <w:r w:rsidR="00B57D8E">
        <w:rPr>
          <w:sz w:val="24"/>
          <w:szCs w:val="24"/>
        </w:rPr>
        <w:t xml:space="preserve">periences in conducting searches </w:t>
      </w:r>
      <w:r w:rsidR="002049AD">
        <w:rPr>
          <w:sz w:val="24"/>
          <w:szCs w:val="24"/>
        </w:rPr>
        <w:t>that will</w:t>
      </w:r>
      <w:r w:rsidR="009C0DCE">
        <w:rPr>
          <w:sz w:val="24"/>
          <w:szCs w:val="24"/>
        </w:rPr>
        <w:t xml:space="preserve"> provide context for the remaining discussion. </w:t>
      </w:r>
      <w:r w:rsidR="00B57D8E">
        <w:rPr>
          <w:sz w:val="24"/>
          <w:szCs w:val="24"/>
        </w:rPr>
        <w:t xml:space="preserve">Counselors will be asked about their experiences in assisting students with the information gathering and interpreting process. </w:t>
      </w:r>
    </w:p>
    <w:p w:rsidR="003364AC" w:rsidRDefault="009C0DCE" w:rsidP="00E63DDD">
      <w:pPr>
        <w:pStyle w:val="bodytextpsg"/>
        <w:spacing w:line="360" w:lineRule="auto"/>
        <w:rPr>
          <w:sz w:val="24"/>
          <w:szCs w:val="24"/>
        </w:rPr>
      </w:pPr>
      <w:r>
        <w:rPr>
          <w:sz w:val="24"/>
          <w:szCs w:val="24"/>
        </w:rPr>
        <w:t xml:space="preserve">The </w:t>
      </w:r>
      <w:r w:rsidR="00C44011">
        <w:rPr>
          <w:sz w:val="24"/>
          <w:szCs w:val="24"/>
        </w:rPr>
        <w:t xml:space="preserve">second and </w:t>
      </w:r>
      <w:r w:rsidR="002049AD">
        <w:rPr>
          <w:sz w:val="24"/>
          <w:szCs w:val="24"/>
        </w:rPr>
        <w:t xml:space="preserve">main body of the </w:t>
      </w:r>
      <w:r w:rsidR="001C62DB">
        <w:rPr>
          <w:sz w:val="24"/>
          <w:szCs w:val="24"/>
        </w:rPr>
        <w:t>protocol</w:t>
      </w:r>
      <w:r w:rsidR="002049AD">
        <w:rPr>
          <w:sz w:val="24"/>
          <w:szCs w:val="24"/>
        </w:rPr>
        <w:t xml:space="preserve"> will focus on </w:t>
      </w:r>
      <w:r w:rsidR="00B57D8E">
        <w:rPr>
          <w:sz w:val="24"/>
          <w:szCs w:val="24"/>
        </w:rPr>
        <w:t xml:space="preserve">asking questions </w:t>
      </w:r>
      <w:r w:rsidR="002049AD">
        <w:rPr>
          <w:sz w:val="24"/>
          <w:szCs w:val="24"/>
        </w:rPr>
        <w:t xml:space="preserve">about </w:t>
      </w:r>
      <w:r w:rsidR="00C44011">
        <w:rPr>
          <w:sz w:val="24"/>
          <w:szCs w:val="24"/>
        </w:rPr>
        <w:t xml:space="preserve">each </w:t>
      </w:r>
      <w:r w:rsidR="001B6BFC">
        <w:rPr>
          <w:sz w:val="24"/>
          <w:szCs w:val="24"/>
        </w:rPr>
        <w:t xml:space="preserve">set of </w:t>
      </w:r>
      <w:r w:rsidR="00C44011">
        <w:rPr>
          <w:sz w:val="24"/>
          <w:szCs w:val="24"/>
        </w:rPr>
        <w:t>data element</w:t>
      </w:r>
      <w:r w:rsidR="003229B6">
        <w:rPr>
          <w:sz w:val="24"/>
          <w:szCs w:val="24"/>
        </w:rPr>
        <w:t>s</w:t>
      </w:r>
      <w:r w:rsidR="00B57D8E">
        <w:rPr>
          <w:sz w:val="24"/>
          <w:szCs w:val="24"/>
        </w:rPr>
        <w:t xml:space="preserve"> by </w:t>
      </w:r>
      <w:r w:rsidR="00C621D5">
        <w:rPr>
          <w:sz w:val="24"/>
          <w:szCs w:val="24"/>
        </w:rPr>
        <w:t>category</w:t>
      </w:r>
      <w:r w:rsidR="00B57D8E">
        <w:rPr>
          <w:sz w:val="24"/>
          <w:szCs w:val="24"/>
        </w:rPr>
        <w:t xml:space="preserve">. </w:t>
      </w:r>
      <w:r w:rsidR="0072403D">
        <w:rPr>
          <w:sz w:val="24"/>
          <w:szCs w:val="24"/>
        </w:rPr>
        <w:t>Although the discussion will focus on the elements contained</w:t>
      </w:r>
      <w:r w:rsidR="00C44011">
        <w:rPr>
          <w:sz w:val="24"/>
          <w:szCs w:val="24"/>
        </w:rPr>
        <w:t xml:space="preserve"> in </w:t>
      </w:r>
      <w:r w:rsidR="002049AD">
        <w:rPr>
          <w:sz w:val="24"/>
          <w:szCs w:val="24"/>
        </w:rPr>
        <w:t xml:space="preserve">the draft </w:t>
      </w:r>
      <w:r w:rsidR="00917868">
        <w:rPr>
          <w:sz w:val="24"/>
          <w:szCs w:val="24"/>
        </w:rPr>
        <w:t>profile</w:t>
      </w:r>
      <w:r w:rsidR="002049AD">
        <w:rPr>
          <w:sz w:val="24"/>
          <w:szCs w:val="24"/>
        </w:rPr>
        <w:t xml:space="preserve"> for which screen shots will be provided</w:t>
      </w:r>
      <w:r w:rsidR="0072403D">
        <w:rPr>
          <w:sz w:val="24"/>
          <w:szCs w:val="24"/>
        </w:rPr>
        <w:t>, additional elements within</w:t>
      </w:r>
      <w:r w:rsidR="006D2784">
        <w:rPr>
          <w:sz w:val="24"/>
          <w:szCs w:val="24"/>
        </w:rPr>
        <w:t xml:space="preserve"> each</w:t>
      </w:r>
      <w:r w:rsidR="0072403D">
        <w:rPr>
          <w:sz w:val="24"/>
          <w:szCs w:val="24"/>
        </w:rPr>
        <w:t xml:space="preserve"> topic area will also be </w:t>
      </w:r>
      <w:r w:rsidR="006D2784">
        <w:rPr>
          <w:sz w:val="24"/>
          <w:szCs w:val="24"/>
        </w:rPr>
        <w:t>briefly reviewed</w:t>
      </w:r>
      <w:r w:rsidR="001B6BFC">
        <w:rPr>
          <w:sz w:val="24"/>
          <w:szCs w:val="24"/>
        </w:rPr>
        <w:t xml:space="preserve"> (and screen shots will be provided)</w:t>
      </w:r>
      <w:r w:rsidR="002049AD">
        <w:rPr>
          <w:sz w:val="24"/>
          <w:szCs w:val="24"/>
        </w:rPr>
        <w:t xml:space="preserve">. </w:t>
      </w:r>
      <w:r w:rsidR="0072403D">
        <w:rPr>
          <w:sz w:val="24"/>
          <w:szCs w:val="24"/>
        </w:rPr>
        <w:t xml:space="preserve"> For example, the draft </w:t>
      </w:r>
      <w:r w:rsidR="00EB1BA9">
        <w:rPr>
          <w:sz w:val="24"/>
          <w:szCs w:val="24"/>
        </w:rPr>
        <w:t>NCES profile</w:t>
      </w:r>
      <w:r w:rsidR="0072403D">
        <w:rPr>
          <w:sz w:val="24"/>
          <w:szCs w:val="24"/>
        </w:rPr>
        <w:t xml:space="preserve"> contains</w:t>
      </w:r>
      <w:r w:rsidR="00EB1BA9">
        <w:rPr>
          <w:sz w:val="24"/>
          <w:szCs w:val="24"/>
        </w:rPr>
        <w:t xml:space="preserve"> a </w:t>
      </w:r>
      <w:r w:rsidR="00081C25">
        <w:rPr>
          <w:sz w:val="24"/>
          <w:szCs w:val="24"/>
        </w:rPr>
        <w:t xml:space="preserve">graphical </w:t>
      </w:r>
      <w:r w:rsidR="00EB1BA9">
        <w:rPr>
          <w:sz w:val="24"/>
          <w:szCs w:val="24"/>
        </w:rPr>
        <w:t>presentation</w:t>
      </w:r>
      <w:r w:rsidR="0072403D">
        <w:rPr>
          <w:sz w:val="24"/>
          <w:szCs w:val="24"/>
        </w:rPr>
        <w:t xml:space="preserve"> </w:t>
      </w:r>
      <w:r w:rsidR="00081C25">
        <w:rPr>
          <w:sz w:val="24"/>
          <w:szCs w:val="24"/>
        </w:rPr>
        <w:t xml:space="preserve">of the </w:t>
      </w:r>
      <w:r w:rsidR="0072403D">
        <w:rPr>
          <w:sz w:val="24"/>
          <w:szCs w:val="24"/>
        </w:rPr>
        <w:t xml:space="preserve">numbers of applicants, admitted students, and enrolled students for fall 2009. However, other data </w:t>
      </w:r>
      <w:r w:rsidR="004A4AB0">
        <w:rPr>
          <w:sz w:val="24"/>
          <w:szCs w:val="24"/>
        </w:rPr>
        <w:t xml:space="preserve">provided </w:t>
      </w:r>
      <w:r w:rsidR="001B6BFC">
        <w:rPr>
          <w:sz w:val="24"/>
          <w:szCs w:val="24"/>
        </w:rPr>
        <w:t>in making</w:t>
      </w:r>
      <w:r w:rsidR="00EB1BA9">
        <w:rPr>
          <w:sz w:val="24"/>
          <w:szCs w:val="24"/>
        </w:rPr>
        <w:t xml:space="preserve"> </w:t>
      </w:r>
      <w:r w:rsidR="001C62DB">
        <w:rPr>
          <w:sz w:val="24"/>
          <w:szCs w:val="24"/>
        </w:rPr>
        <w:t xml:space="preserve">undergraduate </w:t>
      </w:r>
      <w:r w:rsidR="00EB1BA9">
        <w:rPr>
          <w:sz w:val="24"/>
          <w:szCs w:val="24"/>
        </w:rPr>
        <w:t xml:space="preserve">admissions decisions </w:t>
      </w:r>
      <w:r w:rsidR="004A4AB0">
        <w:rPr>
          <w:sz w:val="24"/>
          <w:szCs w:val="24"/>
        </w:rPr>
        <w:t>(e.g.,</w:t>
      </w:r>
      <w:r w:rsidR="00EB1BA9">
        <w:rPr>
          <w:sz w:val="24"/>
          <w:szCs w:val="24"/>
        </w:rPr>
        <w:t xml:space="preserve"> high </w:t>
      </w:r>
      <w:r w:rsidR="00EB1BA9" w:rsidRPr="00CB4C2D">
        <w:rPr>
          <w:sz w:val="24"/>
          <w:szCs w:val="24"/>
        </w:rPr>
        <w:t xml:space="preserve">school GPA or </w:t>
      </w:r>
      <w:r w:rsidR="00607039" w:rsidRPr="00607039">
        <w:rPr>
          <w:sz w:val="24"/>
          <w:szCs w:val="24"/>
        </w:rPr>
        <w:t xml:space="preserve">Test of English as a Foreign Language) and SAT and ACT test score ranges, which are not depicted in the graphical profile, will be discussed using screen shots. </w:t>
      </w:r>
      <w:r w:rsidR="00EB1BA9" w:rsidRPr="00CB4C2D">
        <w:rPr>
          <w:sz w:val="24"/>
          <w:szCs w:val="24"/>
        </w:rPr>
        <w:t xml:space="preserve"> </w:t>
      </w:r>
      <w:r w:rsidR="00607039">
        <w:rPr>
          <w:sz w:val="24"/>
          <w:szCs w:val="24"/>
        </w:rPr>
        <w:t>In this second section of the protocol, the moderator</w:t>
      </w:r>
      <w:r w:rsidR="002049AD">
        <w:rPr>
          <w:sz w:val="24"/>
          <w:szCs w:val="24"/>
        </w:rPr>
        <w:t xml:space="preserve"> will ask students about their understanding, use, and </w:t>
      </w:r>
      <w:r w:rsidR="00775313">
        <w:rPr>
          <w:sz w:val="24"/>
          <w:szCs w:val="24"/>
        </w:rPr>
        <w:t xml:space="preserve">the </w:t>
      </w:r>
      <w:r w:rsidR="002049AD">
        <w:rPr>
          <w:sz w:val="24"/>
          <w:szCs w:val="24"/>
        </w:rPr>
        <w:t>importance of each</w:t>
      </w:r>
      <w:r w:rsidR="00081C25">
        <w:rPr>
          <w:sz w:val="24"/>
          <w:szCs w:val="24"/>
        </w:rPr>
        <w:t xml:space="preserve"> </w:t>
      </w:r>
      <w:r w:rsidR="00A867F4">
        <w:rPr>
          <w:sz w:val="24"/>
          <w:szCs w:val="24"/>
        </w:rPr>
        <w:t>data element</w:t>
      </w:r>
      <w:r w:rsidR="002049AD">
        <w:rPr>
          <w:sz w:val="24"/>
          <w:szCs w:val="24"/>
        </w:rPr>
        <w:t xml:space="preserve">. </w:t>
      </w:r>
      <w:r>
        <w:rPr>
          <w:sz w:val="24"/>
          <w:szCs w:val="24"/>
        </w:rPr>
        <w:t xml:space="preserve"> </w:t>
      </w:r>
      <w:r w:rsidR="00C44011">
        <w:rPr>
          <w:sz w:val="24"/>
          <w:szCs w:val="24"/>
        </w:rPr>
        <w:t xml:space="preserve">Typical </w:t>
      </w:r>
      <w:r w:rsidR="001B6BFC">
        <w:rPr>
          <w:sz w:val="24"/>
          <w:szCs w:val="24"/>
        </w:rPr>
        <w:t>follow-up questions and probes</w:t>
      </w:r>
      <w:r w:rsidR="00C44011">
        <w:rPr>
          <w:sz w:val="24"/>
          <w:szCs w:val="24"/>
        </w:rPr>
        <w:t xml:space="preserve"> will ask students t</w:t>
      </w:r>
      <w:r w:rsidR="001B6BFC">
        <w:rPr>
          <w:sz w:val="24"/>
          <w:szCs w:val="24"/>
        </w:rPr>
        <w:t>o explain a term or concept</w:t>
      </w:r>
      <w:r w:rsidR="00C44011">
        <w:rPr>
          <w:sz w:val="24"/>
          <w:szCs w:val="24"/>
        </w:rPr>
        <w:t xml:space="preserve"> to ensure they understand what is being asked of them. For example, </w:t>
      </w:r>
      <w:r w:rsidR="0001169A">
        <w:rPr>
          <w:sz w:val="24"/>
          <w:szCs w:val="24"/>
        </w:rPr>
        <w:t xml:space="preserve">a question in which students are asked </w:t>
      </w:r>
      <w:r w:rsidR="00081C25">
        <w:rPr>
          <w:sz w:val="24"/>
          <w:szCs w:val="24"/>
        </w:rPr>
        <w:t>if they</w:t>
      </w:r>
      <w:r w:rsidR="0001169A">
        <w:rPr>
          <w:sz w:val="24"/>
          <w:szCs w:val="24"/>
        </w:rPr>
        <w:t xml:space="preserve"> understand the difference</w:t>
      </w:r>
      <w:r w:rsidR="001C62DB">
        <w:rPr>
          <w:sz w:val="24"/>
          <w:szCs w:val="24"/>
        </w:rPr>
        <w:t>s</w:t>
      </w:r>
      <w:r w:rsidR="0001169A">
        <w:rPr>
          <w:sz w:val="24"/>
          <w:szCs w:val="24"/>
        </w:rPr>
        <w:t xml:space="preserve"> </w:t>
      </w:r>
      <w:r w:rsidR="001C62DB">
        <w:rPr>
          <w:sz w:val="24"/>
          <w:szCs w:val="24"/>
        </w:rPr>
        <w:t xml:space="preserve">among </w:t>
      </w:r>
      <w:r w:rsidR="0001169A">
        <w:rPr>
          <w:sz w:val="24"/>
          <w:szCs w:val="24"/>
        </w:rPr>
        <w:t>grants, scho</w:t>
      </w:r>
      <w:r w:rsidR="00917868">
        <w:rPr>
          <w:sz w:val="24"/>
          <w:szCs w:val="24"/>
        </w:rPr>
        <w:t>larships</w:t>
      </w:r>
      <w:r w:rsidR="001C62DB">
        <w:rPr>
          <w:sz w:val="24"/>
          <w:szCs w:val="24"/>
        </w:rPr>
        <w:t>,</w:t>
      </w:r>
      <w:r w:rsidR="00917868">
        <w:rPr>
          <w:sz w:val="24"/>
          <w:szCs w:val="24"/>
        </w:rPr>
        <w:t xml:space="preserve"> and loan aid will</w:t>
      </w:r>
      <w:r w:rsidR="0001169A">
        <w:rPr>
          <w:sz w:val="24"/>
          <w:szCs w:val="24"/>
        </w:rPr>
        <w:t xml:space="preserve"> </w:t>
      </w:r>
      <w:r w:rsidR="004A4AB0">
        <w:rPr>
          <w:sz w:val="24"/>
          <w:szCs w:val="24"/>
        </w:rPr>
        <w:t xml:space="preserve">be </w:t>
      </w:r>
      <w:r w:rsidR="0001169A">
        <w:rPr>
          <w:sz w:val="24"/>
          <w:szCs w:val="24"/>
        </w:rPr>
        <w:t>followed up with a question asking students to explain the differences</w:t>
      </w:r>
      <w:r w:rsidR="00081C25">
        <w:rPr>
          <w:sz w:val="24"/>
          <w:szCs w:val="24"/>
        </w:rPr>
        <w:t xml:space="preserve"> </w:t>
      </w:r>
      <w:r w:rsidR="0001169A">
        <w:rPr>
          <w:sz w:val="24"/>
          <w:szCs w:val="24"/>
        </w:rPr>
        <w:t xml:space="preserve">as they understand them. </w:t>
      </w:r>
      <w:r w:rsidR="00C44011">
        <w:rPr>
          <w:sz w:val="24"/>
          <w:szCs w:val="24"/>
        </w:rPr>
        <w:t xml:space="preserve"> </w:t>
      </w:r>
      <w:r w:rsidR="004A4AB0">
        <w:rPr>
          <w:sz w:val="24"/>
          <w:szCs w:val="24"/>
        </w:rPr>
        <w:t>After discussing the data elements associated with each topic area, stu</w:t>
      </w:r>
      <w:r w:rsidR="001B6BFC">
        <w:rPr>
          <w:sz w:val="24"/>
          <w:szCs w:val="24"/>
        </w:rPr>
        <w:t>d</w:t>
      </w:r>
      <w:r w:rsidR="004A4AB0">
        <w:rPr>
          <w:sz w:val="24"/>
          <w:szCs w:val="24"/>
        </w:rPr>
        <w:t xml:space="preserve">ents and counselors will be asked to individually rank the importance of the </w:t>
      </w:r>
      <w:r w:rsidR="006D2784">
        <w:rPr>
          <w:sz w:val="24"/>
          <w:szCs w:val="24"/>
        </w:rPr>
        <w:t xml:space="preserve">3-4 </w:t>
      </w:r>
      <w:r w:rsidR="004A4AB0">
        <w:rPr>
          <w:sz w:val="24"/>
          <w:szCs w:val="24"/>
        </w:rPr>
        <w:t>data elements</w:t>
      </w:r>
      <w:r w:rsidR="006D2784">
        <w:rPr>
          <w:sz w:val="24"/>
          <w:szCs w:val="24"/>
        </w:rPr>
        <w:t xml:space="preserve"> within each category</w:t>
      </w:r>
      <w:r w:rsidR="004A4AB0">
        <w:rPr>
          <w:sz w:val="24"/>
          <w:szCs w:val="24"/>
        </w:rPr>
        <w:t xml:space="preserve"> using a ranking form. </w:t>
      </w:r>
    </w:p>
    <w:p w:rsidR="006D2784" w:rsidRDefault="004A4AB0" w:rsidP="00E63DDD">
      <w:pPr>
        <w:pStyle w:val="bodytextpsg"/>
        <w:spacing w:line="360" w:lineRule="auto"/>
        <w:rPr>
          <w:sz w:val="24"/>
          <w:szCs w:val="24"/>
        </w:rPr>
      </w:pPr>
      <w:r>
        <w:rPr>
          <w:sz w:val="24"/>
          <w:szCs w:val="24"/>
        </w:rPr>
        <w:t>Also in</w:t>
      </w:r>
      <w:r w:rsidR="00C44011">
        <w:rPr>
          <w:sz w:val="24"/>
          <w:szCs w:val="24"/>
        </w:rPr>
        <w:t xml:space="preserve"> the main section of the</w:t>
      </w:r>
      <w:r w:rsidR="001C62DB">
        <w:rPr>
          <w:sz w:val="24"/>
          <w:szCs w:val="24"/>
        </w:rPr>
        <w:t xml:space="preserve"> protocol</w:t>
      </w:r>
      <w:r w:rsidR="00C44011">
        <w:rPr>
          <w:sz w:val="24"/>
          <w:szCs w:val="24"/>
        </w:rPr>
        <w:t>, g</w:t>
      </w:r>
      <w:r w:rsidR="0069546C">
        <w:rPr>
          <w:sz w:val="24"/>
          <w:szCs w:val="24"/>
        </w:rPr>
        <w:t xml:space="preserve">uidance counselors </w:t>
      </w:r>
      <w:r w:rsidR="00C44011">
        <w:rPr>
          <w:sz w:val="24"/>
          <w:szCs w:val="24"/>
        </w:rPr>
        <w:t xml:space="preserve">will </w:t>
      </w:r>
      <w:r w:rsidR="0001169A">
        <w:rPr>
          <w:sz w:val="24"/>
          <w:szCs w:val="24"/>
        </w:rPr>
        <w:t xml:space="preserve">be asked questions that </w:t>
      </w:r>
      <w:r w:rsidR="0069546C">
        <w:rPr>
          <w:sz w:val="24"/>
          <w:szCs w:val="24"/>
        </w:rPr>
        <w:t>draw upon their experiences working with students</w:t>
      </w:r>
      <w:r w:rsidR="0001169A">
        <w:rPr>
          <w:sz w:val="24"/>
          <w:szCs w:val="24"/>
        </w:rPr>
        <w:t>. The questions will</w:t>
      </w:r>
      <w:r w:rsidR="0069546C">
        <w:rPr>
          <w:sz w:val="24"/>
          <w:szCs w:val="24"/>
        </w:rPr>
        <w:t xml:space="preserve"> </w:t>
      </w:r>
      <w:r w:rsidR="00C44011">
        <w:rPr>
          <w:sz w:val="24"/>
          <w:szCs w:val="24"/>
        </w:rPr>
        <w:t>focus on</w:t>
      </w:r>
      <w:r w:rsidR="002049AD">
        <w:rPr>
          <w:sz w:val="24"/>
          <w:szCs w:val="24"/>
        </w:rPr>
        <w:t xml:space="preserve"> which elements </w:t>
      </w:r>
      <w:r w:rsidR="006A67C0">
        <w:rPr>
          <w:sz w:val="24"/>
          <w:szCs w:val="24"/>
        </w:rPr>
        <w:t xml:space="preserve">contained in the profile </w:t>
      </w:r>
      <w:r w:rsidR="00081C25">
        <w:rPr>
          <w:sz w:val="24"/>
          <w:szCs w:val="24"/>
        </w:rPr>
        <w:t xml:space="preserve">counselors </w:t>
      </w:r>
      <w:r w:rsidR="00C44011">
        <w:rPr>
          <w:sz w:val="24"/>
          <w:szCs w:val="24"/>
        </w:rPr>
        <w:t xml:space="preserve">currently </w:t>
      </w:r>
      <w:r w:rsidR="002049AD">
        <w:rPr>
          <w:sz w:val="24"/>
          <w:szCs w:val="24"/>
        </w:rPr>
        <w:t>emphasize</w:t>
      </w:r>
      <w:r w:rsidR="0069546C">
        <w:rPr>
          <w:sz w:val="24"/>
          <w:szCs w:val="24"/>
        </w:rPr>
        <w:t xml:space="preserve"> (and which ones they do not)</w:t>
      </w:r>
      <w:r w:rsidR="002049AD">
        <w:rPr>
          <w:sz w:val="24"/>
          <w:szCs w:val="24"/>
        </w:rPr>
        <w:t xml:space="preserve"> when </w:t>
      </w:r>
      <w:r w:rsidR="001B6BFC">
        <w:rPr>
          <w:sz w:val="24"/>
          <w:szCs w:val="24"/>
        </w:rPr>
        <w:t>helping student</w:t>
      </w:r>
      <w:r w:rsidR="00081C25">
        <w:rPr>
          <w:sz w:val="24"/>
          <w:szCs w:val="24"/>
        </w:rPr>
        <w:t>s</w:t>
      </w:r>
      <w:r w:rsidR="001B6BFC">
        <w:rPr>
          <w:sz w:val="24"/>
          <w:szCs w:val="24"/>
        </w:rPr>
        <w:t xml:space="preserve"> conduct college searches</w:t>
      </w:r>
      <w:r w:rsidR="0069546C">
        <w:rPr>
          <w:sz w:val="24"/>
          <w:szCs w:val="24"/>
        </w:rPr>
        <w:t>, how they use them,</w:t>
      </w:r>
      <w:r w:rsidR="00C44011">
        <w:rPr>
          <w:sz w:val="24"/>
          <w:szCs w:val="24"/>
        </w:rPr>
        <w:t xml:space="preserve"> and why they</w:t>
      </w:r>
      <w:r w:rsidR="002049AD">
        <w:rPr>
          <w:sz w:val="24"/>
          <w:szCs w:val="24"/>
        </w:rPr>
        <w:t xml:space="preserve"> deem them </w:t>
      </w:r>
      <w:r w:rsidR="00C44011">
        <w:rPr>
          <w:sz w:val="24"/>
          <w:szCs w:val="24"/>
        </w:rPr>
        <w:t>important</w:t>
      </w:r>
      <w:r w:rsidR="0069546C">
        <w:rPr>
          <w:sz w:val="24"/>
          <w:szCs w:val="24"/>
        </w:rPr>
        <w:t xml:space="preserve"> (or not)</w:t>
      </w:r>
      <w:r w:rsidR="00C44011">
        <w:rPr>
          <w:sz w:val="24"/>
          <w:szCs w:val="24"/>
        </w:rPr>
        <w:t xml:space="preserve">. </w:t>
      </w:r>
      <w:r w:rsidR="00081C25">
        <w:rPr>
          <w:sz w:val="24"/>
          <w:szCs w:val="24"/>
        </w:rPr>
        <w:t xml:space="preserve">Guidance counselors </w:t>
      </w:r>
      <w:r w:rsidR="00C44011">
        <w:rPr>
          <w:sz w:val="24"/>
          <w:szCs w:val="24"/>
        </w:rPr>
        <w:t>will also be asked</w:t>
      </w:r>
      <w:r>
        <w:rPr>
          <w:sz w:val="24"/>
          <w:szCs w:val="24"/>
        </w:rPr>
        <w:t xml:space="preserve"> questions about what </w:t>
      </w:r>
      <w:r w:rsidR="007531C7">
        <w:rPr>
          <w:sz w:val="24"/>
          <w:szCs w:val="24"/>
        </w:rPr>
        <w:t xml:space="preserve">information </w:t>
      </w:r>
      <w:r>
        <w:rPr>
          <w:sz w:val="24"/>
          <w:szCs w:val="24"/>
        </w:rPr>
        <w:t>th</w:t>
      </w:r>
      <w:r w:rsidR="00C44011">
        <w:rPr>
          <w:sz w:val="24"/>
          <w:szCs w:val="24"/>
        </w:rPr>
        <w:t xml:space="preserve">ey think students and parents should focus </w:t>
      </w:r>
      <w:r>
        <w:rPr>
          <w:sz w:val="24"/>
          <w:szCs w:val="24"/>
        </w:rPr>
        <w:t xml:space="preserve">on </w:t>
      </w:r>
      <w:r w:rsidR="0001169A">
        <w:rPr>
          <w:sz w:val="24"/>
          <w:szCs w:val="24"/>
        </w:rPr>
        <w:t>that do</w:t>
      </w:r>
      <w:r w:rsidR="00081C25">
        <w:rPr>
          <w:sz w:val="24"/>
          <w:szCs w:val="24"/>
        </w:rPr>
        <w:t>es</w:t>
      </w:r>
      <w:r w:rsidR="0001169A">
        <w:rPr>
          <w:sz w:val="24"/>
          <w:szCs w:val="24"/>
        </w:rPr>
        <w:t xml:space="preserve"> not appear in the draft </w:t>
      </w:r>
      <w:r w:rsidR="00917868">
        <w:rPr>
          <w:sz w:val="24"/>
          <w:szCs w:val="24"/>
        </w:rPr>
        <w:t>profile</w:t>
      </w:r>
      <w:r w:rsidR="0001169A">
        <w:rPr>
          <w:sz w:val="24"/>
          <w:szCs w:val="24"/>
        </w:rPr>
        <w:t xml:space="preserve"> </w:t>
      </w:r>
      <w:r w:rsidR="00C44011">
        <w:rPr>
          <w:sz w:val="24"/>
          <w:szCs w:val="24"/>
        </w:rPr>
        <w:t>when comparing their choice set of institutions.</w:t>
      </w:r>
      <w:r w:rsidR="002049AD">
        <w:rPr>
          <w:sz w:val="24"/>
          <w:szCs w:val="24"/>
        </w:rPr>
        <w:t xml:space="preserve"> </w:t>
      </w:r>
      <w:r w:rsidR="006A67C0">
        <w:rPr>
          <w:sz w:val="24"/>
          <w:szCs w:val="24"/>
        </w:rPr>
        <w:t xml:space="preserve">Like students, counselors will also rank the data elements discussed within each of the </w:t>
      </w:r>
      <w:r w:rsidR="00375282">
        <w:rPr>
          <w:sz w:val="24"/>
          <w:szCs w:val="24"/>
        </w:rPr>
        <w:t>categories</w:t>
      </w:r>
      <w:r w:rsidR="00775313">
        <w:rPr>
          <w:sz w:val="24"/>
          <w:szCs w:val="24"/>
        </w:rPr>
        <w:t>; five categories total</w:t>
      </w:r>
      <w:r w:rsidR="006A67C0">
        <w:rPr>
          <w:sz w:val="24"/>
          <w:szCs w:val="24"/>
        </w:rPr>
        <w:t xml:space="preserve">. </w:t>
      </w:r>
      <w:r w:rsidR="006D2784">
        <w:rPr>
          <w:sz w:val="24"/>
          <w:szCs w:val="24"/>
        </w:rPr>
        <w:t>In t</w:t>
      </w:r>
      <w:r w:rsidR="002049AD">
        <w:rPr>
          <w:sz w:val="24"/>
          <w:szCs w:val="24"/>
        </w:rPr>
        <w:t xml:space="preserve">he </w:t>
      </w:r>
      <w:r w:rsidR="001B6BFC">
        <w:rPr>
          <w:sz w:val="24"/>
          <w:szCs w:val="24"/>
        </w:rPr>
        <w:t>concluding</w:t>
      </w:r>
      <w:r w:rsidR="002049AD">
        <w:rPr>
          <w:sz w:val="24"/>
          <w:szCs w:val="24"/>
        </w:rPr>
        <w:t xml:space="preserve"> section </w:t>
      </w:r>
      <w:r w:rsidR="00C44011">
        <w:rPr>
          <w:sz w:val="24"/>
          <w:szCs w:val="24"/>
        </w:rPr>
        <w:t xml:space="preserve">of the </w:t>
      </w:r>
      <w:r w:rsidR="001C62DB">
        <w:rPr>
          <w:sz w:val="24"/>
          <w:szCs w:val="24"/>
        </w:rPr>
        <w:t>protocol</w:t>
      </w:r>
      <w:r w:rsidR="006D2784">
        <w:rPr>
          <w:sz w:val="24"/>
          <w:szCs w:val="24"/>
        </w:rPr>
        <w:t>, the moderator</w:t>
      </w:r>
      <w:r w:rsidR="001C62DB">
        <w:rPr>
          <w:sz w:val="24"/>
          <w:szCs w:val="24"/>
        </w:rPr>
        <w:t xml:space="preserve"> </w:t>
      </w:r>
      <w:r w:rsidR="009C0DCE">
        <w:rPr>
          <w:sz w:val="24"/>
          <w:szCs w:val="24"/>
        </w:rPr>
        <w:t>will</w:t>
      </w:r>
      <w:r w:rsidR="006D2784">
        <w:rPr>
          <w:sz w:val="24"/>
          <w:szCs w:val="24"/>
        </w:rPr>
        <w:t xml:space="preserve"> quickly recap the categories discussed and</w:t>
      </w:r>
      <w:r w:rsidR="009C0DCE">
        <w:rPr>
          <w:sz w:val="24"/>
          <w:szCs w:val="24"/>
        </w:rPr>
        <w:t xml:space="preserve"> </w:t>
      </w:r>
      <w:r w:rsidR="002049AD">
        <w:rPr>
          <w:sz w:val="24"/>
          <w:szCs w:val="24"/>
        </w:rPr>
        <w:t xml:space="preserve">ask </w:t>
      </w:r>
      <w:r w:rsidR="001B6BFC">
        <w:rPr>
          <w:sz w:val="24"/>
          <w:szCs w:val="24"/>
        </w:rPr>
        <w:t xml:space="preserve">consumers </w:t>
      </w:r>
      <w:r w:rsidR="003229B6">
        <w:rPr>
          <w:sz w:val="24"/>
          <w:szCs w:val="24"/>
        </w:rPr>
        <w:t xml:space="preserve">to </w:t>
      </w:r>
      <w:r w:rsidR="006D2784">
        <w:rPr>
          <w:sz w:val="24"/>
          <w:szCs w:val="24"/>
        </w:rPr>
        <w:lastRenderedPageBreak/>
        <w:t xml:space="preserve">rank the importance of the categories. Finally, participants will share </w:t>
      </w:r>
      <w:r w:rsidR="001B6BFC">
        <w:rPr>
          <w:sz w:val="24"/>
          <w:szCs w:val="24"/>
        </w:rPr>
        <w:t xml:space="preserve">their opinion about the format and presentation of the data as displayed in the profile. </w:t>
      </w:r>
    </w:p>
    <w:p w:rsidR="00C56098" w:rsidRPr="003965A1" w:rsidRDefault="00C56098" w:rsidP="00E63DDD">
      <w:pPr>
        <w:pStyle w:val="bodytextpsg"/>
        <w:spacing w:line="360" w:lineRule="auto"/>
        <w:rPr>
          <w:sz w:val="24"/>
          <w:szCs w:val="24"/>
        </w:rPr>
      </w:pPr>
      <w:r w:rsidRPr="003965A1">
        <w:rPr>
          <w:sz w:val="24"/>
          <w:szCs w:val="24"/>
        </w:rPr>
        <w:t xml:space="preserve">The </w:t>
      </w:r>
      <w:r w:rsidR="00293285">
        <w:rPr>
          <w:sz w:val="24"/>
          <w:szCs w:val="24"/>
        </w:rPr>
        <w:t>focus groups</w:t>
      </w:r>
      <w:r w:rsidRPr="003965A1">
        <w:rPr>
          <w:sz w:val="24"/>
          <w:szCs w:val="24"/>
        </w:rPr>
        <w:t xml:space="preserve"> will provide an opportunity to </w:t>
      </w:r>
      <w:r w:rsidR="00293285">
        <w:rPr>
          <w:sz w:val="24"/>
          <w:szCs w:val="24"/>
        </w:rPr>
        <w:t>enhance the usefulness of the College Navigator tool to make it more meaningful for students, parents, and consumers to compare a critical subset of data elements across several institutions.</w:t>
      </w:r>
      <w:r w:rsidRPr="003965A1">
        <w:rPr>
          <w:sz w:val="24"/>
          <w:szCs w:val="24"/>
        </w:rPr>
        <w:t xml:space="preserve"> </w:t>
      </w:r>
      <w:r w:rsidR="001B6BFC">
        <w:rPr>
          <w:sz w:val="24"/>
          <w:szCs w:val="24"/>
        </w:rPr>
        <w:t xml:space="preserve">The focus group protocols are included in Attachment III. </w:t>
      </w:r>
    </w:p>
    <w:p w:rsidR="00C56098" w:rsidRPr="007D7A66" w:rsidRDefault="00C56098"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C56098" w:rsidRPr="003965A1" w:rsidRDefault="00F2096D" w:rsidP="003965A1">
      <w:pPr>
        <w:pStyle w:val="bodytextpsg"/>
        <w:spacing w:line="360" w:lineRule="auto"/>
        <w:rPr>
          <w:sz w:val="24"/>
          <w:szCs w:val="24"/>
        </w:rPr>
      </w:pPr>
      <w:r>
        <w:rPr>
          <w:sz w:val="24"/>
          <w:szCs w:val="24"/>
        </w:rPr>
        <w:t xml:space="preserve">Focus group </w:t>
      </w:r>
      <w:r w:rsidR="00C56098" w:rsidRPr="003965A1">
        <w:rPr>
          <w:sz w:val="24"/>
          <w:szCs w:val="24"/>
        </w:rPr>
        <w:t xml:space="preserve">participants will be informed that their participation is voluntary and </w:t>
      </w:r>
      <w:r w:rsidR="00C56098">
        <w:rPr>
          <w:sz w:val="24"/>
          <w:szCs w:val="24"/>
        </w:rPr>
        <w:t>that t</w:t>
      </w:r>
      <w:r w:rsidR="00C56098" w:rsidRPr="00291222">
        <w:rPr>
          <w:sz w:val="24"/>
          <w:szCs w:val="24"/>
        </w:rPr>
        <w:t xml:space="preserve">he information they give us will be combined with the responses of others in a summary report that does not identify anyone as an individual, and that their answers may be used only for statistical purposes and may not be disclosed, or used, in identifiable form for any other purpose except as required by law [Education Sciences Reform Act of 2002 (ESRA 2002) </w:t>
      </w:r>
      <w:r w:rsidR="0038668D" w:rsidRPr="0038668D">
        <w:rPr>
          <w:sz w:val="24"/>
          <w:szCs w:val="24"/>
        </w:rPr>
        <w:t>20 U.S.C., § 9573</w:t>
      </w:r>
      <w:r w:rsidR="00C56098" w:rsidRPr="00291222">
        <w:rPr>
          <w:sz w:val="24"/>
          <w:szCs w:val="24"/>
        </w:rPr>
        <w:t xml:space="preserve">] </w:t>
      </w:r>
      <w:r w:rsidR="00C56098" w:rsidRPr="003965A1">
        <w:rPr>
          <w:sz w:val="24"/>
          <w:szCs w:val="24"/>
        </w:rPr>
        <w:t xml:space="preserve">(see </w:t>
      </w:r>
      <w:r w:rsidR="001C62DB">
        <w:rPr>
          <w:sz w:val="24"/>
          <w:szCs w:val="24"/>
        </w:rPr>
        <w:t>A</w:t>
      </w:r>
      <w:r w:rsidR="00C56098" w:rsidRPr="003965A1">
        <w:rPr>
          <w:sz w:val="24"/>
          <w:szCs w:val="24"/>
        </w:rPr>
        <w:t>ttachment V).</w:t>
      </w:r>
      <w:r>
        <w:rPr>
          <w:sz w:val="24"/>
          <w:szCs w:val="24"/>
        </w:rPr>
        <w:t xml:space="preserve"> </w:t>
      </w:r>
      <w:r w:rsidR="00C56098" w:rsidRPr="003965A1">
        <w:rPr>
          <w:sz w:val="24"/>
          <w:szCs w:val="24"/>
        </w:rPr>
        <w:t xml:space="preserve">The signed consent forms will be kept separately from the interview files in a locked cabinet for the duration of the study and will be destroyed after the </w:t>
      </w:r>
      <w:r>
        <w:rPr>
          <w:sz w:val="24"/>
          <w:szCs w:val="24"/>
        </w:rPr>
        <w:t>background paper is completed and finalized</w:t>
      </w:r>
      <w:r w:rsidR="00C56098" w:rsidRPr="003965A1">
        <w:rPr>
          <w:sz w:val="24"/>
          <w:szCs w:val="24"/>
        </w:rPr>
        <w:t>.  The student consent process will include procedures for o</w:t>
      </w:r>
      <w:r w:rsidR="00C56098">
        <w:rPr>
          <w:sz w:val="24"/>
          <w:szCs w:val="24"/>
        </w:rPr>
        <w:t>btaining parental permission</w:t>
      </w:r>
      <w:r>
        <w:rPr>
          <w:sz w:val="24"/>
          <w:szCs w:val="24"/>
        </w:rPr>
        <w:t xml:space="preserve"> and student permission to audio</w:t>
      </w:r>
      <w:r w:rsidR="00141AA2">
        <w:rPr>
          <w:sz w:val="24"/>
          <w:szCs w:val="24"/>
        </w:rPr>
        <w:t xml:space="preserve"> </w:t>
      </w:r>
      <w:r>
        <w:rPr>
          <w:sz w:val="24"/>
          <w:szCs w:val="24"/>
        </w:rPr>
        <w:t>record the discussion. Simi</w:t>
      </w:r>
      <w:r w:rsidR="00141AA2">
        <w:rPr>
          <w:sz w:val="24"/>
          <w:szCs w:val="24"/>
        </w:rPr>
        <w:t>l</w:t>
      </w:r>
      <w:r>
        <w:rPr>
          <w:sz w:val="24"/>
          <w:szCs w:val="24"/>
        </w:rPr>
        <w:t>arly, the guidance counselor consent process includes procedures for obtaining permission to participate in the group and aud</w:t>
      </w:r>
      <w:r w:rsidR="00141AA2">
        <w:rPr>
          <w:sz w:val="24"/>
          <w:szCs w:val="24"/>
        </w:rPr>
        <w:t xml:space="preserve">io </w:t>
      </w:r>
      <w:r>
        <w:rPr>
          <w:sz w:val="24"/>
          <w:szCs w:val="24"/>
        </w:rPr>
        <w:t>record the discussion</w:t>
      </w:r>
      <w:r w:rsidR="00C56098">
        <w:rPr>
          <w:sz w:val="24"/>
          <w:szCs w:val="24"/>
        </w:rPr>
        <w:t xml:space="preserve">. </w:t>
      </w:r>
      <w:r w:rsidR="00C56098" w:rsidRPr="003965A1">
        <w:rPr>
          <w:sz w:val="24"/>
          <w:szCs w:val="24"/>
        </w:rPr>
        <w:t xml:space="preserve">Contractor </w:t>
      </w:r>
      <w:proofErr w:type="gramStart"/>
      <w:r w:rsidR="00C56098" w:rsidRPr="003965A1">
        <w:rPr>
          <w:sz w:val="24"/>
          <w:szCs w:val="24"/>
        </w:rPr>
        <w:t>staff have</w:t>
      </w:r>
      <w:proofErr w:type="gramEnd"/>
      <w:r w:rsidR="00C56098" w:rsidRPr="003965A1">
        <w:rPr>
          <w:sz w:val="24"/>
          <w:szCs w:val="24"/>
        </w:rPr>
        <w:t xml:space="preserve"> in all instances signed the </w:t>
      </w:r>
      <w:r w:rsidR="001C62DB">
        <w:rPr>
          <w:sz w:val="24"/>
          <w:szCs w:val="24"/>
        </w:rPr>
        <w:t xml:space="preserve">Affidavit </w:t>
      </w:r>
      <w:r w:rsidR="00C56098" w:rsidRPr="003965A1">
        <w:rPr>
          <w:sz w:val="24"/>
          <w:szCs w:val="24"/>
        </w:rPr>
        <w:t xml:space="preserve">of </w:t>
      </w:r>
      <w:r w:rsidR="001C62DB">
        <w:rPr>
          <w:sz w:val="24"/>
          <w:szCs w:val="24"/>
        </w:rPr>
        <w:t>N</w:t>
      </w:r>
      <w:r w:rsidR="00C56098" w:rsidRPr="003965A1">
        <w:rPr>
          <w:sz w:val="24"/>
          <w:szCs w:val="24"/>
        </w:rPr>
        <w:t>on-disclosure (Attachment VI).</w:t>
      </w:r>
    </w:p>
    <w:p w:rsidR="00C56098" w:rsidRPr="007D7A66" w:rsidRDefault="00C56098" w:rsidP="001C6D6D">
      <w:pPr>
        <w:pStyle w:val="Heading2"/>
        <w:spacing w:before="480" w:after="120" w:line="360" w:lineRule="auto"/>
        <w:ind w:left="0"/>
        <w:rPr>
          <w:rFonts w:ascii="Arial" w:hAnsi="Arial" w:cs="Arial"/>
          <w:i w:val="0"/>
          <w:iCs w:val="0"/>
        </w:rPr>
      </w:pPr>
      <w:r>
        <w:rPr>
          <w:rFonts w:ascii="Arial" w:hAnsi="Arial" w:cs="Arial"/>
          <w:i w:val="0"/>
          <w:iCs w:val="0"/>
        </w:rPr>
        <w:t>P</w:t>
      </w:r>
      <w:r w:rsidRPr="007D7A66">
        <w:rPr>
          <w:rFonts w:ascii="Arial" w:hAnsi="Arial" w:cs="Arial"/>
          <w:i w:val="0"/>
          <w:iCs w:val="0"/>
        </w:rPr>
        <w:t>r</w:t>
      </w:r>
      <w:r>
        <w:rPr>
          <w:rFonts w:ascii="Arial" w:hAnsi="Arial" w:cs="Arial"/>
          <w:i w:val="0"/>
          <w:iCs w:val="0"/>
        </w:rPr>
        <w:t>oject Schedule</w:t>
      </w:r>
    </w:p>
    <w:p w:rsidR="00C56098" w:rsidRPr="00F12AB8" w:rsidRDefault="007531C7" w:rsidP="006248AA">
      <w:pPr>
        <w:pStyle w:val="tabletitle"/>
      </w:pPr>
      <w:r>
        <w:t>Schedule</w:t>
      </w:r>
      <w:r w:rsidR="00C56098" w:rsidRPr="00F12AB8">
        <w:t xml:space="preserve"> for </w:t>
      </w:r>
      <w:r w:rsidR="00F2096D">
        <w:t>College Navigator focus groups</w:t>
      </w:r>
    </w:p>
    <w:tbl>
      <w:tblPr>
        <w:tblW w:w="3853" w:type="pct"/>
        <w:tblBorders>
          <w:top w:val="single" w:sz="12" w:space="0" w:color="auto"/>
          <w:bottom w:val="single" w:sz="12" w:space="0" w:color="auto"/>
        </w:tblBorders>
        <w:tblLook w:val="01E0"/>
      </w:tblPr>
      <w:tblGrid>
        <w:gridCol w:w="3979"/>
        <w:gridCol w:w="1541"/>
        <w:gridCol w:w="1776"/>
      </w:tblGrid>
      <w:tr w:rsidR="00C56098" w:rsidRPr="00F12AB8" w:rsidTr="001C62DB">
        <w:tc>
          <w:tcPr>
            <w:tcW w:w="3979" w:type="dxa"/>
            <w:tcBorders>
              <w:top w:val="single" w:sz="12" w:space="0" w:color="auto"/>
              <w:bottom w:val="single" w:sz="6" w:space="0" w:color="auto"/>
            </w:tcBorders>
            <w:tcMar>
              <w:left w:w="0" w:type="dxa"/>
              <w:right w:w="115" w:type="dxa"/>
            </w:tcMar>
            <w:vAlign w:val="bottom"/>
          </w:tcPr>
          <w:p w:rsidR="00C56098" w:rsidRPr="00F12AB8" w:rsidRDefault="00F2096D" w:rsidP="00A27E34">
            <w:pPr>
              <w:pStyle w:val="Tabletext"/>
            </w:pPr>
            <w:r>
              <w:t>College Navigator Group</w:t>
            </w:r>
          </w:p>
        </w:tc>
        <w:tc>
          <w:tcPr>
            <w:tcW w:w="1541" w:type="dxa"/>
            <w:tcBorders>
              <w:top w:val="single" w:sz="12" w:space="0" w:color="auto"/>
              <w:bottom w:val="single" w:sz="6" w:space="0" w:color="auto"/>
            </w:tcBorders>
            <w:vAlign w:val="bottom"/>
          </w:tcPr>
          <w:p w:rsidR="00C56098" w:rsidRPr="00F12AB8" w:rsidRDefault="00C56098" w:rsidP="00A27E34">
            <w:pPr>
              <w:pStyle w:val="Tabletext"/>
              <w:jc w:val="right"/>
            </w:pPr>
            <w:r w:rsidRPr="00F12AB8">
              <w:t>Start date</w:t>
            </w:r>
          </w:p>
        </w:tc>
        <w:tc>
          <w:tcPr>
            <w:tcW w:w="1776" w:type="dxa"/>
            <w:tcBorders>
              <w:top w:val="single" w:sz="12" w:space="0" w:color="auto"/>
              <w:bottom w:val="single" w:sz="6" w:space="0" w:color="auto"/>
            </w:tcBorders>
            <w:vAlign w:val="bottom"/>
          </w:tcPr>
          <w:p w:rsidR="00C56098" w:rsidRPr="00F12AB8" w:rsidRDefault="00C56098" w:rsidP="00A27E34">
            <w:pPr>
              <w:pStyle w:val="Tabletext"/>
              <w:jc w:val="right"/>
            </w:pPr>
            <w:r w:rsidRPr="00F12AB8">
              <w:t>End date</w:t>
            </w:r>
          </w:p>
        </w:tc>
      </w:tr>
      <w:tr w:rsidR="00C56098" w:rsidRPr="00F12AB8" w:rsidTr="001C62DB">
        <w:tc>
          <w:tcPr>
            <w:tcW w:w="3979" w:type="dxa"/>
            <w:tcMar>
              <w:left w:w="0" w:type="dxa"/>
              <w:right w:w="115" w:type="dxa"/>
            </w:tcMar>
            <w:vAlign w:val="bottom"/>
          </w:tcPr>
          <w:p w:rsidR="00C56098" w:rsidRPr="00F12AB8" w:rsidRDefault="00F2096D" w:rsidP="00A27E34">
            <w:pPr>
              <w:pStyle w:val="2enspsubgroup1"/>
            </w:pPr>
            <w:r>
              <w:t>Recruitment</w:t>
            </w:r>
            <w:r w:rsidR="00141AA2">
              <w:t xml:space="preserve"> for three focus groups</w:t>
            </w:r>
          </w:p>
        </w:tc>
        <w:tc>
          <w:tcPr>
            <w:tcW w:w="1541" w:type="dxa"/>
            <w:vAlign w:val="bottom"/>
          </w:tcPr>
          <w:p w:rsidR="00C56098" w:rsidRPr="00F12AB8" w:rsidRDefault="00C56098" w:rsidP="00F2096D">
            <w:pPr>
              <w:pStyle w:val="Tabletext"/>
              <w:jc w:val="right"/>
            </w:pPr>
          </w:p>
        </w:tc>
        <w:tc>
          <w:tcPr>
            <w:tcW w:w="1776" w:type="dxa"/>
            <w:vAlign w:val="bottom"/>
          </w:tcPr>
          <w:p w:rsidR="00C56098" w:rsidRPr="00F12AB8" w:rsidRDefault="00F2096D" w:rsidP="00F2096D">
            <w:pPr>
              <w:pStyle w:val="Tabletext"/>
              <w:ind w:left="111" w:firstLine="0"/>
              <w:jc w:val="right"/>
            </w:pPr>
            <w:r>
              <w:t xml:space="preserve">6/28/2011 </w:t>
            </w:r>
          </w:p>
        </w:tc>
      </w:tr>
      <w:tr w:rsidR="00C56098" w:rsidRPr="00F12AB8" w:rsidTr="001C62DB">
        <w:tc>
          <w:tcPr>
            <w:tcW w:w="3979" w:type="dxa"/>
            <w:tcMar>
              <w:left w:w="0" w:type="dxa"/>
              <w:right w:w="115" w:type="dxa"/>
            </w:tcMar>
            <w:vAlign w:val="bottom"/>
          </w:tcPr>
          <w:p w:rsidR="00C56098" w:rsidRDefault="0085592F" w:rsidP="00A27E34">
            <w:pPr>
              <w:pStyle w:val="2enspsubgroup1"/>
            </w:pPr>
            <w:r>
              <w:t>Conduct three focus g</w:t>
            </w:r>
            <w:r w:rsidR="003047AF">
              <w:t>roups</w:t>
            </w:r>
          </w:p>
        </w:tc>
        <w:tc>
          <w:tcPr>
            <w:tcW w:w="1541" w:type="dxa"/>
            <w:vAlign w:val="bottom"/>
          </w:tcPr>
          <w:p w:rsidR="00C56098" w:rsidRDefault="003047AF" w:rsidP="00A27E34">
            <w:pPr>
              <w:pStyle w:val="Tabletext"/>
              <w:jc w:val="right"/>
            </w:pPr>
            <w:r>
              <w:t>6/28/2011</w:t>
            </w:r>
          </w:p>
        </w:tc>
        <w:tc>
          <w:tcPr>
            <w:tcW w:w="1776" w:type="dxa"/>
            <w:vAlign w:val="bottom"/>
          </w:tcPr>
          <w:p w:rsidR="00C56098" w:rsidRDefault="003047AF" w:rsidP="00A27E34">
            <w:pPr>
              <w:pStyle w:val="Tabletext"/>
              <w:ind w:left="170" w:hanging="57"/>
              <w:jc w:val="right"/>
            </w:pPr>
            <w:r>
              <w:t>6/29/2011</w:t>
            </w:r>
          </w:p>
        </w:tc>
      </w:tr>
      <w:tr w:rsidR="00C56098" w:rsidRPr="00F12AB8" w:rsidTr="001C62DB">
        <w:tc>
          <w:tcPr>
            <w:tcW w:w="3979" w:type="dxa"/>
            <w:tcMar>
              <w:left w:w="0" w:type="dxa"/>
              <w:right w:w="115" w:type="dxa"/>
            </w:tcMar>
            <w:vAlign w:val="bottom"/>
          </w:tcPr>
          <w:p w:rsidR="00C56098" w:rsidRPr="00F12AB8" w:rsidRDefault="0085592F" w:rsidP="0085592F">
            <w:pPr>
              <w:pStyle w:val="2enspsubgroup1"/>
            </w:pPr>
            <w:r>
              <w:t>Finalize notes</w:t>
            </w:r>
          </w:p>
        </w:tc>
        <w:tc>
          <w:tcPr>
            <w:tcW w:w="1541" w:type="dxa"/>
            <w:vAlign w:val="bottom"/>
          </w:tcPr>
          <w:p w:rsidR="00C56098" w:rsidRPr="00F12AB8" w:rsidRDefault="0085592F" w:rsidP="00A27E34">
            <w:pPr>
              <w:pStyle w:val="Tabletext"/>
              <w:jc w:val="right"/>
            </w:pPr>
            <w:r>
              <w:t>6/30/2011</w:t>
            </w:r>
          </w:p>
        </w:tc>
        <w:tc>
          <w:tcPr>
            <w:tcW w:w="1776" w:type="dxa"/>
            <w:vAlign w:val="bottom"/>
          </w:tcPr>
          <w:p w:rsidR="00C56098" w:rsidRPr="00F12AB8" w:rsidRDefault="0085592F" w:rsidP="00A27E34">
            <w:pPr>
              <w:pStyle w:val="Tabletext"/>
              <w:ind w:left="170" w:hanging="57"/>
              <w:jc w:val="right"/>
            </w:pPr>
            <w:r>
              <w:t>7/8/2011</w:t>
            </w:r>
          </w:p>
        </w:tc>
      </w:tr>
      <w:tr w:rsidR="00C56098" w:rsidRPr="00F12AB8" w:rsidTr="001C62DB">
        <w:tc>
          <w:tcPr>
            <w:tcW w:w="3979" w:type="dxa"/>
            <w:tcMar>
              <w:left w:w="0" w:type="dxa"/>
              <w:right w:w="115" w:type="dxa"/>
            </w:tcMar>
            <w:vAlign w:val="bottom"/>
          </w:tcPr>
          <w:p w:rsidR="00C56098" w:rsidRPr="00F12AB8" w:rsidRDefault="0085592F" w:rsidP="00A27E34">
            <w:pPr>
              <w:pStyle w:val="2enspsubgroup1"/>
            </w:pPr>
            <w:r>
              <w:t>Organize, synthesize, analyze data</w:t>
            </w:r>
          </w:p>
        </w:tc>
        <w:tc>
          <w:tcPr>
            <w:tcW w:w="1541" w:type="dxa"/>
            <w:vAlign w:val="bottom"/>
          </w:tcPr>
          <w:p w:rsidR="00C56098" w:rsidRPr="00F12AB8" w:rsidRDefault="0085592F" w:rsidP="00A27E34">
            <w:pPr>
              <w:pStyle w:val="Tabletext"/>
              <w:jc w:val="right"/>
            </w:pPr>
            <w:r>
              <w:t>7/11/2011</w:t>
            </w:r>
          </w:p>
        </w:tc>
        <w:tc>
          <w:tcPr>
            <w:tcW w:w="1776" w:type="dxa"/>
            <w:vAlign w:val="bottom"/>
          </w:tcPr>
          <w:p w:rsidR="00C56098" w:rsidRPr="00F12AB8" w:rsidRDefault="0085592F" w:rsidP="00A27E34">
            <w:pPr>
              <w:pStyle w:val="Tabletext"/>
              <w:ind w:left="170" w:hanging="57"/>
              <w:jc w:val="right"/>
            </w:pPr>
            <w:r>
              <w:t>7/15/2011</w:t>
            </w:r>
          </w:p>
        </w:tc>
      </w:tr>
      <w:tr w:rsidR="00C56098" w:rsidRPr="00F12AB8" w:rsidTr="001C62DB">
        <w:tc>
          <w:tcPr>
            <w:tcW w:w="3979" w:type="dxa"/>
            <w:tcMar>
              <w:left w:w="0" w:type="dxa"/>
              <w:right w:w="115" w:type="dxa"/>
            </w:tcMar>
            <w:vAlign w:val="bottom"/>
          </w:tcPr>
          <w:p w:rsidR="00C56098" w:rsidRPr="00F12AB8" w:rsidRDefault="0085592F" w:rsidP="00A27E34">
            <w:pPr>
              <w:pStyle w:val="2enspsubgroup1"/>
            </w:pPr>
            <w:r>
              <w:t>Draft report</w:t>
            </w:r>
          </w:p>
        </w:tc>
        <w:tc>
          <w:tcPr>
            <w:tcW w:w="1541" w:type="dxa"/>
            <w:vAlign w:val="bottom"/>
          </w:tcPr>
          <w:p w:rsidR="00C56098" w:rsidRPr="00F12AB8" w:rsidRDefault="0085592F" w:rsidP="00A27E34">
            <w:pPr>
              <w:pStyle w:val="Tabletext"/>
              <w:jc w:val="right"/>
            </w:pPr>
            <w:r>
              <w:t>7/182011</w:t>
            </w:r>
          </w:p>
        </w:tc>
        <w:tc>
          <w:tcPr>
            <w:tcW w:w="1776" w:type="dxa"/>
            <w:vAlign w:val="bottom"/>
          </w:tcPr>
          <w:p w:rsidR="00C56098" w:rsidRPr="00F12AB8" w:rsidRDefault="0085592F" w:rsidP="00A27E34">
            <w:pPr>
              <w:pStyle w:val="Tabletext"/>
              <w:ind w:left="170" w:hanging="57"/>
              <w:jc w:val="right"/>
            </w:pPr>
            <w:r>
              <w:t>7/26/2011</w:t>
            </w:r>
          </w:p>
        </w:tc>
      </w:tr>
      <w:tr w:rsidR="00C56098" w:rsidRPr="00F12AB8" w:rsidTr="001C62DB">
        <w:tc>
          <w:tcPr>
            <w:tcW w:w="3979" w:type="dxa"/>
            <w:tcMar>
              <w:left w:w="0" w:type="dxa"/>
              <w:right w:w="115" w:type="dxa"/>
            </w:tcMar>
            <w:vAlign w:val="bottom"/>
          </w:tcPr>
          <w:p w:rsidR="00C56098" w:rsidRPr="00F12AB8" w:rsidRDefault="0085592F" w:rsidP="00A27E34">
            <w:pPr>
              <w:pStyle w:val="2enspsubgroup1"/>
            </w:pPr>
            <w:r>
              <w:t>Finalize report based on NCES review</w:t>
            </w:r>
          </w:p>
        </w:tc>
        <w:tc>
          <w:tcPr>
            <w:tcW w:w="1541" w:type="dxa"/>
            <w:vAlign w:val="bottom"/>
          </w:tcPr>
          <w:p w:rsidR="00C56098" w:rsidRPr="00F12AB8" w:rsidRDefault="007E2AEA" w:rsidP="00A27E34">
            <w:pPr>
              <w:pStyle w:val="Tabletext"/>
              <w:jc w:val="right"/>
            </w:pPr>
            <w:r>
              <w:t>8/2/2011</w:t>
            </w:r>
          </w:p>
        </w:tc>
        <w:tc>
          <w:tcPr>
            <w:tcW w:w="1776" w:type="dxa"/>
            <w:vAlign w:val="bottom"/>
          </w:tcPr>
          <w:p w:rsidR="00C56098" w:rsidRPr="00F12AB8" w:rsidRDefault="007E2AEA" w:rsidP="00A27E34">
            <w:pPr>
              <w:pStyle w:val="Tabletext"/>
              <w:ind w:left="170" w:hanging="57"/>
              <w:jc w:val="right"/>
            </w:pPr>
            <w:r>
              <w:t>8/4/2011</w:t>
            </w:r>
          </w:p>
        </w:tc>
      </w:tr>
    </w:tbl>
    <w:p w:rsidR="00C56098" w:rsidRPr="007D7A66" w:rsidRDefault="00C56098" w:rsidP="00336A56">
      <w:pPr>
        <w:spacing w:after="240" w:line="320" w:lineRule="atLeast"/>
        <w:ind w:firstLine="720"/>
        <w:rPr>
          <w:rFonts w:cs="Arial"/>
          <w:sz w:val="24"/>
        </w:rPr>
      </w:pPr>
    </w:p>
    <w:p w:rsidR="00C56098" w:rsidRPr="007D7A66" w:rsidRDefault="00C56098" w:rsidP="003B1C31">
      <w:pPr>
        <w:pStyle w:val="Heading2"/>
        <w:spacing w:before="480" w:after="120" w:line="360" w:lineRule="auto"/>
        <w:ind w:left="0"/>
        <w:rPr>
          <w:rFonts w:ascii="Arial" w:hAnsi="Arial" w:cs="Arial"/>
          <w:i w:val="0"/>
          <w:iCs w:val="0"/>
        </w:rPr>
      </w:pPr>
      <w:bookmarkStart w:id="5" w:name="_Toc223245309"/>
      <w:bookmarkEnd w:id="4"/>
      <w:r w:rsidRPr="007D7A66">
        <w:rPr>
          <w:rFonts w:ascii="Arial" w:hAnsi="Arial" w:cs="Arial"/>
          <w:i w:val="0"/>
          <w:iCs w:val="0"/>
        </w:rPr>
        <w:lastRenderedPageBreak/>
        <w:t>Estimate of Hour Burden</w:t>
      </w:r>
      <w:bookmarkEnd w:id="5"/>
      <w:r w:rsidRPr="007D7A66">
        <w:rPr>
          <w:rFonts w:ascii="Arial" w:hAnsi="Arial" w:cs="Arial"/>
          <w:i w:val="0"/>
          <w:iCs w:val="0"/>
        </w:rPr>
        <w:t xml:space="preserve"> </w:t>
      </w:r>
    </w:p>
    <w:p w:rsidR="00C56098" w:rsidRDefault="00193A91" w:rsidP="00E63DDD">
      <w:pPr>
        <w:pStyle w:val="bodytextpsg"/>
        <w:spacing w:line="360" w:lineRule="auto"/>
        <w:rPr>
          <w:sz w:val="24"/>
          <w:szCs w:val="24"/>
        </w:rPr>
      </w:pPr>
      <w:r>
        <w:rPr>
          <w:sz w:val="24"/>
          <w:szCs w:val="24"/>
        </w:rPr>
        <w:t>Three focus groups</w:t>
      </w:r>
      <w:r w:rsidR="00C56098" w:rsidRPr="003965A1">
        <w:rPr>
          <w:sz w:val="24"/>
          <w:szCs w:val="24"/>
        </w:rPr>
        <w:t xml:space="preserve"> are planned</w:t>
      </w:r>
      <w:r w:rsidR="00483236">
        <w:rPr>
          <w:sz w:val="24"/>
          <w:szCs w:val="24"/>
        </w:rPr>
        <w:t xml:space="preserve"> with nine participants for each focus group</w:t>
      </w:r>
      <w:r w:rsidR="00C56098" w:rsidRPr="003965A1">
        <w:rPr>
          <w:sz w:val="24"/>
          <w:szCs w:val="24"/>
        </w:rPr>
        <w:t xml:space="preserve">. Each </w:t>
      </w:r>
      <w:r>
        <w:rPr>
          <w:sz w:val="24"/>
          <w:szCs w:val="24"/>
        </w:rPr>
        <w:t>focus group is</w:t>
      </w:r>
      <w:r w:rsidR="00C56098" w:rsidRPr="003965A1">
        <w:rPr>
          <w:sz w:val="24"/>
          <w:szCs w:val="24"/>
        </w:rPr>
        <w:t xml:space="preserve"> expected to last approximately </w:t>
      </w:r>
      <w:r>
        <w:rPr>
          <w:sz w:val="24"/>
          <w:szCs w:val="24"/>
        </w:rPr>
        <w:t>9</w:t>
      </w:r>
      <w:r w:rsidR="00C56098" w:rsidRPr="003965A1">
        <w:rPr>
          <w:sz w:val="24"/>
          <w:szCs w:val="24"/>
        </w:rPr>
        <w:t xml:space="preserve">0 minutes.  The </w:t>
      </w:r>
      <w:r>
        <w:rPr>
          <w:sz w:val="24"/>
          <w:szCs w:val="24"/>
        </w:rPr>
        <w:t>focus group</w:t>
      </w:r>
      <w:r w:rsidRPr="003965A1">
        <w:rPr>
          <w:sz w:val="24"/>
          <w:szCs w:val="24"/>
        </w:rPr>
        <w:t xml:space="preserve"> </w:t>
      </w:r>
      <w:r w:rsidR="00C56098" w:rsidRPr="003965A1">
        <w:rPr>
          <w:sz w:val="24"/>
          <w:szCs w:val="24"/>
        </w:rPr>
        <w:t xml:space="preserve">burden is therefore </w:t>
      </w:r>
      <w:r w:rsidR="00483236">
        <w:rPr>
          <w:sz w:val="24"/>
          <w:szCs w:val="24"/>
        </w:rPr>
        <w:t>40.5</w:t>
      </w:r>
      <w:r w:rsidRPr="003965A1">
        <w:rPr>
          <w:sz w:val="24"/>
          <w:szCs w:val="24"/>
        </w:rPr>
        <w:t xml:space="preserve"> </w:t>
      </w:r>
      <w:r w:rsidR="00C56098" w:rsidRPr="003965A1">
        <w:rPr>
          <w:sz w:val="24"/>
          <w:szCs w:val="24"/>
        </w:rPr>
        <w:t xml:space="preserve">hours, exclusive of travel time.  However, there is also a screener, </w:t>
      </w:r>
      <w:proofErr w:type="gramStart"/>
      <w:r w:rsidR="00C56098" w:rsidRPr="003965A1">
        <w:rPr>
          <w:sz w:val="24"/>
          <w:szCs w:val="24"/>
        </w:rPr>
        <w:t>which</w:t>
      </w:r>
      <w:proofErr w:type="gramEnd"/>
      <w:r w:rsidR="00C56098" w:rsidRPr="003965A1">
        <w:rPr>
          <w:sz w:val="24"/>
          <w:szCs w:val="24"/>
        </w:rPr>
        <w:t xml:space="preserve"> is estimated to be taken by </w:t>
      </w:r>
      <w:r w:rsidR="00483236">
        <w:rPr>
          <w:sz w:val="24"/>
          <w:szCs w:val="24"/>
        </w:rPr>
        <w:t>about 7</w:t>
      </w:r>
      <w:r w:rsidR="00141AA2">
        <w:rPr>
          <w:sz w:val="24"/>
          <w:szCs w:val="24"/>
        </w:rPr>
        <w:t>2</w:t>
      </w:r>
      <w:r>
        <w:rPr>
          <w:sz w:val="24"/>
          <w:szCs w:val="24"/>
        </w:rPr>
        <w:t xml:space="preserve"> i</w:t>
      </w:r>
      <w:r w:rsidRPr="003965A1">
        <w:rPr>
          <w:sz w:val="24"/>
          <w:szCs w:val="24"/>
        </w:rPr>
        <w:t xml:space="preserve">ndividuals </w:t>
      </w:r>
      <w:r w:rsidR="00C56098" w:rsidRPr="003965A1">
        <w:rPr>
          <w:sz w:val="24"/>
          <w:szCs w:val="24"/>
        </w:rPr>
        <w:t xml:space="preserve">and will take on average </w:t>
      </w:r>
      <w:r w:rsidR="007531C7">
        <w:rPr>
          <w:sz w:val="24"/>
          <w:szCs w:val="24"/>
        </w:rPr>
        <w:t xml:space="preserve">of </w:t>
      </w:r>
      <w:r>
        <w:rPr>
          <w:sz w:val="24"/>
          <w:szCs w:val="24"/>
        </w:rPr>
        <w:t>5</w:t>
      </w:r>
      <w:r w:rsidRPr="003965A1">
        <w:rPr>
          <w:sz w:val="24"/>
          <w:szCs w:val="24"/>
        </w:rPr>
        <w:t xml:space="preserve"> </w:t>
      </w:r>
      <w:r w:rsidR="00C56098" w:rsidRPr="003965A1">
        <w:rPr>
          <w:sz w:val="24"/>
          <w:szCs w:val="24"/>
        </w:rPr>
        <w:t xml:space="preserve">minutes to complete; this constitutes </w:t>
      </w:r>
      <w:r w:rsidR="00141AA2">
        <w:rPr>
          <w:sz w:val="24"/>
          <w:szCs w:val="24"/>
        </w:rPr>
        <w:t>6</w:t>
      </w:r>
      <w:r w:rsidRPr="003965A1">
        <w:rPr>
          <w:sz w:val="24"/>
          <w:szCs w:val="24"/>
        </w:rPr>
        <w:t xml:space="preserve"> </w:t>
      </w:r>
      <w:r w:rsidR="00C56098" w:rsidRPr="003965A1">
        <w:rPr>
          <w:sz w:val="24"/>
          <w:szCs w:val="24"/>
        </w:rPr>
        <w:t xml:space="preserve">hours, for a total burden of </w:t>
      </w:r>
      <w:r w:rsidR="00483236">
        <w:rPr>
          <w:sz w:val="24"/>
          <w:szCs w:val="24"/>
        </w:rPr>
        <w:t>46.</w:t>
      </w:r>
      <w:r w:rsidR="00141AA2">
        <w:rPr>
          <w:sz w:val="24"/>
          <w:szCs w:val="24"/>
        </w:rPr>
        <w:t>5</w:t>
      </w:r>
      <w:r w:rsidRPr="003965A1">
        <w:rPr>
          <w:sz w:val="24"/>
          <w:szCs w:val="24"/>
        </w:rPr>
        <w:t xml:space="preserve"> </w:t>
      </w:r>
      <w:r w:rsidR="00C56098" w:rsidRPr="003965A1">
        <w:rPr>
          <w:sz w:val="24"/>
          <w:szCs w:val="24"/>
        </w:rPr>
        <w:t>hours.</w:t>
      </w:r>
    </w:p>
    <w:tbl>
      <w:tblPr>
        <w:tblStyle w:val="TableGrid"/>
        <w:tblW w:w="0" w:type="auto"/>
        <w:tblLook w:val="04A0"/>
      </w:tblPr>
      <w:tblGrid>
        <w:gridCol w:w="1915"/>
        <w:gridCol w:w="1915"/>
        <w:gridCol w:w="1915"/>
        <w:gridCol w:w="1915"/>
        <w:gridCol w:w="1916"/>
      </w:tblGrid>
      <w:tr w:rsidR="003229B6" w:rsidRPr="003229B6" w:rsidTr="003229B6">
        <w:tc>
          <w:tcPr>
            <w:tcW w:w="1915" w:type="dxa"/>
            <w:vAlign w:val="center"/>
          </w:tcPr>
          <w:p w:rsidR="003229B6" w:rsidRPr="003229B6" w:rsidRDefault="003229B6" w:rsidP="003229B6">
            <w:pPr>
              <w:pStyle w:val="bodytextpsg"/>
              <w:spacing w:after="0" w:line="240" w:lineRule="auto"/>
              <w:ind w:firstLine="0"/>
              <w:jc w:val="center"/>
              <w:rPr>
                <w:b/>
                <w:sz w:val="24"/>
                <w:szCs w:val="24"/>
              </w:rPr>
            </w:pPr>
            <w:r w:rsidRPr="003229B6">
              <w:rPr>
                <w:b/>
                <w:sz w:val="24"/>
                <w:szCs w:val="24"/>
              </w:rPr>
              <w:t>Respon</w:t>
            </w:r>
            <w:r>
              <w:rPr>
                <w:b/>
                <w:sz w:val="24"/>
                <w:szCs w:val="24"/>
              </w:rPr>
              <w:t>se Type</w:t>
            </w:r>
          </w:p>
        </w:tc>
        <w:tc>
          <w:tcPr>
            <w:tcW w:w="1915" w:type="dxa"/>
            <w:vAlign w:val="center"/>
          </w:tcPr>
          <w:p w:rsidR="003229B6" w:rsidRPr="003229B6" w:rsidRDefault="003229B6" w:rsidP="003229B6">
            <w:pPr>
              <w:pStyle w:val="bodytextpsg"/>
              <w:spacing w:after="0" w:line="240" w:lineRule="auto"/>
              <w:ind w:firstLine="0"/>
              <w:jc w:val="center"/>
              <w:rPr>
                <w:b/>
                <w:sz w:val="24"/>
                <w:szCs w:val="24"/>
              </w:rPr>
            </w:pPr>
            <w:r w:rsidRPr="003229B6">
              <w:rPr>
                <w:b/>
                <w:sz w:val="24"/>
                <w:szCs w:val="24"/>
              </w:rPr>
              <w:t># Respondents</w:t>
            </w:r>
          </w:p>
        </w:tc>
        <w:tc>
          <w:tcPr>
            <w:tcW w:w="1915" w:type="dxa"/>
            <w:vAlign w:val="center"/>
          </w:tcPr>
          <w:p w:rsidR="003229B6" w:rsidRPr="003229B6" w:rsidRDefault="003229B6" w:rsidP="003229B6">
            <w:pPr>
              <w:pStyle w:val="bodytextpsg"/>
              <w:spacing w:after="0" w:line="240" w:lineRule="auto"/>
              <w:ind w:firstLine="0"/>
              <w:jc w:val="center"/>
              <w:rPr>
                <w:b/>
                <w:sz w:val="24"/>
                <w:szCs w:val="24"/>
              </w:rPr>
            </w:pPr>
            <w:r w:rsidRPr="003229B6">
              <w:rPr>
                <w:b/>
                <w:sz w:val="24"/>
                <w:szCs w:val="24"/>
              </w:rPr>
              <w:t># Responses</w:t>
            </w:r>
          </w:p>
        </w:tc>
        <w:tc>
          <w:tcPr>
            <w:tcW w:w="1915" w:type="dxa"/>
            <w:vAlign w:val="center"/>
          </w:tcPr>
          <w:p w:rsidR="003229B6" w:rsidRPr="003229B6" w:rsidRDefault="003229B6" w:rsidP="003229B6">
            <w:pPr>
              <w:pStyle w:val="bodytextpsg"/>
              <w:spacing w:after="0" w:line="240" w:lineRule="auto"/>
              <w:ind w:firstLine="0"/>
              <w:jc w:val="center"/>
              <w:rPr>
                <w:b/>
                <w:sz w:val="24"/>
                <w:szCs w:val="24"/>
              </w:rPr>
            </w:pPr>
            <w:r w:rsidRPr="003229B6">
              <w:rPr>
                <w:b/>
                <w:sz w:val="24"/>
                <w:szCs w:val="24"/>
              </w:rPr>
              <w:t>Burden Minutes per Respondent</w:t>
            </w:r>
          </w:p>
        </w:tc>
        <w:tc>
          <w:tcPr>
            <w:tcW w:w="1916" w:type="dxa"/>
            <w:vAlign w:val="center"/>
          </w:tcPr>
          <w:p w:rsidR="003229B6" w:rsidRPr="003229B6" w:rsidRDefault="003229B6" w:rsidP="003229B6">
            <w:pPr>
              <w:pStyle w:val="bodytextpsg"/>
              <w:spacing w:after="0" w:line="240" w:lineRule="auto"/>
              <w:ind w:firstLine="0"/>
              <w:jc w:val="center"/>
              <w:rPr>
                <w:b/>
                <w:sz w:val="24"/>
                <w:szCs w:val="24"/>
              </w:rPr>
            </w:pPr>
            <w:r w:rsidRPr="003229B6">
              <w:rPr>
                <w:b/>
                <w:sz w:val="24"/>
                <w:szCs w:val="24"/>
              </w:rPr>
              <w:t>Total Burden Hours</w:t>
            </w:r>
          </w:p>
        </w:tc>
      </w:tr>
      <w:tr w:rsidR="003229B6" w:rsidTr="003229B6">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Screener</w:t>
            </w:r>
          </w:p>
        </w:tc>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72</w:t>
            </w:r>
          </w:p>
        </w:tc>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72</w:t>
            </w:r>
          </w:p>
        </w:tc>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5</w:t>
            </w:r>
          </w:p>
        </w:tc>
        <w:tc>
          <w:tcPr>
            <w:tcW w:w="1916" w:type="dxa"/>
            <w:vAlign w:val="center"/>
          </w:tcPr>
          <w:p w:rsidR="003229B6" w:rsidRDefault="003229B6" w:rsidP="003229B6">
            <w:pPr>
              <w:pStyle w:val="bodytextpsg"/>
              <w:spacing w:after="0" w:line="240" w:lineRule="auto"/>
              <w:ind w:firstLine="0"/>
              <w:jc w:val="center"/>
              <w:rPr>
                <w:sz w:val="24"/>
                <w:szCs w:val="24"/>
              </w:rPr>
            </w:pPr>
            <w:r>
              <w:rPr>
                <w:sz w:val="24"/>
                <w:szCs w:val="24"/>
              </w:rPr>
              <w:t>6</w:t>
            </w:r>
          </w:p>
        </w:tc>
      </w:tr>
      <w:tr w:rsidR="003229B6" w:rsidTr="003229B6">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Focus Group</w:t>
            </w:r>
          </w:p>
        </w:tc>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27</w:t>
            </w:r>
          </w:p>
        </w:tc>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27</w:t>
            </w:r>
          </w:p>
        </w:tc>
        <w:tc>
          <w:tcPr>
            <w:tcW w:w="1915" w:type="dxa"/>
            <w:vAlign w:val="center"/>
          </w:tcPr>
          <w:p w:rsidR="003229B6" w:rsidRDefault="003229B6" w:rsidP="003229B6">
            <w:pPr>
              <w:pStyle w:val="bodytextpsg"/>
              <w:spacing w:after="0" w:line="240" w:lineRule="auto"/>
              <w:ind w:firstLine="0"/>
              <w:jc w:val="center"/>
              <w:rPr>
                <w:sz w:val="24"/>
                <w:szCs w:val="24"/>
              </w:rPr>
            </w:pPr>
            <w:r>
              <w:rPr>
                <w:sz w:val="24"/>
                <w:szCs w:val="24"/>
              </w:rPr>
              <w:t>90</w:t>
            </w:r>
          </w:p>
        </w:tc>
        <w:tc>
          <w:tcPr>
            <w:tcW w:w="1916" w:type="dxa"/>
            <w:vAlign w:val="center"/>
          </w:tcPr>
          <w:p w:rsidR="003229B6" w:rsidRDefault="003229B6" w:rsidP="003229B6">
            <w:pPr>
              <w:pStyle w:val="bodytextpsg"/>
              <w:spacing w:after="0" w:line="240" w:lineRule="auto"/>
              <w:ind w:firstLine="0"/>
              <w:jc w:val="center"/>
              <w:rPr>
                <w:sz w:val="24"/>
                <w:szCs w:val="24"/>
              </w:rPr>
            </w:pPr>
            <w:r>
              <w:rPr>
                <w:sz w:val="24"/>
                <w:szCs w:val="24"/>
              </w:rPr>
              <w:t>41</w:t>
            </w:r>
          </w:p>
        </w:tc>
      </w:tr>
      <w:tr w:rsidR="003229B6" w:rsidRPr="003229B6" w:rsidTr="003229B6">
        <w:tc>
          <w:tcPr>
            <w:tcW w:w="1915" w:type="dxa"/>
            <w:vAlign w:val="center"/>
          </w:tcPr>
          <w:p w:rsidR="003229B6" w:rsidRPr="003229B6" w:rsidRDefault="003229B6" w:rsidP="003229B6">
            <w:pPr>
              <w:pStyle w:val="bodytextpsg"/>
              <w:spacing w:after="0" w:line="240" w:lineRule="auto"/>
              <w:ind w:firstLine="0"/>
              <w:jc w:val="center"/>
              <w:rPr>
                <w:b/>
                <w:sz w:val="24"/>
                <w:szCs w:val="24"/>
              </w:rPr>
            </w:pPr>
            <w:r w:rsidRPr="003229B6">
              <w:rPr>
                <w:b/>
                <w:sz w:val="24"/>
                <w:szCs w:val="24"/>
              </w:rPr>
              <w:t>Total</w:t>
            </w:r>
          </w:p>
        </w:tc>
        <w:tc>
          <w:tcPr>
            <w:tcW w:w="1915" w:type="dxa"/>
            <w:vAlign w:val="center"/>
          </w:tcPr>
          <w:p w:rsidR="003229B6" w:rsidRPr="003229B6" w:rsidRDefault="003229B6" w:rsidP="003229B6">
            <w:pPr>
              <w:pStyle w:val="bodytextpsg"/>
              <w:spacing w:after="0" w:line="240" w:lineRule="auto"/>
              <w:ind w:firstLine="0"/>
              <w:jc w:val="center"/>
              <w:rPr>
                <w:b/>
                <w:sz w:val="24"/>
                <w:szCs w:val="24"/>
              </w:rPr>
            </w:pPr>
            <w:r>
              <w:rPr>
                <w:b/>
                <w:sz w:val="24"/>
                <w:szCs w:val="24"/>
              </w:rPr>
              <w:t>72</w:t>
            </w:r>
          </w:p>
        </w:tc>
        <w:tc>
          <w:tcPr>
            <w:tcW w:w="1915" w:type="dxa"/>
            <w:vAlign w:val="center"/>
          </w:tcPr>
          <w:p w:rsidR="003229B6" w:rsidRPr="003229B6" w:rsidRDefault="003229B6" w:rsidP="003229B6">
            <w:pPr>
              <w:pStyle w:val="bodytextpsg"/>
              <w:spacing w:after="0" w:line="240" w:lineRule="auto"/>
              <w:ind w:firstLine="0"/>
              <w:jc w:val="center"/>
              <w:rPr>
                <w:b/>
                <w:sz w:val="24"/>
                <w:szCs w:val="24"/>
              </w:rPr>
            </w:pPr>
            <w:r>
              <w:rPr>
                <w:b/>
                <w:sz w:val="24"/>
                <w:szCs w:val="24"/>
              </w:rPr>
              <w:t>99</w:t>
            </w:r>
          </w:p>
        </w:tc>
        <w:tc>
          <w:tcPr>
            <w:tcW w:w="1915" w:type="dxa"/>
            <w:vAlign w:val="center"/>
          </w:tcPr>
          <w:p w:rsidR="003229B6" w:rsidRPr="003229B6" w:rsidRDefault="003229B6" w:rsidP="003229B6">
            <w:pPr>
              <w:pStyle w:val="bodytextpsg"/>
              <w:spacing w:after="0" w:line="240" w:lineRule="auto"/>
              <w:ind w:firstLine="0"/>
              <w:jc w:val="center"/>
              <w:rPr>
                <w:b/>
                <w:sz w:val="24"/>
                <w:szCs w:val="24"/>
              </w:rPr>
            </w:pPr>
            <w:r>
              <w:rPr>
                <w:b/>
                <w:sz w:val="24"/>
                <w:szCs w:val="24"/>
              </w:rPr>
              <w:t>-</w:t>
            </w:r>
          </w:p>
        </w:tc>
        <w:tc>
          <w:tcPr>
            <w:tcW w:w="1916" w:type="dxa"/>
            <w:vAlign w:val="center"/>
          </w:tcPr>
          <w:p w:rsidR="003229B6" w:rsidRPr="003229B6" w:rsidRDefault="003229B6" w:rsidP="003229B6">
            <w:pPr>
              <w:pStyle w:val="bodytextpsg"/>
              <w:spacing w:after="0" w:line="240" w:lineRule="auto"/>
              <w:ind w:firstLine="0"/>
              <w:jc w:val="center"/>
              <w:rPr>
                <w:b/>
                <w:sz w:val="24"/>
                <w:szCs w:val="24"/>
              </w:rPr>
            </w:pPr>
            <w:r>
              <w:rPr>
                <w:b/>
                <w:sz w:val="24"/>
                <w:szCs w:val="24"/>
              </w:rPr>
              <w:t>47</w:t>
            </w:r>
          </w:p>
        </w:tc>
      </w:tr>
    </w:tbl>
    <w:p w:rsidR="003229B6" w:rsidRPr="003965A1" w:rsidRDefault="003229B6" w:rsidP="00E63DDD">
      <w:pPr>
        <w:pStyle w:val="bodytextpsg"/>
        <w:spacing w:line="360" w:lineRule="auto"/>
        <w:rPr>
          <w:sz w:val="24"/>
          <w:szCs w:val="24"/>
        </w:rPr>
      </w:pPr>
    </w:p>
    <w:p w:rsidR="00C56098" w:rsidRPr="007D7A66" w:rsidRDefault="00C56098" w:rsidP="00E741C0">
      <w:pPr>
        <w:pStyle w:val="Heading2"/>
        <w:spacing w:before="600" w:after="120" w:line="360" w:lineRule="auto"/>
        <w:ind w:left="0"/>
        <w:rPr>
          <w:rFonts w:ascii="Arial" w:hAnsi="Arial" w:cs="Arial"/>
          <w:i w:val="0"/>
          <w:iCs w:val="0"/>
        </w:rPr>
      </w:pPr>
      <w:bookmarkStart w:id="6" w:name="_Toc223245310"/>
      <w:r w:rsidRPr="007D7A66">
        <w:rPr>
          <w:rFonts w:ascii="Arial" w:hAnsi="Arial" w:cs="Arial"/>
          <w:i w:val="0"/>
          <w:iCs w:val="0"/>
        </w:rPr>
        <w:t>Estimate of Costs for Recruiting and Paying Respondents</w:t>
      </w:r>
    </w:p>
    <w:p w:rsidR="00C56098" w:rsidRPr="003965A1" w:rsidRDefault="00C56098" w:rsidP="003965A1">
      <w:pPr>
        <w:pStyle w:val="bodytextpsg"/>
        <w:spacing w:line="360" w:lineRule="auto"/>
        <w:rPr>
          <w:sz w:val="24"/>
          <w:szCs w:val="24"/>
        </w:rPr>
      </w:pPr>
      <w:r w:rsidRPr="003965A1">
        <w:rPr>
          <w:sz w:val="24"/>
          <w:szCs w:val="24"/>
        </w:rPr>
        <w:t xml:space="preserve">To </w:t>
      </w:r>
      <w:r w:rsidR="003229B6">
        <w:rPr>
          <w:sz w:val="24"/>
          <w:szCs w:val="24"/>
        </w:rPr>
        <w:t>thank</w:t>
      </w:r>
      <w:r w:rsidRPr="003965A1">
        <w:rPr>
          <w:sz w:val="24"/>
          <w:szCs w:val="24"/>
        </w:rPr>
        <w:t xml:space="preserve"> the respondents for their </w:t>
      </w:r>
      <w:r w:rsidR="003229B6">
        <w:rPr>
          <w:sz w:val="24"/>
          <w:szCs w:val="24"/>
        </w:rPr>
        <w:t xml:space="preserve">travel to the focus group facility, </w:t>
      </w:r>
      <w:r w:rsidR="007531C7">
        <w:rPr>
          <w:sz w:val="24"/>
          <w:szCs w:val="24"/>
        </w:rPr>
        <w:t>time</w:t>
      </w:r>
      <w:r w:rsidR="003229B6">
        <w:rPr>
          <w:sz w:val="24"/>
          <w:szCs w:val="24"/>
        </w:rPr>
        <w:t>,</w:t>
      </w:r>
      <w:r w:rsidR="007531C7">
        <w:rPr>
          <w:sz w:val="24"/>
          <w:szCs w:val="24"/>
        </w:rPr>
        <w:t xml:space="preserve"> and effort</w:t>
      </w:r>
      <w:r w:rsidRPr="003965A1">
        <w:rPr>
          <w:sz w:val="24"/>
          <w:szCs w:val="24"/>
        </w:rPr>
        <w:t>, the</w:t>
      </w:r>
      <w:r w:rsidR="00483236">
        <w:rPr>
          <w:sz w:val="24"/>
          <w:szCs w:val="24"/>
        </w:rPr>
        <w:t xml:space="preserve"> </w:t>
      </w:r>
      <w:r w:rsidR="003229B6" w:rsidRPr="003965A1">
        <w:rPr>
          <w:sz w:val="24"/>
          <w:szCs w:val="24"/>
        </w:rPr>
        <w:t>participati</w:t>
      </w:r>
      <w:r w:rsidR="003229B6">
        <w:rPr>
          <w:sz w:val="24"/>
          <w:szCs w:val="24"/>
        </w:rPr>
        <w:t xml:space="preserve">ng </w:t>
      </w:r>
      <w:r w:rsidR="00483236">
        <w:rPr>
          <w:sz w:val="24"/>
          <w:szCs w:val="24"/>
        </w:rPr>
        <w:t>students</w:t>
      </w:r>
      <w:r w:rsidRPr="003965A1">
        <w:rPr>
          <w:sz w:val="24"/>
          <w:szCs w:val="24"/>
        </w:rPr>
        <w:t xml:space="preserve"> will receive $</w:t>
      </w:r>
      <w:r w:rsidR="00483236">
        <w:rPr>
          <w:sz w:val="24"/>
          <w:szCs w:val="24"/>
        </w:rPr>
        <w:t>5</w:t>
      </w:r>
      <w:r w:rsidR="003229B6">
        <w:rPr>
          <w:sz w:val="24"/>
          <w:szCs w:val="24"/>
        </w:rPr>
        <w:t xml:space="preserve">0, and </w:t>
      </w:r>
      <w:r w:rsidR="00483236">
        <w:rPr>
          <w:sz w:val="24"/>
          <w:szCs w:val="24"/>
        </w:rPr>
        <w:t>the guidance counselors</w:t>
      </w:r>
      <w:r w:rsidR="003229B6">
        <w:rPr>
          <w:sz w:val="24"/>
          <w:szCs w:val="24"/>
        </w:rPr>
        <w:t>, who are typically more difficult to recruit for focus groups,</w:t>
      </w:r>
      <w:r w:rsidR="00483236">
        <w:rPr>
          <w:sz w:val="24"/>
          <w:szCs w:val="24"/>
        </w:rPr>
        <w:t xml:space="preserve"> will receive $</w:t>
      </w:r>
      <w:r w:rsidR="003D45F5">
        <w:rPr>
          <w:sz w:val="24"/>
          <w:szCs w:val="24"/>
        </w:rPr>
        <w:t>75</w:t>
      </w:r>
      <w:r w:rsidRPr="003965A1">
        <w:rPr>
          <w:sz w:val="24"/>
          <w:szCs w:val="24"/>
        </w:rPr>
        <w:t>.</w:t>
      </w:r>
    </w:p>
    <w:p w:rsidR="00C56098" w:rsidRPr="007D7A66" w:rsidRDefault="00C56098" w:rsidP="00E741C0">
      <w:pPr>
        <w:pStyle w:val="Heading2"/>
        <w:keepLines/>
        <w:spacing w:before="480" w:after="120" w:line="360" w:lineRule="auto"/>
        <w:ind w:left="0"/>
        <w:rPr>
          <w:rFonts w:ascii="Arial" w:hAnsi="Arial" w:cs="Arial"/>
          <w:i w:val="0"/>
          <w:iCs w:val="0"/>
        </w:rPr>
      </w:pPr>
      <w:r w:rsidRPr="007D7A66">
        <w:rPr>
          <w:rFonts w:ascii="Arial" w:hAnsi="Arial" w:cs="Arial"/>
          <w:i w:val="0"/>
          <w:iCs w:val="0"/>
        </w:rPr>
        <w:t xml:space="preserve">Cost to Federal Government </w:t>
      </w:r>
    </w:p>
    <w:p w:rsidR="00770B81" w:rsidRPr="00C65ED9" w:rsidRDefault="00C56098" w:rsidP="00A35678">
      <w:pPr>
        <w:pStyle w:val="bodytextpsg"/>
        <w:spacing w:line="360" w:lineRule="auto"/>
        <w:rPr>
          <w:rFonts w:asciiTheme="minorHAnsi" w:hAnsiTheme="minorHAnsi" w:cstheme="minorHAnsi"/>
          <w:sz w:val="24"/>
        </w:rPr>
      </w:pPr>
      <w:r w:rsidRPr="003965A1">
        <w:rPr>
          <w:sz w:val="24"/>
          <w:szCs w:val="24"/>
        </w:rPr>
        <w:t xml:space="preserve">The cost of conducting the </w:t>
      </w:r>
      <w:r w:rsidR="00141AA2">
        <w:rPr>
          <w:sz w:val="24"/>
          <w:szCs w:val="24"/>
        </w:rPr>
        <w:t>focus groups</w:t>
      </w:r>
      <w:r w:rsidRPr="003965A1">
        <w:rPr>
          <w:sz w:val="24"/>
          <w:szCs w:val="24"/>
        </w:rPr>
        <w:t xml:space="preserve"> </w:t>
      </w:r>
      <w:r w:rsidR="00141AA2">
        <w:rPr>
          <w:sz w:val="24"/>
          <w:szCs w:val="24"/>
        </w:rPr>
        <w:t>will be $82,000</w:t>
      </w:r>
      <w:r w:rsidRPr="003965A1">
        <w:rPr>
          <w:sz w:val="24"/>
          <w:szCs w:val="24"/>
        </w:rPr>
        <w:t xml:space="preserve">, under the </w:t>
      </w:r>
      <w:r w:rsidR="00483236">
        <w:rPr>
          <w:sz w:val="24"/>
          <w:szCs w:val="24"/>
        </w:rPr>
        <w:t>Westat subcontract to Coffey Communications</w:t>
      </w:r>
      <w:r w:rsidRPr="003965A1">
        <w:rPr>
          <w:sz w:val="24"/>
          <w:szCs w:val="24"/>
        </w:rPr>
        <w:t>, including recruitment</w:t>
      </w:r>
      <w:r w:rsidR="007531C7">
        <w:rPr>
          <w:sz w:val="24"/>
          <w:szCs w:val="24"/>
        </w:rPr>
        <w:t xml:space="preserve"> an</w:t>
      </w:r>
      <w:r w:rsidR="006A67C0">
        <w:rPr>
          <w:sz w:val="24"/>
          <w:szCs w:val="24"/>
        </w:rPr>
        <w:t xml:space="preserve">d coordination with the focus </w:t>
      </w:r>
      <w:r w:rsidR="007531C7">
        <w:rPr>
          <w:sz w:val="24"/>
          <w:szCs w:val="24"/>
        </w:rPr>
        <w:t>group facility</w:t>
      </w:r>
      <w:r w:rsidRPr="003965A1">
        <w:rPr>
          <w:sz w:val="24"/>
          <w:szCs w:val="24"/>
        </w:rPr>
        <w:t xml:space="preserve">, </w:t>
      </w:r>
      <w:r w:rsidR="00483236">
        <w:rPr>
          <w:sz w:val="24"/>
          <w:szCs w:val="24"/>
        </w:rPr>
        <w:t xml:space="preserve">facility rental, </w:t>
      </w:r>
      <w:proofErr w:type="gramStart"/>
      <w:r w:rsidR="00141AA2">
        <w:rPr>
          <w:sz w:val="24"/>
          <w:szCs w:val="24"/>
        </w:rPr>
        <w:t>protocol</w:t>
      </w:r>
      <w:proofErr w:type="gramEnd"/>
      <w:r w:rsidR="00141AA2">
        <w:rPr>
          <w:sz w:val="24"/>
          <w:szCs w:val="24"/>
        </w:rPr>
        <w:t xml:space="preserve"> development, preparation of focus group materials, </w:t>
      </w:r>
      <w:r w:rsidR="00483236">
        <w:rPr>
          <w:sz w:val="24"/>
          <w:szCs w:val="24"/>
        </w:rPr>
        <w:t>analysis, report writing</w:t>
      </w:r>
      <w:r w:rsidR="00081C25">
        <w:rPr>
          <w:sz w:val="24"/>
          <w:szCs w:val="24"/>
        </w:rPr>
        <w:t>,</w:t>
      </w:r>
      <w:r w:rsidR="00A35678">
        <w:rPr>
          <w:sz w:val="24"/>
          <w:szCs w:val="24"/>
        </w:rPr>
        <w:t xml:space="preserve"> and participant incentives.</w:t>
      </w:r>
      <w:bookmarkStart w:id="7" w:name="_GoBack"/>
      <w:bookmarkEnd w:id="6"/>
      <w:bookmarkEnd w:id="7"/>
    </w:p>
    <w:sectPr w:rsidR="00770B81" w:rsidRPr="00C65ED9" w:rsidSect="00A35678">
      <w:headerReference w:type="default" r:id="rId7"/>
      <w:pgSz w:w="12240" w:h="15840" w:code="1"/>
      <w:pgMar w:top="1440" w:right="1440" w:bottom="1440" w:left="1440" w:header="720" w:footer="576" w:gutter="0"/>
      <w:cols w:space="720"/>
      <w:titlePg/>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CE5" w:rsidRDefault="006C5CE5">
      <w:r>
        <w:separator/>
      </w:r>
    </w:p>
  </w:endnote>
  <w:endnote w:type="continuationSeparator" w:id="0">
    <w:p w:rsidR="006C5CE5" w:rsidRDefault="006C5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CE5" w:rsidRDefault="006C5CE5">
      <w:r>
        <w:separator/>
      </w:r>
    </w:p>
  </w:footnote>
  <w:footnote w:type="continuationSeparator" w:id="0">
    <w:p w:rsidR="006C5CE5" w:rsidRDefault="006C5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B3A" w:rsidRPr="00D43508" w:rsidRDefault="00753B3A" w:rsidP="00D43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EE6FF3"/>
    <w:multiLevelType w:val="hybridMultilevel"/>
    <w:tmpl w:val="A31C0BA8"/>
    <w:lvl w:ilvl="0" w:tplc="15E09880">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63B58"/>
    <w:multiLevelType w:val="hybridMultilevel"/>
    <w:tmpl w:val="D29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D6E07"/>
    <w:multiLevelType w:val="hybridMultilevel"/>
    <w:tmpl w:val="B8D2EB7E"/>
    <w:lvl w:ilvl="0" w:tplc="B42EB91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C6F5E"/>
    <w:multiLevelType w:val="hybridMultilevel"/>
    <w:tmpl w:val="8226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13118"/>
    <w:multiLevelType w:val="hybridMultilevel"/>
    <w:tmpl w:val="44388C6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2E64720A"/>
    <w:multiLevelType w:val="hybridMultilevel"/>
    <w:tmpl w:val="896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7782E"/>
    <w:multiLevelType w:val="hybridMultilevel"/>
    <w:tmpl w:val="C1BA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73770F"/>
    <w:multiLevelType w:val="hybridMultilevel"/>
    <w:tmpl w:val="76341606"/>
    <w:lvl w:ilvl="0" w:tplc="E60CE07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E44EE"/>
    <w:multiLevelType w:val="hybridMultilevel"/>
    <w:tmpl w:val="332EE66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E4085E"/>
    <w:multiLevelType w:val="singleLevel"/>
    <w:tmpl w:val="625E2620"/>
    <w:lvl w:ilvl="0">
      <w:start w:val="1"/>
      <w:numFmt w:val="bullet"/>
      <w:lvlText w:val=""/>
      <w:lvlJc w:val="left"/>
      <w:pPr>
        <w:tabs>
          <w:tab w:val="num" w:pos="360"/>
        </w:tabs>
        <w:ind w:left="360" w:hanging="360"/>
      </w:pPr>
      <w:rPr>
        <w:rFonts w:ascii="Symbol" w:hAnsi="Symbol" w:hint="default"/>
        <w:sz w:val="20"/>
      </w:rPr>
    </w:lvl>
  </w:abstractNum>
  <w:abstractNum w:abstractNumId="11">
    <w:nsid w:val="3A28434F"/>
    <w:multiLevelType w:val="hybridMultilevel"/>
    <w:tmpl w:val="C4FCAB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3EAB745B"/>
    <w:multiLevelType w:val="hybridMultilevel"/>
    <w:tmpl w:val="A0CE801E"/>
    <w:lvl w:ilvl="0" w:tplc="6ADE5918">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0C1CCF"/>
    <w:multiLevelType w:val="hybridMultilevel"/>
    <w:tmpl w:val="038C6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2A131A"/>
    <w:multiLevelType w:val="hybridMultilevel"/>
    <w:tmpl w:val="AD08C1DC"/>
    <w:lvl w:ilvl="0" w:tplc="86ACD39C">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DF23AB"/>
    <w:multiLevelType w:val="hybridMultilevel"/>
    <w:tmpl w:val="0B8E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D615E"/>
    <w:multiLevelType w:val="hybridMultilevel"/>
    <w:tmpl w:val="C1B2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A4C0D"/>
    <w:multiLevelType w:val="hybridMultilevel"/>
    <w:tmpl w:val="C4FCA7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55917020"/>
    <w:multiLevelType w:val="hybridMultilevel"/>
    <w:tmpl w:val="6720B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87EC5"/>
    <w:multiLevelType w:val="hybridMultilevel"/>
    <w:tmpl w:val="5AB8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E23AD"/>
    <w:multiLevelType w:val="hybridMultilevel"/>
    <w:tmpl w:val="C00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1B2118"/>
    <w:multiLevelType w:val="hybridMultilevel"/>
    <w:tmpl w:val="673C0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CB94476"/>
    <w:multiLevelType w:val="hybridMultilevel"/>
    <w:tmpl w:val="4A1C69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0A373F0"/>
    <w:multiLevelType w:val="hybridMultilevel"/>
    <w:tmpl w:val="2A1E265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4F077A1"/>
    <w:multiLevelType w:val="hybridMultilevel"/>
    <w:tmpl w:val="3A5AE612"/>
    <w:lvl w:ilvl="0" w:tplc="86ACD39C">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DB718FC"/>
    <w:multiLevelType w:val="hybridMultilevel"/>
    <w:tmpl w:val="7C44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8"/>
  </w:num>
  <w:num w:numId="5">
    <w:abstractNumId w:val="12"/>
  </w:num>
  <w:num w:numId="6">
    <w:abstractNumId w:val="3"/>
  </w:num>
  <w:num w:numId="7">
    <w:abstractNumId w:val="9"/>
  </w:num>
  <w:num w:numId="8">
    <w:abstractNumId w:val="1"/>
  </w:num>
  <w:num w:numId="9">
    <w:abstractNumId w:val="14"/>
  </w:num>
  <w:num w:numId="10">
    <w:abstractNumId w:val="24"/>
  </w:num>
  <w:num w:numId="11">
    <w:abstractNumId w:val="5"/>
  </w:num>
  <w:num w:numId="12">
    <w:abstractNumId w:val="21"/>
  </w:num>
  <w:num w:numId="13">
    <w:abstractNumId w:val="10"/>
  </w:num>
  <w:num w:numId="14">
    <w:abstractNumId w:val="1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num>
  <w:num w:numId="20">
    <w:abstractNumId w:val="7"/>
  </w:num>
  <w:num w:numId="21">
    <w:abstractNumId w:val="16"/>
  </w:num>
  <w:num w:numId="22">
    <w:abstractNumId w:val="25"/>
  </w:num>
  <w:num w:numId="23">
    <w:abstractNumId w:val="19"/>
  </w:num>
  <w:num w:numId="24">
    <w:abstractNumId w:val="4"/>
  </w:num>
  <w:num w:numId="25">
    <w:abstractNumId w:val="15"/>
  </w:num>
  <w:num w:numId="26">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rawingGridHorizontalSpacing w:val="110"/>
  <w:displayHorizontalDrawingGridEvery w:val="2"/>
  <w:characterSpacingControl w:val="doNotCompress"/>
  <w:hdrShapeDefaults>
    <o:shapedefaults v:ext="edit" spidmax="37890">
      <o:colormenu v:ext="edit" fillcolor="none [3212]" shadowcolor="none"/>
    </o:shapedefaults>
  </w:hdrShapeDefaults>
  <w:footnotePr>
    <w:footnote w:id="-1"/>
    <w:footnote w:id="0"/>
  </w:footnotePr>
  <w:endnotePr>
    <w:endnote w:id="-1"/>
    <w:endnote w:id="0"/>
  </w:endnotePr>
  <w:compat/>
  <w:rsids>
    <w:rsidRoot w:val="00AF7DD0"/>
    <w:rsid w:val="000032D8"/>
    <w:rsid w:val="0001169A"/>
    <w:rsid w:val="0001263D"/>
    <w:rsid w:val="00013C24"/>
    <w:rsid w:val="00014EB0"/>
    <w:rsid w:val="00015635"/>
    <w:rsid w:val="00015A19"/>
    <w:rsid w:val="00022CCE"/>
    <w:rsid w:val="00023616"/>
    <w:rsid w:val="00023730"/>
    <w:rsid w:val="00026146"/>
    <w:rsid w:val="0002638F"/>
    <w:rsid w:val="00036179"/>
    <w:rsid w:val="00040559"/>
    <w:rsid w:val="00040EB7"/>
    <w:rsid w:val="00041E96"/>
    <w:rsid w:val="00042025"/>
    <w:rsid w:val="000475E8"/>
    <w:rsid w:val="00047C54"/>
    <w:rsid w:val="000509D3"/>
    <w:rsid w:val="000517ED"/>
    <w:rsid w:val="0005267C"/>
    <w:rsid w:val="000530B5"/>
    <w:rsid w:val="0005651D"/>
    <w:rsid w:val="00057F68"/>
    <w:rsid w:val="00062677"/>
    <w:rsid w:val="00063876"/>
    <w:rsid w:val="00063FF2"/>
    <w:rsid w:val="00066DB3"/>
    <w:rsid w:val="000674D8"/>
    <w:rsid w:val="0007431E"/>
    <w:rsid w:val="000805CB"/>
    <w:rsid w:val="00081C25"/>
    <w:rsid w:val="000864C7"/>
    <w:rsid w:val="000865F4"/>
    <w:rsid w:val="00091FE5"/>
    <w:rsid w:val="0009326A"/>
    <w:rsid w:val="000945BD"/>
    <w:rsid w:val="000A1B9D"/>
    <w:rsid w:val="000A53CF"/>
    <w:rsid w:val="000A7B22"/>
    <w:rsid w:val="000B06F1"/>
    <w:rsid w:val="000B0A88"/>
    <w:rsid w:val="000B2759"/>
    <w:rsid w:val="000B2F1F"/>
    <w:rsid w:val="000C1C3F"/>
    <w:rsid w:val="000C20DF"/>
    <w:rsid w:val="000C2C7B"/>
    <w:rsid w:val="000C7D78"/>
    <w:rsid w:val="000E25A7"/>
    <w:rsid w:val="000E35F6"/>
    <w:rsid w:val="000E4F68"/>
    <w:rsid w:val="000E5D32"/>
    <w:rsid w:val="000E6788"/>
    <w:rsid w:val="000F1FFF"/>
    <w:rsid w:val="000F4B20"/>
    <w:rsid w:val="000F6BAC"/>
    <w:rsid w:val="00101109"/>
    <w:rsid w:val="00104EC2"/>
    <w:rsid w:val="0010569E"/>
    <w:rsid w:val="00105A16"/>
    <w:rsid w:val="00112D82"/>
    <w:rsid w:val="0011391F"/>
    <w:rsid w:val="00117536"/>
    <w:rsid w:val="00117F92"/>
    <w:rsid w:val="0012064B"/>
    <w:rsid w:val="00122CC8"/>
    <w:rsid w:val="00123A74"/>
    <w:rsid w:val="001251FB"/>
    <w:rsid w:val="00126BFA"/>
    <w:rsid w:val="00127A97"/>
    <w:rsid w:val="0013088B"/>
    <w:rsid w:val="001315A0"/>
    <w:rsid w:val="00133667"/>
    <w:rsid w:val="001359FE"/>
    <w:rsid w:val="001411D5"/>
    <w:rsid w:val="00141AA2"/>
    <w:rsid w:val="00142225"/>
    <w:rsid w:val="00143D83"/>
    <w:rsid w:val="001457C3"/>
    <w:rsid w:val="0015037C"/>
    <w:rsid w:val="00154B5A"/>
    <w:rsid w:val="00154C62"/>
    <w:rsid w:val="001572A6"/>
    <w:rsid w:val="001573D7"/>
    <w:rsid w:val="0016040E"/>
    <w:rsid w:val="001665FC"/>
    <w:rsid w:val="00175760"/>
    <w:rsid w:val="001758DD"/>
    <w:rsid w:val="00182AF1"/>
    <w:rsid w:val="00185563"/>
    <w:rsid w:val="00185841"/>
    <w:rsid w:val="00186C4D"/>
    <w:rsid w:val="0019120C"/>
    <w:rsid w:val="00192043"/>
    <w:rsid w:val="00192348"/>
    <w:rsid w:val="00192B92"/>
    <w:rsid w:val="00193A91"/>
    <w:rsid w:val="001942EE"/>
    <w:rsid w:val="00195956"/>
    <w:rsid w:val="001A061D"/>
    <w:rsid w:val="001A1ED6"/>
    <w:rsid w:val="001A7299"/>
    <w:rsid w:val="001B146F"/>
    <w:rsid w:val="001B54E4"/>
    <w:rsid w:val="001B5DAA"/>
    <w:rsid w:val="001B6BFC"/>
    <w:rsid w:val="001C19C1"/>
    <w:rsid w:val="001C623E"/>
    <w:rsid w:val="001C62DB"/>
    <w:rsid w:val="001C6D6D"/>
    <w:rsid w:val="001D2BC4"/>
    <w:rsid w:val="001D482A"/>
    <w:rsid w:val="001D7F1E"/>
    <w:rsid w:val="001E0691"/>
    <w:rsid w:val="001E175E"/>
    <w:rsid w:val="001E347E"/>
    <w:rsid w:val="001E5521"/>
    <w:rsid w:val="001E5B4B"/>
    <w:rsid w:val="001F236F"/>
    <w:rsid w:val="001F34F7"/>
    <w:rsid w:val="001F5383"/>
    <w:rsid w:val="001F667B"/>
    <w:rsid w:val="002049AD"/>
    <w:rsid w:val="002049F5"/>
    <w:rsid w:val="0021055A"/>
    <w:rsid w:val="00210C32"/>
    <w:rsid w:val="00214A52"/>
    <w:rsid w:val="0021604F"/>
    <w:rsid w:val="002229E7"/>
    <w:rsid w:val="002232B0"/>
    <w:rsid w:val="00224C4E"/>
    <w:rsid w:val="00226A6E"/>
    <w:rsid w:val="002310FB"/>
    <w:rsid w:val="00233F90"/>
    <w:rsid w:val="00236301"/>
    <w:rsid w:val="00243FA6"/>
    <w:rsid w:val="0024506F"/>
    <w:rsid w:val="00246A53"/>
    <w:rsid w:val="0025097B"/>
    <w:rsid w:val="00250E08"/>
    <w:rsid w:val="00252A87"/>
    <w:rsid w:val="00253F7A"/>
    <w:rsid w:val="002559EB"/>
    <w:rsid w:val="00256493"/>
    <w:rsid w:val="00256CC9"/>
    <w:rsid w:val="0026071E"/>
    <w:rsid w:val="00261BD9"/>
    <w:rsid w:val="00262BF7"/>
    <w:rsid w:val="002635FC"/>
    <w:rsid w:val="00263E0B"/>
    <w:rsid w:val="00274733"/>
    <w:rsid w:val="00283CF1"/>
    <w:rsid w:val="0028594B"/>
    <w:rsid w:val="0029001A"/>
    <w:rsid w:val="00291222"/>
    <w:rsid w:val="00292524"/>
    <w:rsid w:val="00293285"/>
    <w:rsid w:val="00293359"/>
    <w:rsid w:val="002946C5"/>
    <w:rsid w:val="0029725C"/>
    <w:rsid w:val="002A2140"/>
    <w:rsid w:val="002A3D19"/>
    <w:rsid w:val="002A4BA6"/>
    <w:rsid w:val="002B183B"/>
    <w:rsid w:val="002B1AD1"/>
    <w:rsid w:val="002B270E"/>
    <w:rsid w:val="002C1EBA"/>
    <w:rsid w:val="002C4810"/>
    <w:rsid w:val="002D43CD"/>
    <w:rsid w:val="002D7427"/>
    <w:rsid w:val="002E1557"/>
    <w:rsid w:val="002E1BD9"/>
    <w:rsid w:val="002E43EF"/>
    <w:rsid w:val="002E5AB6"/>
    <w:rsid w:val="002F0296"/>
    <w:rsid w:val="002F0460"/>
    <w:rsid w:val="002F2BFF"/>
    <w:rsid w:val="002F3C26"/>
    <w:rsid w:val="00303711"/>
    <w:rsid w:val="00303F2E"/>
    <w:rsid w:val="003044C7"/>
    <w:rsid w:val="003047AF"/>
    <w:rsid w:val="00304F37"/>
    <w:rsid w:val="003124C2"/>
    <w:rsid w:val="00313560"/>
    <w:rsid w:val="00313836"/>
    <w:rsid w:val="00320F54"/>
    <w:rsid w:val="003222AB"/>
    <w:rsid w:val="003229B6"/>
    <w:rsid w:val="00323092"/>
    <w:rsid w:val="00324080"/>
    <w:rsid w:val="00326BE7"/>
    <w:rsid w:val="00330A67"/>
    <w:rsid w:val="003313C6"/>
    <w:rsid w:val="00331DE2"/>
    <w:rsid w:val="00332D50"/>
    <w:rsid w:val="0033507B"/>
    <w:rsid w:val="003364AC"/>
    <w:rsid w:val="00336516"/>
    <w:rsid w:val="00336A56"/>
    <w:rsid w:val="003405F3"/>
    <w:rsid w:val="00351152"/>
    <w:rsid w:val="0035690D"/>
    <w:rsid w:val="00364C2F"/>
    <w:rsid w:val="00365902"/>
    <w:rsid w:val="00365A03"/>
    <w:rsid w:val="0036668E"/>
    <w:rsid w:val="00366CCD"/>
    <w:rsid w:val="00366CEC"/>
    <w:rsid w:val="00367D34"/>
    <w:rsid w:val="00370ED5"/>
    <w:rsid w:val="00375282"/>
    <w:rsid w:val="003775BC"/>
    <w:rsid w:val="00381D2B"/>
    <w:rsid w:val="00382C06"/>
    <w:rsid w:val="003838C4"/>
    <w:rsid w:val="00383952"/>
    <w:rsid w:val="0038668D"/>
    <w:rsid w:val="00391003"/>
    <w:rsid w:val="003965A1"/>
    <w:rsid w:val="003979C7"/>
    <w:rsid w:val="00397D66"/>
    <w:rsid w:val="003A6329"/>
    <w:rsid w:val="003A7F11"/>
    <w:rsid w:val="003B02EE"/>
    <w:rsid w:val="003B1C31"/>
    <w:rsid w:val="003B4358"/>
    <w:rsid w:val="003C21B0"/>
    <w:rsid w:val="003C23EB"/>
    <w:rsid w:val="003C28B5"/>
    <w:rsid w:val="003C7297"/>
    <w:rsid w:val="003C7339"/>
    <w:rsid w:val="003C7638"/>
    <w:rsid w:val="003D0EBF"/>
    <w:rsid w:val="003D220F"/>
    <w:rsid w:val="003D45F5"/>
    <w:rsid w:val="003D56B2"/>
    <w:rsid w:val="003D5AB5"/>
    <w:rsid w:val="003D6877"/>
    <w:rsid w:val="003E0A40"/>
    <w:rsid w:val="003E24EF"/>
    <w:rsid w:val="003E27E1"/>
    <w:rsid w:val="003E7854"/>
    <w:rsid w:val="003F3149"/>
    <w:rsid w:val="004051A9"/>
    <w:rsid w:val="0041095C"/>
    <w:rsid w:val="00412B3C"/>
    <w:rsid w:val="00413234"/>
    <w:rsid w:val="00415639"/>
    <w:rsid w:val="004169B8"/>
    <w:rsid w:val="0042519F"/>
    <w:rsid w:val="0042772E"/>
    <w:rsid w:val="004344B7"/>
    <w:rsid w:val="00436A1D"/>
    <w:rsid w:val="00455EAE"/>
    <w:rsid w:val="00456930"/>
    <w:rsid w:val="00457252"/>
    <w:rsid w:val="004648F1"/>
    <w:rsid w:val="00466E04"/>
    <w:rsid w:val="00471DAA"/>
    <w:rsid w:val="00472D72"/>
    <w:rsid w:val="004757DF"/>
    <w:rsid w:val="00476371"/>
    <w:rsid w:val="00477A90"/>
    <w:rsid w:val="00480350"/>
    <w:rsid w:val="00483149"/>
    <w:rsid w:val="00483236"/>
    <w:rsid w:val="00483C7C"/>
    <w:rsid w:val="004878BF"/>
    <w:rsid w:val="004906A5"/>
    <w:rsid w:val="004947F8"/>
    <w:rsid w:val="00495B8D"/>
    <w:rsid w:val="00496D99"/>
    <w:rsid w:val="004977BF"/>
    <w:rsid w:val="00497871"/>
    <w:rsid w:val="004A0730"/>
    <w:rsid w:val="004A11BD"/>
    <w:rsid w:val="004A2714"/>
    <w:rsid w:val="004A40F6"/>
    <w:rsid w:val="004A4AB0"/>
    <w:rsid w:val="004A711C"/>
    <w:rsid w:val="004B254F"/>
    <w:rsid w:val="004B2896"/>
    <w:rsid w:val="004B6822"/>
    <w:rsid w:val="004B6C54"/>
    <w:rsid w:val="004B7CF0"/>
    <w:rsid w:val="004C0D96"/>
    <w:rsid w:val="004C37B9"/>
    <w:rsid w:val="004C4749"/>
    <w:rsid w:val="004C4C7E"/>
    <w:rsid w:val="004C603B"/>
    <w:rsid w:val="004D1254"/>
    <w:rsid w:val="004E1FBD"/>
    <w:rsid w:val="004E2C54"/>
    <w:rsid w:val="004E787B"/>
    <w:rsid w:val="004F0130"/>
    <w:rsid w:val="004F232B"/>
    <w:rsid w:val="004F3E5F"/>
    <w:rsid w:val="004F41E8"/>
    <w:rsid w:val="004F5388"/>
    <w:rsid w:val="00500BD9"/>
    <w:rsid w:val="0050145F"/>
    <w:rsid w:val="00507EF9"/>
    <w:rsid w:val="00512998"/>
    <w:rsid w:val="005155EB"/>
    <w:rsid w:val="0051624A"/>
    <w:rsid w:val="00517FA9"/>
    <w:rsid w:val="00523A64"/>
    <w:rsid w:val="00524DB7"/>
    <w:rsid w:val="005270C7"/>
    <w:rsid w:val="00530C14"/>
    <w:rsid w:val="00532851"/>
    <w:rsid w:val="005376A1"/>
    <w:rsid w:val="0054169D"/>
    <w:rsid w:val="00544D3D"/>
    <w:rsid w:val="0054658B"/>
    <w:rsid w:val="00551D3C"/>
    <w:rsid w:val="00553309"/>
    <w:rsid w:val="00553C5E"/>
    <w:rsid w:val="00562E25"/>
    <w:rsid w:val="00564DA2"/>
    <w:rsid w:val="0056712F"/>
    <w:rsid w:val="0057007C"/>
    <w:rsid w:val="00570117"/>
    <w:rsid w:val="00572036"/>
    <w:rsid w:val="00573802"/>
    <w:rsid w:val="00581493"/>
    <w:rsid w:val="00581E89"/>
    <w:rsid w:val="00584087"/>
    <w:rsid w:val="005868BD"/>
    <w:rsid w:val="00591CD5"/>
    <w:rsid w:val="00593C8E"/>
    <w:rsid w:val="0059582A"/>
    <w:rsid w:val="005A0D26"/>
    <w:rsid w:val="005A0F04"/>
    <w:rsid w:val="005A1D74"/>
    <w:rsid w:val="005A4D18"/>
    <w:rsid w:val="005B0B5D"/>
    <w:rsid w:val="005B3403"/>
    <w:rsid w:val="005B43F0"/>
    <w:rsid w:val="005B528C"/>
    <w:rsid w:val="005C0092"/>
    <w:rsid w:val="005C2DC0"/>
    <w:rsid w:val="005C3164"/>
    <w:rsid w:val="005C5B7F"/>
    <w:rsid w:val="005D21D7"/>
    <w:rsid w:val="005D31E6"/>
    <w:rsid w:val="005D6847"/>
    <w:rsid w:val="005D6BB5"/>
    <w:rsid w:val="005D70BE"/>
    <w:rsid w:val="005E10E9"/>
    <w:rsid w:val="005E18A4"/>
    <w:rsid w:val="005E6284"/>
    <w:rsid w:val="005F02B8"/>
    <w:rsid w:val="005F15BD"/>
    <w:rsid w:val="005F1C74"/>
    <w:rsid w:val="005F73C9"/>
    <w:rsid w:val="005F7D94"/>
    <w:rsid w:val="00600BAE"/>
    <w:rsid w:val="006027A5"/>
    <w:rsid w:val="006052BF"/>
    <w:rsid w:val="00607039"/>
    <w:rsid w:val="00607F6E"/>
    <w:rsid w:val="00610467"/>
    <w:rsid w:val="0061070F"/>
    <w:rsid w:val="00612E9B"/>
    <w:rsid w:val="006142BD"/>
    <w:rsid w:val="006248AA"/>
    <w:rsid w:val="00624A55"/>
    <w:rsid w:val="0062505B"/>
    <w:rsid w:val="006279D1"/>
    <w:rsid w:val="006305B6"/>
    <w:rsid w:val="0063677E"/>
    <w:rsid w:val="00637592"/>
    <w:rsid w:val="006415AA"/>
    <w:rsid w:val="006423DD"/>
    <w:rsid w:val="0064404E"/>
    <w:rsid w:val="00644211"/>
    <w:rsid w:val="00644DB8"/>
    <w:rsid w:val="00645123"/>
    <w:rsid w:val="006461BE"/>
    <w:rsid w:val="00646FBE"/>
    <w:rsid w:val="00647FF9"/>
    <w:rsid w:val="00652748"/>
    <w:rsid w:val="00654A15"/>
    <w:rsid w:val="00655A23"/>
    <w:rsid w:val="00661EF7"/>
    <w:rsid w:val="006624CC"/>
    <w:rsid w:val="00664111"/>
    <w:rsid w:val="00664329"/>
    <w:rsid w:val="006650E8"/>
    <w:rsid w:val="00667B03"/>
    <w:rsid w:val="00672A08"/>
    <w:rsid w:val="0067340F"/>
    <w:rsid w:val="0068168D"/>
    <w:rsid w:val="00685728"/>
    <w:rsid w:val="00686378"/>
    <w:rsid w:val="00691C53"/>
    <w:rsid w:val="0069546C"/>
    <w:rsid w:val="006958C6"/>
    <w:rsid w:val="006A61F5"/>
    <w:rsid w:val="006A67C0"/>
    <w:rsid w:val="006B1B34"/>
    <w:rsid w:val="006B3D63"/>
    <w:rsid w:val="006B62B4"/>
    <w:rsid w:val="006B6BD4"/>
    <w:rsid w:val="006C4518"/>
    <w:rsid w:val="006C5CE5"/>
    <w:rsid w:val="006D252E"/>
    <w:rsid w:val="006D2784"/>
    <w:rsid w:val="006D6723"/>
    <w:rsid w:val="006E2D0B"/>
    <w:rsid w:val="006E6855"/>
    <w:rsid w:val="006F2C44"/>
    <w:rsid w:val="006F4B18"/>
    <w:rsid w:val="006F5169"/>
    <w:rsid w:val="006F55B8"/>
    <w:rsid w:val="006F7BA6"/>
    <w:rsid w:val="00700849"/>
    <w:rsid w:val="0070163C"/>
    <w:rsid w:val="007037F7"/>
    <w:rsid w:val="00703C43"/>
    <w:rsid w:val="0071004E"/>
    <w:rsid w:val="00710DA2"/>
    <w:rsid w:val="00717073"/>
    <w:rsid w:val="007203E3"/>
    <w:rsid w:val="00722E6B"/>
    <w:rsid w:val="0072403D"/>
    <w:rsid w:val="00724671"/>
    <w:rsid w:val="0073568F"/>
    <w:rsid w:val="0073633D"/>
    <w:rsid w:val="00737D4B"/>
    <w:rsid w:val="0074206A"/>
    <w:rsid w:val="007423F6"/>
    <w:rsid w:val="0074400B"/>
    <w:rsid w:val="007447FA"/>
    <w:rsid w:val="0075145C"/>
    <w:rsid w:val="007531C7"/>
    <w:rsid w:val="00753B3A"/>
    <w:rsid w:val="0075536F"/>
    <w:rsid w:val="00757E5F"/>
    <w:rsid w:val="00760B66"/>
    <w:rsid w:val="007618C8"/>
    <w:rsid w:val="0076366A"/>
    <w:rsid w:val="00770B81"/>
    <w:rsid w:val="00771EED"/>
    <w:rsid w:val="00772082"/>
    <w:rsid w:val="00773AA6"/>
    <w:rsid w:val="00774089"/>
    <w:rsid w:val="00774737"/>
    <w:rsid w:val="007749A9"/>
    <w:rsid w:val="00775313"/>
    <w:rsid w:val="00780BE5"/>
    <w:rsid w:val="0078204B"/>
    <w:rsid w:val="0078612A"/>
    <w:rsid w:val="00786700"/>
    <w:rsid w:val="00786FC8"/>
    <w:rsid w:val="007929AD"/>
    <w:rsid w:val="007936CA"/>
    <w:rsid w:val="00794D35"/>
    <w:rsid w:val="00796FC5"/>
    <w:rsid w:val="0079727F"/>
    <w:rsid w:val="00797E71"/>
    <w:rsid w:val="007A48D3"/>
    <w:rsid w:val="007A52EF"/>
    <w:rsid w:val="007B2F1A"/>
    <w:rsid w:val="007B4550"/>
    <w:rsid w:val="007B45C7"/>
    <w:rsid w:val="007C5D7B"/>
    <w:rsid w:val="007D5322"/>
    <w:rsid w:val="007D5F34"/>
    <w:rsid w:val="007D6C8A"/>
    <w:rsid w:val="007D7A66"/>
    <w:rsid w:val="007D7E55"/>
    <w:rsid w:val="007E01D6"/>
    <w:rsid w:val="007E2679"/>
    <w:rsid w:val="007E2AEA"/>
    <w:rsid w:val="007E3A2F"/>
    <w:rsid w:val="007E4EFD"/>
    <w:rsid w:val="007E5877"/>
    <w:rsid w:val="007E6DE6"/>
    <w:rsid w:val="007F25C1"/>
    <w:rsid w:val="007F505E"/>
    <w:rsid w:val="00800EAC"/>
    <w:rsid w:val="0080345E"/>
    <w:rsid w:val="00803EDD"/>
    <w:rsid w:val="00804913"/>
    <w:rsid w:val="00811143"/>
    <w:rsid w:val="00815954"/>
    <w:rsid w:val="00815FE4"/>
    <w:rsid w:val="00816213"/>
    <w:rsid w:val="00820670"/>
    <w:rsid w:val="00820B72"/>
    <w:rsid w:val="00824F90"/>
    <w:rsid w:val="0083166E"/>
    <w:rsid w:val="008322D9"/>
    <w:rsid w:val="00836BF8"/>
    <w:rsid w:val="00845CDA"/>
    <w:rsid w:val="00850155"/>
    <w:rsid w:val="0085592F"/>
    <w:rsid w:val="00855F47"/>
    <w:rsid w:val="0085621F"/>
    <w:rsid w:val="00861088"/>
    <w:rsid w:val="00861598"/>
    <w:rsid w:val="008617E9"/>
    <w:rsid w:val="00862206"/>
    <w:rsid w:val="0086308F"/>
    <w:rsid w:val="00867D99"/>
    <w:rsid w:val="0087119F"/>
    <w:rsid w:val="008721C0"/>
    <w:rsid w:val="008725C0"/>
    <w:rsid w:val="0087357B"/>
    <w:rsid w:val="00875A86"/>
    <w:rsid w:val="00884BBC"/>
    <w:rsid w:val="00887E4D"/>
    <w:rsid w:val="00891A74"/>
    <w:rsid w:val="00895B2B"/>
    <w:rsid w:val="008A0243"/>
    <w:rsid w:val="008A7C86"/>
    <w:rsid w:val="008B21B0"/>
    <w:rsid w:val="008B7722"/>
    <w:rsid w:val="008B7846"/>
    <w:rsid w:val="008C20CD"/>
    <w:rsid w:val="008C2358"/>
    <w:rsid w:val="008C24AF"/>
    <w:rsid w:val="008C6A46"/>
    <w:rsid w:val="008D3DAC"/>
    <w:rsid w:val="008D52EA"/>
    <w:rsid w:val="008D605E"/>
    <w:rsid w:val="008E0449"/>
    <w:rsid w:val="008E3FD9"/>
    <w:rsid w:val="008E5C4C"/>
    <w:rsid w:val="008E66B1"/>
    <w:rsid w:val="008E718D"/>
    <w:rsid w:val="008F2A3B"/>
    <w:rsid w:val="008F3517"/>
    <w:rsid w:val="008F4052"/>
    <w:rsid w:val="008F4EA1"/>
    <w:rsid w:val="008F5AA6"/>
    <w:rsid w:val="008F758A"/>
    <w:rsid w:val="009021B6"/>
    <w:rsid w:val="00902415"/>
    <w:rsid w:val="00904006"/>
    <w:rsid w:val="009050FE"/>
    <w:rsid w:val="00911AC9"/>
    <w:rsid w:val="0091228F"/>
    <w:rsid w:val="00915113"/>
    <w:rsid w:val="00915581"/>
    <w:rsid w:val="00917337"/>
    <w:rsid w:val="00917868"/>
    <w:rsid w:val="009219DB"/>
    <w:rsid w:val="00922F62"/>
    <w:rsid w:val="00923CA3"/>
    <w:rsid w:val="009254C0"/>
    <w:rsid w:val="00932FA5"/>
    <w:rsid w:val="00933480"/>
    <w:rsid w:val="00933D76"/>
    <w:rsid w:val="0093724D"/>
    <w:rsid w:val="0094054D"/>
    <w:rsid w:val="00941626"/>
    <w:rsid w:val="00944AEE"/>
    <w:rsid w:val="009457AD"/>
    <w:rsid w:val="009522C9"/>
    <w:rsid w:val="00952ED8"/>
    <w:rsid w:val="009536E8"/>
    <w:rsid w:val="00957871"/>
    <w:rsid w:val="00957EB6"/>
    <w:rsid w:val="009614FB"/>
    <w:rsid w:val="00961A55"/>
    <w:rsid w:val="009629F0"/>
    <w:rsid w:val="009636BA"/>
    <w:rsid w:val="009668D8"/>
    <w:rsid w:val="009721C1"/>
    <w:rsid w:val="00972AF1"/>
    <w:rsid w:val="00974B99"/>
    <w:rsid w:val="009779AC"/>
    <w:rsid w:val="00985563"/>
    <w:rsid w:val="0099112F"/>
    <w:rsid w:val="00994F81"/>
    <w:rsid w:val="009953E9"/>
    <w:rsid w:val="0099684E"/>
    <w:rsid w:val="009A66A6"/>
    <w:rsid w:val="009A7081"/>
    <w:rsid w:val="009B0A3A"/>
    <w:rsid w:val="009B0DAE"/>
    <w:rsid w:val="009B0ECB"/>
    <w:rsid w:val="009B3D1A"/>
    <w:rsid w:val="009C0DCE"/>
    <w:rsid w:val="009C248D"/>
    <w:rsid w:val="009C47AB"/>
    <w:rsid w:val="009D0446"/>
    <w:rsid w:val="009D6C10"/>
    <w:rsid w:val="009D7BEE"/>
    <w:rsid w:val="009E0599"/>
    <w:rsid w:val="009E4653"/>
    <w:rsid w:val="009E7DC0"/>
    <w:rsid w:val="009F2220"/>
    <w:rsid w:val="009F77A7"/>
    <w:rsid w:val="00A003D6"/>
    <w:rsid w:val="00A018F5"/>
    <w:rsid w:val="00A03856"/>
    <w:rsid w:val="00A04B7B"/>
    <w:rsid w:val="00A05615"/>
    <w:rsid w:val="00A15488"/>
    <w:rsid w:val="00A155A4"/>
    <w:rsid w:val="00A17B9F"/>
    <w:rsid w:val="00A20DA8"/>
    <w:rsid w:val="00A2116C"/>
    <w:rsid w:val="00A23308"/>
    <w:rsid w:val="00A26204"/>
    <w:rsid w:val="00A27E34"/>
    <w:rsid w:val="00A349C4"/>
    <w:rsid w:val="00A35678"/>
    <w:rsid w:val="00A35FC1"/>
    <w:rsid w:val="00A373CB"/>
    <w:rsid w:val="00A37C7E"/>
    <w:rsid w:val="00A428BC"/>
    <w:rsid w:val="00A439EB"/>
    <w:rsid w:val="00A43D38"/>
    <w:rsid w:val="00A455F0"/>
    <w:rsid w:val="00A46BD6"/>
    <w:rsid w:val="00A47FE4"/>
    <w:rsid w:val="00A51871"/>
    <w:rsid w:val="00A53FC7"/>
    <w:rsid w:val="00A54586"/>
    <w:rsid w:val="00A65D19"/>
    <w:rsid w:val="00A673EF"/>
    <w:rsid w:val="00A717AB"/>
    <w:rsid w:val="00A73E2D"/>
    <w:rsid w:val="00A75679"/>
    <w:rsid w:val="00A7643B"/>
    <w:rsid w:val="00A7753C"/>
    <w:rsid w:val="00A85B61"/>
    <w:rsid w:val="00A867F4"/>
    <w:rsid w:val="00A877A0"/>
    <w:rsid w:val="00A96B47"/>
    <w:rsid w:val="00AA04A4"/>
    <w:rsid w:val="00AA395D"/>
    <w:rsid w:val="00AA40A3"/>
    <w:rsid w:val="00AA6113"/>
    <w:rsid w:val="00AA76B9"/>
    <w:rsid w:val="00AB1616"/>
    <w:rsid w:val="00AB3DE1"/>
    <w:rsid w:val="00AB59B9"/>
    <w:rsid w:val="00AB6105"/>
    <w:rsid w:val="00AC4E8C"/>
    <w:rsid w:val="00AC4ECE"/>
    <w:rsid w:val="00AC5020"/>
    <w:rsid w:val="00AC50C7"/>
    <w:rsid w:val="00AD597B"/>
    <w:rsid w:val="00AD612E"/>
    <w:rsid w:val="00AE1D9D"/>
    <w:rsid w:val="00AE4745"/>
    <w:rsid w:val="00AE4965"/>
    <w:rsid w:val="00AE53D5"/>
    <w:rsid w:val="00AE5E84"/>
    <w:rsid w:val="00AF06AF"/>
    <w:rsid w:val="00AF319C"/>
    <w:rsid w:val="00AF661B"/>
    <w:rsid w:val="00AF709D"/>
    <w:rsid w:val="00AF77AA"/>
    <w:rsid w:val="00AF7CCB"/>
    <w:rsid w:val="00AF7DD0"/>
    <w:rsid w:val="00B00006"/>
    <w:rsid w:val="00B00332"/>
    <w:rsid w:val="00B178B8"/>
    <w:rsid w:val="00B245E4"/>
    <w:rsid w:val="00B249D1"/>
    <w:rsid w:val="00B2601B"/>
    <w:rsid w:val="00B35FFF"/>
    <w:rsid w:val="00B41626"/>
    <w:rsid w:val="00B41651"/>
    <w:rsid w:val="00B418CC"/>
    <w:rsid w:val="00B41A76"/>
    <w:rsid w:val="00B41D57"/>
    <w:rsid w:val="00B433FC"/>
    <w:rsid w:val="00B46A6D"/>
    <w:rsid w:val="00B472F8"/>
    <w:rsid w:val="00B47E73"/>
    <w:rsid w:val="00B57D8E"/>
    <w:rsid w:val="00B721C1"/>
    <w:rsid w:val="00B72807"/>
    <w:rsid w:val="00B72963"/>
    <w:rsid w:val="00B73109"/>
    <w:rsid w:val="00B81F57"/>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B5E6F"/>
    <w:rsid w:val="00BC6B93"/>
    <w:rsid w:val="00BC6E1C"/>
    <w:rsid w:val="00BD2CB0"/>
    <w:rsid w:val="00BD3945"/>
    <w:rsid w:val="00BD673A"/>
    <w:rsid w:val="00BE6C24"/>
    <w:rsid w:val="00BF65DF"/>
    <w:rsid w:val="00BF7070"/>
    <w:rsid w:val="00BF7CD2"/>
    <w:rsid w:val="00BF7E3E"/>
    <w:rsid w:val="00C00E1F"/>
    <w:rsid w:val="00C02DF6"/>
    <w:rsid w:val="00C0397D"/>
    <w:rsid w:val="00C1036C"/>
    <w:rsid w:val="00C15B65"/>
    <w:rsid w:val="00C21237"/>
    <w:rsid w:val="00C2325F"/>
    <w:rsid w:val="00C26E2D"/>
    <w:rsid w:val="00C32104"/>
    <w:rsid w:val="00C328E2"/>
    <w:rsid w:val="00C32F7E"/>
    <w:rsid w:val="00C35614"/>
    <w:rsid w:val="00C44011"/>
    <w:rsid w:val="00C46C41"/>
    <w:rsid w:val="00C521C6"/>
    <w:rsid w:val="00C52DD3"/>
    <w:rsid w:val="00C5340B"/>
    <w:rsid w:val="00C54900"/>
    <w:rsid w:val="00C55277"/>
    <w:rsid w:val="00C55583"/>
    <w:rsid w:val="00C56098"/>
    <w:rsid w:val="00C57E98"/>
    <w:rsid w:val="00C621D5"/>
    <w:rsid w:val="00C62B9D"/>
    <w:rsid w:val="00C659EF"/>
    <w:rsid w:val="00C65ED9"/>
    <w:rsid w:val="00C71325"/>
    <w:rsid w:val="00C753B6"/>
    <w:rsid w:val="00C758E2"/>
    <w:rsid w:val="00C766E0"/>
    <w:rsid w:val="00C80775"/>
    <w:rsid w:val="00C80868"/>
    <w:rsid w:val="00C8394E"/>
    <w:rsid w:val="00C86B3A"/>
    <w:rsid w:val="00C87C1A"/>
    <w:rsid w:val="00C90876"/>
    <w:rsid w:val="00C97FAF"/>
    <w:rsid w:val="00CA1607"/>
    <w:rsid w:val="00CA1BFE"/>
    <w:rsid w:val="00CA4C2C"/>
    <w:rsid w:val="00CB1158"/>
    <w:rsid w:val="00CB4380"/>
    <w:rsid w:val="00CB452E"/>
    <w:rsid w:val="00CB4C2D"/>
    <w:rsid w:val="00CB65E2"/>
    <w:rsid w:val="00CC3DDB"/>
    <w:rsid w:val="00CD13D1"/>
    <w:rsid w:val="00CD5EF0"/>
    <w:rsid w:val="00CE0502"/>
    <w:rsid w:val="00CE2311"/>
    <w:rsid w:val="00CE25D7"/>
    <w:rsid w:val="00CE3505"/>
    <w:rsid w:val="00CF0C5B"/>
    <w:rsid w:val="00CF29B3"/>
    <w:rsid w:val="00CF41D9"/>
    <w:rsid w:val="00D0132D"/>
    <w:rsid w:val="00D03958"/>
    <w:rsid w:val="00D06348"/>
    <w:rsid w:val="00D06D59"/>
    <w:rsid w:val="00D13E80"/>
    <w:rsid w:val="00D16680"/>
    <w:rsid w:val="00D16B6D"/>
    <w:rsid w:val="00D22011"/>
    <w:rsid w:val="00D32132"/>
    <w:rsid w:val="00D35EA3"/>
    <w:rsid w:val="00D371C0"/>
    <w:rsid w:val="00D37592"/>
    <w:rsid w:val="00D376D8"/>
    <w:rsid w:val="00D42C4E"/>
    <w:rsid w:val="00D43508"/>
    <w:rsid w:val="00D474D2"/>
    <w:rsid w:val="00D5247D"/>
    <w:rsid w:val="00D55125"/>
    <w:rsid w:val="00D61DB8"/>
    <w:rsid w:val="00D676A7"/>
    <w:rsid w:val="00D70D8D"/>
    <w:rsid w:val="00D714D7"/>
    <w:rsid w:val="00D75738"/>
    <w:rsid w:val="00D82AA7"/>
    <w:rsid w:val="00D8436E"/>
    <w:rsid w:val="00DA3469"/>
    <w:rsid w:val="00DA5DAB"/>
    <w:rsid w:val="00DA718C"/>
    <w:rsid w:val="00DB19D2"/>
    <w:rsid w:val="00DB5D90"/>
    <w:rsid w:val="00DC0D66"/>
    <w:rsid w:val="00DC10F3"/>
    <w:rsid w:val="00DC5964"/>
    <w:rsid w:val="00DC71B9"/>
    <w:rsid w:val="00DD639C"/>
    <w:rsid w:val="00DE0274"/>
    <w:rsid w:val="00DE128B"/>
    <w:rsid w:val="00DE19B0"/>
    <w:rsid w:val="00DE3149"/>
    <w:rsid w:val="00DE51DF"/>
    <w:rsid w:val="00DE72FF"/>
    <w:rsid w:val="00DF4BBA"/>
    <w:rsid w:val="00DF4F94"/>
    <w:rsid w:val="00DF6B09"/>
    <w:rsid w:val="00E00C4C"/>
    <w:rsid w:val="00E01200"/>
    <w:rsid w:val="00E02B79"/>
    <w:rsid w:val="00E03EC2"/>
    <w:rsid w:val="00E053DA"/>
    <w:rsid w:val="00E05CBF"/>
    <w:rsid w:val="00E06122"/>
    <w:rsid w:val="00E07F88"/>
    <w:rsid w:val="00E10917"/>
    <w:rsid w:val="00E11A65"/>
    <w:rsid w:val="00E11E25"/>
    <w:rsid w:val="00E151E6"/>
    <w:rsid w:val="00E15732"/>
    <w:rsid w:val="00E1584B"/>
    <w:rsid w:val="00E16145"/>
    <w:rsid w:val="00E161D1"/>
    <w:rsid w:val="00E17689"/>
    <w:rsid w:val="00E20A4B"/>
    <w:rsid w:val="00E21914"/>
    <w:rsid w:val="00E24C27"/>
    <w:rsid w:val="00E25AC5"/>
    <w:rsid w:val="00E31E56"/>
    <w:rsid w:val="00E36B38"/>
    <w:rsid w:val="00E37A2B"/>
    <w:rsid w:val="00E40C06"/>
    <w:rsid w:val="00E420C4"/>
    <w:rsid w:val="00E43768"/>
    <w:rsid w:val="00E43A86"/>
    <w:rsid w:val="00E44742"/>
    <w:rsid w:val="00E44FB1"/>
    <w:rsid w:val="00E47BB9"/>
    <w:rsid w:val="00E500AD"/>
    <w:rsid w:val="00E50E20"/>
    <w:rsid w:val="00E543C9"/>
    <w:rsid w:val="00E618B3"/>
    <w:rsid w:val="00E63DDD"/>
    <w:rsid w:val="00E63DE1"/>
    <w:rsid w:val="00E6425B"/>
    <w:rsid w:val="00E65E36"/>
    <w:rsid w:val="00E67BF5"/>
    <w:rsid w:val="00E7411B"/>
    <w:rsid w:val="00E741C0"/>
    <w:rsid w:val="00E76CE8"/>
    <w:rsid w:val="00E83615"/>
    <w:rsid w:val="00E8670F"/>
    <w:rsid w:val="00E91774"/>
    <w:rsid w:val="00E93CC1"/>
    <w:rsid w:val="00E94138"/>
    <w:rsid w:val="00E949CD"/>
    <w:rsid w:val="00EA31F3"/>
    <w:rsid w:val="00EA4731"/>
    <w:rsid w:val="00EA6B0E"/>
    <w:rsid w:val="00EB0823"/>
    <w:rsid w:val="00EB0C5C"/>
    <w:rsid w:val="00EB1BA9"/>
    <w:rsid w:val="00EC369C"/>
    <w:rsid w:val="00EC5959"/>
    <w:rsid w:val="00ED1F21"/>
    <w:rsid w:val="00EE07DD"/>
    <w:rsid w:val="00EE6A7C"/>
    <w:rsid w:val="00EE7FD1"/>
    <w:rsid w:val="00EF0A92"/>
    <w:rsid w:val="00EF2B41"/>
    <w:rsid w:val="00EF3217"/>
    <w:rsid w:val="00EF32C9"/>
    <w:rsid w:val="00EF3A93"/>
    <w:rsid w:val="00EF6836"/>
    <w:rsid w:val="00EF747F"/>
    <w:rsid w:val="00F01B4C"/>
    <w:rsid w:val="00F03C83"/>
    <w:rsid w:val="00F04BA0"/>
    <w:rsid w:val="00F076D0"/>
    <w:rsid w:val="00F11DB8"/>
    <w:rsid w:val="00F12AB8"/>
    <w:rsid w:val="00F16A81"/>
    <w:rsid w:val="00F20390"/>
    <w:rsid w:val="00F2096D"/>
    <w:rsid w:val="00F25142"/>
    <w:rsid w:val="00F30F4B"/>
    <w:rsid w:val="00F3288C"/>
    <w:rsid w:val="00F33C55"/>
    <w:rsid w:val="00F351B1"/>
    <w:rsid w:val="00F42E0E"/>
    <w:rsid w:val="00F440AC"/>
    <w:rsid w:val="00F45B38"/>
    <w:rsid w:val="00F51EBA"/>
    <w:rsid w:val="00F52124"/>
    <w:rsid w:val="00F5333E"/>
    <w:rsid w:val="00F539E6"/>
    <w:rsid w:val="00F56524"/>
    <w:rsid w:val="00F56ADA"/>
    <w:rsid w:val="00F571D2"/>
    <w:rsid w:val="00F603F3"/>
    <w:rsid w:val="00F610B2"/>
    <w:rsid w:val="00F62570"/>
    <w:rsid w:val="00F70CF0"/>
    <w:rsid w:val="00F71D75"/>
    <w:rsid w:val="00F72EA1"/>
    <w:rsid w:val="00F734C8"/>
    <w:rsid w:val="00F74E0D"/>
    <w:rsid w:val="00F81647"/>
    <w:rsid w:val="00F8384D"/>
    <w:rsid w:val="00F83915"/>
    <w:rsid w:val="00F83A37"/>
    <w:rsid w:val="00F847E4"/>
    <w:rsid w:val="00F85729"/>
    <w:rsid w:val="00F9143E"/>
    <w:rsid w:val="00F945B1"/>
    <w:rsid w:val="00F9494C"/>
    <w:rsid w:val="00FA12FB"/>
    <w:rsid w:val="00FA523E"/>
    <w:rsid w:val="00FA6CF2"/>
    <w:rsid w:val="00FB2731"/>
    <w:rsid w:val="00FB2E9E"/>
    <w:rsid w:val="00FC18B7"/>
    <w:rsid w:val="00FC1990"/>
    <w:rsid w:val="00FC4FD0"/>
    <w:rsid w:val="00FC52BB"/>
    <w:rsid w:val="00FC557C"/>
    <w:rsid w:val="00FC5D49"/>
    <w:rsid w:val="00FD0D69"/>
    <w:rsid w:val="00FD26FA"/>
    <w:rsid w:val="00FD29EC"/>
    <w:rsid w:val="00FD3335"/>
    <w:rsid w:val="00FE72B5"/>
    <w:rsid w:val="00FF0F9A"/>
    <w:rsid w:val="00FF6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7890">
      <o:colormenu v:ext="edit" fillcolor="none [3212]"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7">
    <w:name w:val="heading 7"/>
    <w:basedOn w:val="Normal"/>
    <w:next w:val="Normal"/>
    <w:link w:val="Heading7Char"/>
    <w:uiPriority w:val="99"/>
    <w:qFormat/>
    <w:locked/>
    <w:rsid w:val="006248AA"/>
    <w:pPr>
      <w:spacing w:before="240" w:after="60"/>
      <w:outlineLvl w:val="6"/>
    </w:pPr>
    <w:rPr>
      <w:rFonts w:ascii="Calibri" w:hAnsi="Calibri"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7Char">
    <w:name w:val="Heading 7 Char"/>
    <w:basedOn w:val="DefaultParagraphFont"/>
    <w:link w:val="Heading7"/>
    <w:uiPriority w:val="99"/>
    <w:semiHidden/>
    <w:locked/>
    <w:rsid w:val="006248AA"/>
    <w:rPr>
      <w:rFonts w:ascii="Calibri" w:hAnsi="Calibri" w:cs="Arial"/>
      <w:sz w:val="24"/>
      <w:szCs w:val="24"/>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 w:type="paragraph" w:customStyle="1" w:styleId="Source">
    <w:name w:val="Source"/>
    <w:basedOn w:val="Normal"/>
    <w:next w:val="BodyText"/>
    <w:uiPriority w:val="99"/>
    <w:rsid w:val="006248AA"/>
    <w:pPr>
      <w:spacing w:before="40"/>
    </w:pPr>
    <w:rPr>
      <w:sz w:val="18"/>
      <w:szCs w:val="18"/>
    </w:rPr>
  </w:style>
  <w:style w:type="paragraph" w:customStyle="1" w:styleId="tabletitle">
    <w:name w:val="table title"/>
    <w:basedOn w:val="Heading7"/>
    <w:uiPriority w:val="99"/>
    <w:rsid w:val="006248AA"/>
    <w:pPr>
      <w:keepNext/>
      <w:overflowPunct w:val="0"/>
      <w:autoSpaceDE w:val="0"/>
      <w:autoSpaceDN w:val="0"/>
      <w:adjustRightInd w:val="0"/>
      <w:ind w:left="907" w:hanging="907"/>
      <w:textAlignment w:val="baseline"/>
    </w:pPr>
    <w:rPr>
      <w:rFonts w:ascii="Arial" w:hAnsi="Arial"/>
      <w:b/>
      <w:bCs/>
      <w:sz w:val="20"/>
      <w:szCs w:val="20"/>
    </w:rPr>
  </w:style>
  <w:style w:type="paragraph" w:customStyle="1" w:styleId="BodyText1">
    <w:name w:val="Body Text1"/>
    <w:basedOn w:val="Normal"/>
    <w:uiPriority w:val="99"/>
    <w:rsid w:val="0076366A"/>
    <w:pPr>
      <w:spacing w:after="120" w:line="360" w:lineRule="auto"/>
      <w:ind w:firstLine="720"/>
    </w:pPr>
    <w:rPr>
      <w:rFonts w:ascii="Times New Roman" w:hAnsi="Times New Roman"/>
      <w:sz w:val="24"/>
      <w:szCs w:val="20"/>
    </w:rPr>
  </w:style>
  <w:style w:type="paragraph" w:styleId="NormalWeb">
    <w:name w:val="Normal (Web)"/>
    <w:basedOn w:val="Normal"/>
    <w:uiPriority w:val="99"/>
    <w:unhideWhenUsed/>
    <w:rsid w:val="005A4D18"/>
    <w:pPr>
      <w:spacing w:before="100" w:beforeAutospacing="1" w:after="100" w:afterAutospacing="1"/>
    </w:pPr>
    <w:rPr>
      <w:rFonts w:ascii="Times New Roman" w:hAnsi="Times New Roman"/>
      <w:sz w:val="24"/>
    </w:rPr>
  </w:style>
  <w:style w:type="character" w:customStyle="1" w:styleId="ugc">
    <w:name w:val="ugc"/>
    <w:basedOn w:val="DefaultParagraphFont"/>
    <w:rsid w:val="009B3D1A"/>
  </w:style>
  <w:style w:type="paragraph" w:customStyle="1" w:styleId="C1-CtrBoldHd">
    <w:name w:val="C1-Ctr BoldHd"/>
    <w:rsid w:val="00804913"/>
    <w:pPr>
      <w:keepNext/>
      <w:spacing w:after="720" w:line="240" w:lineRule="atLeast"/>
      <w:jc w:val="center"/>
    </w:pPr>
    <w:rPr>
      <w:rFonts w:ascii="Arial" w:hAnsi="Arial"/>
      <w:b/>
      <w:color w:val="324162"/>
      <w:sz w:val="28"/>
      <w:szCs w:val="20"/>
    </w:rPr>
  </w:style>
  <w:style w:type="paragraph" w:styleId="Title">
    <w:name w:val="Title"/>
    <w:basedOn w:val="Normal"/>
    <w:next w:val="Normal"/>
    <w:link w:val="TitleChar"/>
    <w:uiPriority w:val="10"/>
    <w:qFormat/>
    <w:locked/>
    <w:rsid w:val="00C65E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ED9"/>
    <w:rPr>
      <w:rFonts w:asciiTheme="majorHAnsi" w:eastAsiaTheme="majorEastAsia" w:hAnsiTheme="majorHAnsi" w:cstheme="majorBidi"/>
      <w:color w:val="17365D" w:themeColor="text2" w:themeShade="BF"/>
      <w:spacing w:val="5"/>
      <w:kern w:val="28"/>
      <w:sz w:val="52"/>
      <w:szCs w:val="52"/>
    </w:rPr>
  </w:style>
  <w:style w:type="character" w:customStyle="1" w:styleId="StyleTimesNewRoman">
    <w:name w:val="Style Times New Roman"/>
    <w:basedOn w:val="DefaultParagraphFont"/>
    <w:rsid w:val="007E3A2F"/>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826259">
      <w:bodyDiv w:val="1"/>
      <w:marLeft w:val="0"/>
      <w:marRight w:val="0"/>
      <w:marTop w:val="0"/>
      <w:marBottom w:val="277"/>
      <w:divBdr>
        <w:top w:val="none" w:sz="0" w:space="0" w:color="auto"/>
        <w:left w:val="none" w:sz="0" w:space="0" w:color="auto"/>
        <w:bottom w:val="none" w:sz="0" w:space="0" w:color="auto"/>
        <w:right w:val="none" w:sz="0" w:space="0" w:color="auto"/>
      </w:divBdr>
      <w:divsChild>
        <w:div w:id="1441607998">
          <w:marLeft w:val="0"/>
          <w:marRight w:val="0"/>
          <w:marTop w:val="138"/>
          <w:marBottom w:val="0"/>
          <w:divBdr>
            <w:top w:val="none" w:sz="0" w:space="0" w:color="auto"/>
            <w:left w:val="none" w:sz="0" w:space="0" w:color="auto"/>
            <w:bottom w:val="none" w:sz="0" w:space="0" w:color="auto"/>
            <w:right w:val="none" w:sz="0" w:space="0" w:color="auto"/>
          </w:divBdr>
          <w:divsChild>
            <w:div w:id="1909922360">
              <w:marLeft w:val="0"/>
              <w:marRight w:val="0"/>
              <w:marTop w:val="0"/>
              <w:marBottom w:val="0"/>
              <w:divBdr>
                <w:top w:val="none" w:sz="0" w:space="0" w:color="auto"/>
                <w:left w:val="none" w:sz="0" w:space="0" w:color="auto"/>
                <w:bottom w:val="none" w:sz="0" w:space="0" w:color="auto"/>
                <w:right w:val="none" w:sz="0" w:space="0" w:color="auto"/>
              </w:divBdr>
              <w:divsChild>
                <w:div w:id="2063820777">
                  <w:marLeft w:val="0"/>
                  <w:marRight w:val="194"/>
                  <w:marTop w:val="55"/>
                  <w:marBottom w:val="0"/>
                  <w:divBdr>
                    <w:top w:val="none" w:sz="0" w:space="0" w:color="auto"/>
                    <w:left w:val="none" w:sz="0" w:space="0" w:color="auto"/>
                    <w:bottom w:val="none" w:sz="0" w:space="0" w:color="auto"/>
                    <w:right w:val="none" w:sz="0" w:space="0" w:color="auto"/>
                  </w:divBdr>
                </w:div>
              </w:divsChild>
            </w:div>
          </w:divsChild>
        </w:div>
      </w:divsChild>
    </w:div>
    <w:div w:id="1371222012">
      <w:marLeft w:val="0"/>
      <w:marRight w:val="0"/>
      <w:marTop w:val="0"/>
      <w:marBottom w:val="0"/>
      <w:divBdr>
        <w:top w:val="none" w:sz="0" w:space="0" w:color="auto"/>
        <w:left w:val="none" w:sz="0" w:space="0" w:color="auto"/>
        <w:bottom w:val="none" w:sz="0" w:space="0" w:color="auto"/>
        <w:right w:val="none" w:sz="0" w:space="0" w:color="auto"/>
      </w:divBdr>
    </w:div>
    <w:div w:id="1371222014">
      <w:marLeft w:val="0"/>
      <w:marRight w:val="0"/>
      <w:marTop w:val="0"/>
      <w:marBottom w:val="0"/>
      <w:divBdr>
        <w:top w:val="none" w:sz="0" w:space="0" w:color="auto"/>
        <w:left w:val="none" w:sz="0" w:space="0" w:color="auto"/>
        <w:bottom w:val="none" w:sz="0" w:space="0" w:color="auto"/>
        <w:right w:val="none" w:sz="0" w:space="0" w:color="auto"/>
      </w:divBdr>
      <w:divsChild>
        <w:div w:id="1371222007">
          <w:marLeft w:val="0"/>
          <w:marRight w:val="0"/>
          <w:marTop w:val="0"/>
          <w:marBottom w:val="0"/>
          <w:divBdr>
            <w:top w:val="none" w:sz="0" w:space="0" w:color="auto"/>
            <w:left w:val="none" w:sz="0" w:space="0" w:color="auto"/>
            <w:bottom w:val="none" w:sz="0" w:space="0" w:color="auto"/>
            <w:right w:val="none" w:sz="0" w:space="0" w:color="auto"/>
          </w:divBdr>
        </w:div>
        <w:div w:id="1371222008">
          <w:marLeft w:val="0"/>
          <w:marRight w:val="0"/>
          <w:marTop w:val="0"/>
          <w:marBottom w:val="0"/>
          <w:divBdr>
            <w:top w:val="none" w:sz="0" w:space="0" w:color="auto"/>
            <w:left w:val="none" w:sz="0" w:space="0" w:color="auto"/>
            <w:bottom w:val="none" w:sz="0" w:space="0" w:color="auto"/>
            <w:right w:val="none" w:sz="0" w:space="0" w:color="auto"/>
          </w:divBdr>
        </w:div>
        <w:div w:id="1371222009">
          <w:marLeft w:val="0"/>
          <w:marRight w:val="0"/>
          <w:marTop w:val="0"/>
          <w:marBottom w:val="0"/>
          <w:divBdr>
            <w:top w:val="none" w:sz="0" w:space="0" w:color="auto"/>
            <w:left w:val="none" w:sz="0" w:space="0" w:color="auto"/>
            <w:bottom w:val="none" w:sz="0" w:space="0" w:color="auto"/>
            <w:right w:val="none" w:sz="0" w:space="0" w:color="auto"/>
          </w:divBdr>
        </w:div>
        <w:div w:id="1371222010">
          <w:marLeft w:val="0"/>
          <w:marRight w:val="0"/>
          <w:marTop w:val="0"/>
          <w:marBottom w:val="0"/>
          <w:divBdr>
            <w:top w:val="none" w:sz="0" w:space="0" w:color="auto"/>
            <w:left w:val="none" w:sz="0" w:space="0" w:color="auto"/>
            <w:bottom w:val="none" w:sz="0" w:space="0" w:color="auto"/>
            <w:right w:val="none" w:sz="0" w:space="0" w:color="auto"/>
          </w:divBdr>
        </w:div>
        <w:div w:id="1371222011">
          <w:marLeft w:val="0"/>
          <w:marRight w:val="0"/>
          <w:marTop w:val="0"/>
          <w:marBottom w:val="0"/>
          <w:divBdr>
            <w:top w:val="none" w:sz="0" w:space="0" w:color="auto"/>
            <w:left w:val="none" w:sz="0" w:space="0" w:color="auto"/>
            <w:bottom w:val="none" w:sz="0" w:space="0" w:color="auto"/>
            <w:right w:val="none" w:sz="0" w:space="0" w:color="auto"/>
          </w:divBdr>
        </w:div>
        <w:div w:id="1371222013">
          <w:marLeft w:val="0"/>
          <w:marRight w:val="0"/>
          <w:marTop w:val="0"/>
          <w:marBottom w:val="0"/>
          <w:divBdr>
            <w:top w:val="none" w:sz="0" w:space="0" w:color="auto"/>
            <w:left w:val="none" w:sz="0" w:space="0" w:color="auto"/>
            <w:bottom w:val="none" w:sz="0" w:space="0" w:color="auto"/>
            <w:right w:val="none" w:sz="0" w:space="0" w:color="auto"/>
          </w:divBdr>
        </w:div>
        <w:div w:id="1371222015">
          <w:marLeft w:val="0"/>
          <w:marRight w:val="0"/>
          <w:marTop w:val="0"/>
          <w:marBottom w:val="0"/>
          <w:divBdr>
            <w:top w:val="none" w:sz="0" w:space="0" w:color="auto"/>
            <w:left w:val="none" w:sz="0" w:space="0" w:color="auto"/>
            <w:bottom w:val="none" w:sz="0" w:space="0" w:color="auto"/>
            <w:right w:val="none" w:sz="0" w:space="0" w:color="auto"/>
          </w:divBdr>
        </w:div>
        <w:div w:id="1371222016">
          <w:marLeft w:val="0"/>
          <w:marRight w:val="0"/>
          <w:marTop w:val="0"/>
          <w:marBottom w:val="0"/>
          <w:divBdr>
            <w:top w:val="none" w:sz="0" w:space="0" w:color="auto"/>
            <w:left w:val="none" w:sz="0" w:space="0" w:color="auto"/>
            <w:bottom w:val="none" w:sz="0" w:space="0" w:color="auto"/>
            <w:right w:val="none" w:sz="0" w:space="0" w:color="auto"/>
          </w:divBdr>
        </w:div>
        <w:div w:id="137122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84"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Sample Student Recruitment Flyer</vt:lpstr>
    </vt:vector>
  </TitlesOfParts>
  <Company>RTI, International</Company>
  <LinksUpToDate>false</LinksUpToDate>
  <CharactersWithSpaces>14785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Student Recruitment Flyer</dc:title>
  <dc:creator>mcominole</dc:creator>
  <cp:lastModifiedBy>Ricardo Martinez</cp:lastModifiedBy>
  <cp:revision>2</cp:revision>
  <cp:lastPrinted>2011-06-03T14:29:00Z</cp:lastPrinted>
  <dcterms:created xsi:type="dcterms:W3CDTF">2011-06-27T13:35:00Z</dcterms:created>
  <dcterms:modified xsi:type="dcterms:W3CDTF">2011-06-27T13:35:00Z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